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6BFEB" w14:textId="77777777" w:rsidR="00F0315D" w:rsidRDefault="00F0315D">
      <w:pPr>
        <w:spacing w:before="1200" w:after="100"/>
        <w:jc w:val="center"/>
        <w:rPr>
          <w:rFonts w:ascii="Calibri" w:eastAsia="Calibri" w:hAnsi="Calibri" w:cs="Calibri"/>
          <w:b/>
          <w:bCs/>
          <w:sz w:val="30"/>
          <w:szCs w:val="30"/>
        </w:rPr>
      </w:pPr>
      <w:r w:rsidRPr="00095284">
        <w:rPr>
          <w:rFonts w:cs="Arial"/>
          <w:noProof/>
          <w:szCs w:val="24"/>
          <w:lang w:val="en-GB"/>
        </w:rPr>
        <w:drawing>
          <wp:inline distT="0" distB="0" distL="0" distR="0" wp14:anchorId="683F677E" wp14:editId="7FD08D1F">
            <wp:extent cx="3746500" cy="14319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746500" cy="1431925"/>
                    </a:xfrm>
                    <a:prstGeom prst="rect">
                      <a:avLst/>
                    </a:prstGeom>
                  </pic:spPr>
                </pic:pic>
              </a:graphicData>
            </a:graphic>
          </wp:inline>
        </w:drawing>
      </w:r>
    </w:p>
    <w:p w14:paraId="1F6259BD" w14:textId="7EC2D372" w:rsidR="00997FE4" w:rsidRDefault="00000000">
      <w:pPr>
        <w:spacing w:before="1200" w:after="100"/>
        <w:jc w:val="center"/>
      </w:pPr>
      <w:r>
        <w:rPr>
          <w:rFonts w:ascii="Calibri" w:eastAsia="Calibri" w:hAnsi="Calibri" w:cs="Calibri"/>
          <w:b/>
          <w:bCs/>
          <w:sz w:val="30"/>
          <w:szCs w:val="30"/>
        </w:rPr>
        <w:t>University of Wales Trinity Saint David</w:t>
      </w:r>
    </w:p>
    <w:p w14:paraId="1B196986" w14:textId="77777777" w:rsidR="00997FE4" w:rsidRDefault="00000000">
      <w:pPr>
        <w:spacing w:after="100"/>
        <w:jc w:val="center"/>
      </w:pPr>
      <w:r>
        <w:rPr>
          <w:rFonts w:ascii="Calibri" w:eastAsia="Calibri" w:hAnsi="Calibri" w:cs="Calibri"/>
          <w:sz w:val="24"/>
          <w:szCs w:val="24"/>
        </w:rPr>
        <w:t>Institute of Inner-City Learning, London Campus</w:t>
      </w:r>
    </w:p>
    <w:p w14:paraId="38F2068F" w14:textId="77777777" w:rsidR="00997FE4" w:rsidRDefault="00000000">
      <w:pPr>
        <w:spacing w:after="400"/>
        <w:jc w:val="center"/>
      </w:pPr>
      <w:r>
        <w:rPr>
          <w:rFonts w:ascii="Calibri" w:eastAsia="Calibri" w:hAnsi="Calibri" w:cs="Calibri"/>
          <w:sz w:val="24"/>
          <w:szCs w:val="24"/>
        </w:rPr>
        <w:t>Master of Business Administration</w:t>
      </w:r>
    </w:p>
    <w:p w14:paraId="720DA5B4" w14:textId="63037EA2" w:rsidR="00484EE6" w:rsidRDefault="00000000" w:rsidP="00484EE6">
      <w:pPr>
        <w:spacing w:after="100"/>
        <w:jc w:val="center"/>
        <w:rPr>
          <w:rFonts w:ascii="Calibri" w:eastAsia="Calibri" w:hAnsi="Calibri" w:cs="Calibri"/>
          <w:b/>
          <w:bCs/>
          <w:sz w:val="26"/>
          <w:szCs w:val="26"/>
        </w:rPr>
      </w:pPr>
      <w:r>
        <w:rPr>
          <w:rFonts w:ascii="Calibri" w:eastAsia="Calibri" w:hAnsi="Calibri" w:cs="Calibri"/>
          <w:b/>
          <w:bCs/>
          <w:sz w:val="26"/>
          <w:szCs w:val="26"/>
        </w:rPr>
        <w:t>LCMB7035 – Dissertation</w:t>
      </w:r>
    </w:p>
    <w:p w14:paraId="5385E827" w14:textId="77777777" w:rsidR="00484EE6" w:rsidRDefault="00484EE6" w:rsidP="00484EE6">
      <w:pPr>
        <w:spacing w:after="100"/>
        <w:jc w:val="center"/>
        <w:rPr>
          <w:rFonts w:ascii="Calibri" w:eastAsia="Calibri" w:hAnsi="Calibri" w:cs="Calibri"/>
          <w:b/>
          <w:bCs/>
          <w:sz w:val="26"/>
          <w:szCs w:val="26"/>
        </w:rPr>
      </w:pPr>
    </w:p>
    <w:p w14:paraId="0FE792A0" w14:textId="13885898" w:rsidR="00484EE6" w:rsidRPr="00484EE6" w:rsidRDefault="00484EE6" w:rsidP="00484EE6">
      <w:pPr>
        <w:spacing w:after="200"/>
        <w:jc w:val="center"/>
      </w:pPr>
      <w:r>
        <w:rPr>
          <w:rFonts w:ascii="Calibri" w:eastAsia="Calibri" w:hAnsi="Calibri" w:cs="Calibri"/>
          <w:b/>
          <w:bCs/>
          <w:sz w:val="28"/>
          <w:szCs w:val="28"/>
        </w:rPr>
        <w:t>The Impact of Artificial Intelligence on Employee Wellbeing and Job Security</w:t>
      </w:r>
    </w:p>
    <w:p w14:paraId="273B9266" w14:textId="77777777" w:rsidR="004C0054" w:rsidRDefault="004C0054" w:rsidP="004C0054">
      <w:pPr>
        <w:spacing w:before="1000"/>
        <w:jc w:val="center"/>
      </w:pPr>
      <w:r>
        <w:rPr>
          <w:rFonts w:ascii="Calibri" w:eastAsia="Calibri" w:hAnsi="Calibri" w:cs="Calibri"/>
          <w:sz w:val="22"/>
          <w:szCs w:val="22"/>
        </w:rPr>
        <w:t xml:space="preserve">Student Name: </w:t>
      </w:r>
      <w:proofErr w:type="spellStart"/>
      <w:r w:rsidRPr="00EA051A">
        <w:rPr>
          <w:rFonts w:ascii="Arial" w:hAnsi="Arial" w:cs="Arial"/>
          <w:sz w:val="22"/>
          <w:szCs w:val="22"/>
        </w:rPr>
        <w:t>Almahender</w:t>
      </w:r>
      <w:proofErr w:type="spellEnd"/>
      <w:r w:rsidRPr="00EA051A">
        <w:rPr>
          <w:rFonts w:ascii="Arial" w:hAnsi="Arial" w:cs="Arial"/>
          <w:sz w:val="22"/>
          <w:szCs w:val="22"/>
        </w:rPr>
        <w:t xml:space="preserve"> Singh</w:t>
      </w:r>
    </w:p>
    <w:p w14:paraId="336C087B" w14:textId="77777777" w:rsidR="004C0054" w:rsidRDefault="004C0054" w:rsidP="004C0054">
      <w:pPr>
        <w:spacing w:after="100"/>
        <w:jc w:val="center"/>
      </w:pPr>
      <w:r>
        <w:rPr>
          <w:rFonts w:ascii="Calibri" w:eastAsia="Calibri" w:hAnsi="Calibri" w:cs="Calibri"/>
          <w:sz w:val="22"/>
          <w:szCs w:val="22"/>
        </w:rPr>
        <w:t>Student ID: 2504913</w:t>
      </w:r>
    </w:p>
    <w:p w14:paraId="528E1DB7" w14:textId="77777777" w:rsidR="004C0054" w:rsidRDefault="004C0054" w:rsidP="004C0054">
      <w:pPr>
        <w:spacing w:after="100"/>
        <w:jc w:val="center"/>
      </w:pPr>
      <w:r>
        <w:rPr>
          <w:rFonts w:ascii="Calibri" w:eastAsia="Calibri" w:hAnsi="Calibri" w:cs="Calibri"/>
          <w:sz w:val="22"/>
          <w:szCs w:val="22"/>
        </w:rPr>
        <w:t>Supervisor:</w:t>
      </w:r>
      <w:r w:rsidRPr="00325408">
        <w:rPr>
          <w:rFonts w:ascii="Arial" w:hAnsi="Arial" w:cs="Arial"/>
          <w:sz w:val="22"/>
          <w:szCs w:val="22"/>
        </w:rPr>
        <w:t xml:space="preserve"> </w:t>
      </w:r>
      <w:r w:rsidRPr="00EA051A">
        <w:rPr>
          <w:rFonts w:ascii="Arial" w:hAnsi="Arial" w:cs="Arial"/>
          <w:sz w:val="22"/>
          <w:szCs w:val="22"/>
        </w:rPr>
        <w:t>Alireza Nazarian</w:t>
      </w:r>
    </w:p>
    <w:p w14:paraId="3116D6D0" w14:textId="28489397" w:rsidR="004C0054" w:rsidRDefault="004C0054" w:rsidP="004C0054">
      <w:pPr>
        <w:spacing w:after="100"/>
        <w:jc w:val="center"/>
      </w:pPr>
      <w:r>
        <w:rPr>
          <w:rFonts w:ascii="Calibri" w:eastAsia="Calibri" w:hAnsi="Calibri" w:cs="Calibri"/>
          <w:sz w:val="22"/>
          <w:szCs w:val="22"/>
        </w:rPr>
        <w:t xml:space="preserve">Date: </w:t>
      </w:r>
      <w:r w:rsidR="00484EE6">
        <w:rPr>
          <w:rFonts w:ascii="Calibri" w:eastAsia="Calibri" w:hAnsi="Calibri" w:cs="Calibri"/>
          <w:sz w:val="22"/>
          <w:szCs w:val="22"/>
        </w:rPr>
        <w:t>19/08/2026</w:t>
      </w:r>
    </w:p>
    <w:p w14:paraId="3F842434" w14:textId="4B6DBD00" w:rsidR="00DB19B6" w:rsidRDefault="00000000">
      <w:r>
        <w:br w:type="page"/>
      </w:r>
    </w:p>
    <w:p w14:paraId="49C2CACF" w14:textId="77777777" w:rsidR="00DB19B6" w:rsidRDefault="00DB19B6" w:rsidP="00DB19B6">
      <w:pPr>
        <w:pStyle w:val="Heading1"/>
        <w:spacing w:before="360" w:after="200"/>
      </w:pPr>
      <w:r>
        <w:rPr>
          <w:rFonts w:ascii="Calibri" w:eastAsia="Calibri" w:hAnsi="Calibri" w:cs="Calibri"/>
          <w:b/>
          <w:bCs/>
          <w:color w:val="1F4E79"/>
          <w:sz w:val="28"/>
          <w:szCs w:val="28"/>
        </w:rPr>
        <w:lastRenderedPageBreak/>
        <w:t>Declaration</w:t>
      </w:r>
    </w:p>
    <w:p w14:paraId="6E7833CA" w14:textId="50C6A936" w:rsidR="00DB19B6" w:rsidRDefault="00DB19B6" w:rsidP="00DB19B6">
      <w:pPr>
        <w:spacing w:after="180" w:line="276" w:lineRule="auto"/>
        <w:jc w:val="both"/>
      </w:pPr>
      <w:r>
        <w:rPr>
          <w:rFonts w:ascii="Calibri" w:eastAsia="Calibri" w:hAnsi="Calibri" w:cs="Calibri"/>
          <w:sz w:val="22"/>
          <w:szCs w:val="22"/>
        </w:rPr>
        <w:t xml:space="preserve">This dissertation is the result of my own independent work and investigation. All sources consulted have been acknowledged and referenced in accordance with the Harvard referencing convention. </w:t>
      </w:r>
    </w:p>
    <w:p w14:paraId="2AD79BDC" w14:textId="77777777" w:rsidR="00DB19B6" w:rsidRDefault="00DB19B6" w:rsidP="00DB19B6">
      <w:r>
        <w:br w:type="page"/>
      </w:r>
    </w:p>
    <w:p w14:paraId="2C8301BE" w14:textId="77777777" w:rsidR="00DB19B6" w:rsidRDefault="00DB19B6" w:rsidP="00DB19B6">
      <w:pPr>
        <w:pStyle w:val="Heading1"/>
        <w:spacing w:before="360" w:after="200"/>
      </w:pPr>
      <w:r>
        <w:rPr>
          <w:rFonts w:ascii="Calibri" w:eastAsia="Calibri" w:hAnsi="Calibri" w:cs="Calibri"/>
          <w:b/>
          <w:bCs/>
          <w:color w:val="1F4E79"/>
          <w:sz w:val="28"/>
          <w:szCs w:val="28"/>
        </w:rPr>
        <w:lastRenderedPageBreak/>
        <w:t>AI Use Acknowledgement</w:t>
      </w:r>
    </w:p>
    <w:p w14:paraId="10FA6146" w14:textId="48F568E8" w:rsidR="00DB19B6" w:rsidRDefault="00DB19B6" w:rsidP="00DB19B6">
      <w:pPr>
        <w:spacing w:after="180" w:line="276" w:lineRule="auto"/>
        <w:jc w:val="both"/>
      </w:pPr>
      <w:r>
        <w:rPr>
          <w:rFonts w:ascii="Calibri" w:eastAsia="Calibri" w:hAnsi="Calibri" w:cs="Calibri"/>
          <w:sz w:val="22"/>
          <w:szCs w:val="22"/>
        </w:rPr>
        <w:t xml:space="preserve">I confirm that all analysis, argument, interpretation and conclusions presented in this dissertation are my own, that all sources cited have been read and verified by me, and that no AI-generated text has been presented in this </w:t>
      </w:r>
      <w:r w:rsidR="00287EFC">
        <w:rPr>
          <w:rFonts w:ascii="Calibri" w:eastAsia="Calibri" w:hAnsi="Calibri" w:cs="Calibri"/>
          <w:sz w:val="22"/>
          <w:szCs w:val="22"/>
        </w:rPr>
        <w:t>dissertation</w:t>
      </w:r>
      <w:r>
        <w:rPr>
          <w:rFonts w:ascii="Calibri" w:eastAsia="Calibri" w:hAnsi="Calibri" w:cs="Calibri"/>
          <w:sz w:val="22"/>
          <w:szCs w:val="22"/>
        </w:rPr>
        <w:t>.</w:t>
      </w:r>
    </w:p>
    <w:p w14:paraId="4E8B00B2" w14:textId="77777777" w:rsidR="00DB19B6" w:rsidRDefault="00DB19B6" w:rsidP="00DB19B6">
      <w:r>
        <w:br w:type="page"/>
      </w:r>
    </w:p>
    <w:p w14:paraId="45A69650" w14:textId="77777777" w:rsidR="00DB19B6" w:rsidRDefault="00DB19B6" w:rsidP="00DB19B6">
      <w:pPr>
        <w:pStyle w:val="Heading1"/>
        <w:spacing w:before="360" w:after="200"/>
      </w:pPr>
      <w:r>
        <w:rPr>
          <w:rFonts w:ascii="Calibri" w:eastAsia="Calibri" w:hAnsi="Calibri" w:cs="Calibri"/>
          <w:b/>
          <w:bCs/>
          <w:color w:val="1F4E79"/>
          <w:sz w:val="28"/>
          <w:szCs w:val="28"/>
        </w:rPr>
        <w:lastRenderedPageBreak/>
        <w:t>Acknowledgements</w:t>
      </w:r>
    </w:p>
    <w:p w14:paraId="22E15940" w14:textId="6582D717" w:rsidR="00DB19B6" w:rsidRDefault="00DB19B6" w:rsidP="00DB19B6">
      <w:pPr>
        <w:spacing w:after="180" w:line="276" w:lineRule="auto"/>
        <w:jc w:val="both"/>
      </w:pPr>
      <w:r>
        <w:rPr>
          <w:rFonts w:ascii="Calibri" w:eastAsia="Calibri" w:hAnsi="Calibri" w:cs="Calibri"/>
          <w:sz w:val="22"/>
          <w:szCs w:val="22"/>
        </w:rPr>
        <w:t>I would like to thank my supervisor for the guidance, constructive feedback and encouragement provided throughout the development of this dissertation.</w:t>
      </w:r>
    </w:p>
    <w:p w14:paraId="3A29AC17" w14:textId="3509F7FA" w:rsidR="00DB19B6" w:rsidRDefault="00DB19B6" w:rsidP="00DB19B6">
      <w:pPr>
        <w:spacing w:after="180" w:line="276" w:lineRule="auto"/>
        <w:jc w:val="both"/>
      </w:pPr>
      <w:r>
        <w:rPr>
          <w:rFonts w:ascii="Calibri" w:eastAsia="Calibri" w:hAnsi="Calibri" w:cs="Calibri"/>
          <w:sz w:val="22"/>
          <w:szCs w:val="22"/>
        </w:rPr>
        <w:t>I am also grateful to the academic staff of the University of Wales Trinity Saint David for their teaching and support over the course of the MBA programme.</w:t>
      </w:r>
    </w:p>
    <w:p w14:paraId="6BBBBEE7" w14:textId="77777777" w:rsidR="00DB19B6" w:rsidRDefault="00DB19B6" w:rsidP="00DB19B6">
      <w:pPr>
        <w:spacing w:after="180" w:line="276" w:lineRule="auto"/>
        <w:jc w:val="both"/>
        <w:rPr>
          <w:rFonts w:ascii="Calibri" w:eastAsia="Calibri" w:hAnsi="Calibri" w:cs="Calibri"/>
          <w:sz w:val="22"/>
          <w:szCs w:val="22"/>
        </w:rPr>
      </w:pPr>
      <w:r>
        <w:rPr>
          <w:rFonts w:ascii="Calibri" w:eastAsia="Calibri" w:hAnsi="Calibri" w:cs="Calibri"/>
          <w:sz w:val="22"/>
          <w:szCs w:val="22"/>
        </w:rPr>
        <w:t>Finally, I would like to thank my family and friends for their patience and support during the completion of this work.</w:t>
      </w:r>
    </w:p>
    <w:p w14:paraId="1494CE9C" w14:textId="77777777" w:rsidR="00DB19B6" w:rsidRDefault="00DB19B6" w:rsidP="00DB19B6">
      <w:pPr>
        <w:spacing w:after="180" w:line="276" w:lineRule="auto"/>
        <w:jc w:val="both"/>
        <w:rPr>
          <w:rFonts w:ascii="Calibri" w:eastAsia="Calibri" w:hAnsi="Calibri" w:cs="Calibri"/>
          <w:sz w:val="22"/>
          <w:szCs w:val="22"/>
        </w:rPr>
      </w:pPr>
    </w:p>
    <w:p w14:paraId="0A8174ED" w14:textId="77777777" w:rsidR="00DB19B6" w:rsidRDefault="00DB19B6" w:rsidP="00DB19B6">
      <w:pPr>
        <w:spacing w:after="180" w:line="276" w:lineRule="auto"/>
        <w:jc w:val="both"/>
        <w:rPr>
          <w:rFonts w:ascii="Calibri" w:eastAsia="Calibri" w:hAnsi="Calibri" w:cs="Calibri"/>
          <w:sz w:val="22"/>
          <w:szCs w:val="22"/>
        </w:rPr>
      </w:pPr>
    </w:p>
    <w:p w14:paraId="0377984D" w14:textId="77777777" w:rsidR="00DB19B6" w:rsidRDefault="00DB19B6" w:rsidP="00DB19B6">
      <w:pPr>
        <w:spacing w:after="180" w:line="276" w:lineRule="auto"/>
        <w:jc w:val="both"/>
        <w:rPr>
          <w:rFonts w:ascii="Calibri" w:eastAsia="Calibri" w:hAnsi="Calibri" w:cs="Calibri"/>
          <w:sz w:val="22"/>
          <w:szCs w:val="22"/>
        </w:rPr>
      </w:pPr>
    </w:p>
    <w:p w14:paraId="776C1635" w14:textId="77777777" w:rsidR="00DB19B6" w:rsidRDefault="00DB19B6" w:rsidP="00DB19B6">
      <w:pPr>
        <w:spacing w:after="180" w:line="276" w:lineRule="auto"/>
        <w:jc w:val="both"/>
        <w:rPr>
          <w:rFonts w:ascii="Calibri" w:eastAsia="Calibri" w:hAnsi="Calibri" w:cs="Calibri"/>
          <w:sz w:val="22"/>
          <w:szCs w:val="22"/>
        </w:rPr>
      </w:pPr>
    </w:p>
    <w:p w14:paraId="045992C2" w14:textId="77777777" w:rsidR="00DB19B6" w:rsidRDefault="00DB19B6" w:rsidP="00DB19B6">
      <w:pPr>
        <w:spacing w:after="180" w:line="276" w:lineRule="auto"/>
        <w:jc w:val="both"/>
        <w:rPr>
          <w:rFonts w:ascii="Calibri" w:eastAsia="Calibri" w:hAnsi="Calibri" w:cs="Calibri"/>
          <w:sz w:val="22"/>
          <w:szCs w:val="22"/>
        </w:rPr>
      </w:pPr>
    </w:p>
    <w:p w14:paraId="2793DFFA" w14:textId="77777777" w:rsidR="00DB19B6" w:rsidRDefault="00DB19B6" w:rsidP="00DB19B6">
      <w:pPr>
        <w:spacing w:after="180" w:line="276" w:lineRule="auto"/>
        <w:jc w:val="both"/>
        <w:rPr>
          <w:rFonts w:ascii="Calibri" w:eastAsia="Calibri" w:hAnsi="Calibri" w:cs="Calibri"/>
          <w:sz w:val="22"/>
          <w:szCs w:val="22"/>
        </w:rPr>
      </w:pPr>
    </w:p>
    <w:p w14:paraId="0FD17CB2" w14:textId="77777777" w:rsidR="00DB19B6" w:rsidRDefault="00DB19B6" w:rsidP="00DB19B6">
      <w:pPr>
        <w:spacing w:after="180" w:line="276" w:lineRule="auto"/>
        <w:jc w:val="both"/>
        <w:rPr>
          <w:rFonts w:ascii="Calibri" w:eastAsia="Calibri" w:hAnsi="Calibri" w:cs="Calibri"/>
          <w:sz w:val="22"/>
          <w:szCs w:val="22"/>
        </w:rPr>
      </w:pPr>
    </w:p>
    <w:p w14:paraId="6AD9D966" w14:textId="77777777" w:rsidR="00DB19B6" w:rsidRDefault="00DB19B6" w:rsidP="00DB19B6">
      <w:pPr>
        <w:spacing w:after="180" w:line="276" w:lineRule="auto"/>
        <w:jc w:val="both"/>
        <w:rPr>
          <w:rFonts w:ascii="Calibri" w:eastAsia="Calibri" w:hAnsi="Calibri" w:cs="Calibri"/>
          <w:sz w:val="22"/>
          <w:szCs w:val="22"/>
        </w:rPr>
      </w:pPr>
    </w:p>
    <w:p w14:paraId="48179FDD" w14:textId="77777777" w:rsidR="00DB19B6" w:rsidRDefault="00DB19B6" w:rsidP="00DB19B6">
      <w:pPr>
        <w:spacing w:after="180" w:line="276" w:lineRule="auto"/>
        <w:jc w:val="both"/>
        <w:rPr>
          <w:rFonts w:ascii="Calibri" w:eastAsia="Calibri" w:hAnsi="Calibri" w:cs="Calibri"/>
          <w:sz w:val="22"/>
          <w:szCs w:val="22"/>
        </w:rPr>
      </w:pPr>
    </w:p>
    <w:p w14:paraId="7741C64A" w14:textId="77777777" w:rsidR="00DB19B6" w:rsidRDefault="00DB19B6" w:rsidP="00DB19B6">
      <w:pPr>
        <w:spacing w:after="180" w:line="276" w:lineRule="auto"/>
        <w:jc w:val="both"/>
        <w:rPr>
          <w:rFonts w:ascii="Calibri" w:eastAsia="Calibri" w:hAnsi="Calibri" w:cs="Calibri"/>
          <w:sz w:val="22"/>
          <w:szCs w:val="22"/>
        </w:rPr>
      </w:pPr>
    </w:p>
    <w:p w14:paraId="6FA2EA77" w14:textId="77777777" w:rsidR="00DB19B6" w:rsidRDefault="00DB19B6" w:rsidP="00DB19B6">
      <w:pPr>
        <w:spacing w:after="180" w:line="276" w:lineRule="auto"/>
        <w:jc w:val="both"/>
        <w:rPr>
          <w:rFonts w:ascii="Calibri" w:eastAsia="Calibri" w:hAnsi="Calibri" w:cs="Calibri"/>
          <w:sz w:val="22"/>
          <w:szCs w:val="22"/>
        </w:rPr>
      </w:pPr>
    </w:p>
    <w:p w14:paraId="0D162997" w14:textId="77777777" w:rsidR="00DB19B6" w:rsidRDefault="00DB19B6" w:rsidP="00DB19B6">
      <w:pPr>
        <w:spacing w:after="180" w:line="276" w:lineRule="auto"/>
        <w:jc w:val="both"/>
        <w:rPr>
          <w:rFonts w:ascii="Calibri" w:eastAsia="Calibri" w:hAnsi="Calibri" w:cs="Calibri"/>
          <w:sz w:val="22"/>
          <w:szCs w:val="22"/>
        </w:rPr>
      </w:pPr>
    </w:p>
    <w:p w14:paraId="6D887544" w14:textId="77777777" w:rsidR="00DB19B6" w:rsidRDefault="00DB19B6" w:rsidP="00DB19B6">
      <w:pPr>
        <w:spacing w:after="180" w:line="276" w:lineRule="auto"/>
        <w:jc w:val="both"/>
        <w:rPr>
          <w:rFonts w:ascii="Calibri" w:eastAsia="Calibri" w:hAnsi="Calibri" w:cs="Calibri"/>
          <w:sz w:val="22"/>
          <w:szCs w:val="22"/>
        </w:rPr>
      </w:pPr>
    </w:p>
    <w:p w14:paraId="6B8ED67B" w14:textId="77777777" w:rsidR="00DB19B6" w:rsidRDefault="00DB19B6" w:rsidP="00DB19B6">
      <w:pPr>
        <w:spacing w:after="180" w:line="276" w:lineRule="auto"/>
        <w:jc w:val="both"/>
        <w:rPr>
          <w:rFonts w:ascii="Calibri" w:eastAsia="Calibri" w:hAnsi="Calibri" w:cs="Calibri"/>
          <w:sz w:val="22"/>
          <w:szCs w:val="22"/>
        </w:rPr>
      </w:pPr>
    </w:p>
    <w:p w14:paraId="2C85A6AA" w14:textId="77777777" w:rsidR="00DB19B6" w:rsidRDefault="00DB19B6" w:rsidP="00DB19B6">
      <w:pPr>
        <w:spacing w:after="180" w:line="276" w:lineRule="auto"/>
        <w:jc w:val="both"/>
        <w:rPr>
          <w:rFonts w:ascii="Calibri" w:eastAsia="Calibri" w:hAnsi="Calibri" w:cs="Calibri"/>
          <w:sz w:val="22"/>
          <w:szCs w:val="22"/>
        </w:rPr>
      </w:pPr>
    </w:p>
    <w:p w14:paraId="220D65B2" w14:textId="77777777" w:rsidR="00DB19B6" w:rsidRDefault="00DB19B6" w:rsidP="00DB19B6">
      <w:pPr>
        <w:spacing w:after="180" w:line="276" w:lineRule="auto"/>
        <w:jc w:val="both"/>
        <w:rPr>
          <w:rFonts w:ascii="Calibri" w:eastAsia="Calibri" w:hAnsi="Calibri" w:cs="Calibri"/>
          <w:sz w:val="22"/>
          <w:szCs w:val="22"/>
        </w:rPr>
      </w:pPr>
    </w:p>
    <w:p w14:paraId="507B0CC9" w14:textId="77777777" w:rsidR="00DB19B6" w:rsidRDefault="00DB19B6" w:rsidP="00DB19B6">
      <w:pPr>
        <w:spacing w:after="180" w:line="276" w:lineRule="auto"/>
        <w:jc w:val="both"/>
        <w:rPr>
          <w:rFonts w:ascii="Calibri" w:eastAsia="Calibri" w:hAnsi="Calibri" w:cs="Calibri"/>
          <w:sz w:val="22"/>
          <w:szCs w:val="22"/>
        </w:rPr>
      </w:pPr>
    </w:p>
    <w:p w14:paraId="5900B759" w14:textId="77777777" w:rsidR="00DB19B6" w:rsidRDefault="00DB19B6" w:rsidP="00DB19B6">
      <w:pPr>
        <w:spacing w:after="180" w:line="276" w:lineRule="auto"/>
        <w:jc w:val="both"/>
        <w:rPr>
          <w:rFonts w:ascii="Calibri" w:eastAsia="Calibri" w:hAnsi="Calibri" w:cs="Calibri"/>
          <w:sz w:val="22"/>
          <w:szCs w:val="22"/>
        </w:rPr>
      </w:pPr>
    </w:p>
    <w:p w14:paraId="4B52A6C6" w14:textId="77777777" w:rsidR="00DB19B6" w:rsidRDefault="00DB19B6" w:rsidP="00DB19B6">
      <w:pPr>
        <w:spacing w:after="180" w:line="276" w:lineRule="auto"/>
        <w:jc w:val="both"/>
        <w:rPr>
          <w:rFonts w:ascii="Calibri" w:eastAsia="Calibri" w:hAnsi="Calibri" w:cs="Calibri"/>
          <w:sz w:val="22"/>
          <w:szCs w:val="22"/>
        </w:rPr>
      </w:pPr>
    </w:p>
    <w:p w14:paraId="4AE70895" w14:textId="77777777" w:rsidR="00DB19B6" w:rsidRDefault="00DB19B6" w:rsidP="00DB19B6">
      <w:pPr>
        <w:spacing w:after="180" w:line="276" w:lineRule="auto"/>
        <w:jc w:val="both"/>
        <w:rPr>
          <w:rFonts w:ascii="Calibri" w:eastAsia="Calibri" w:hAnsi="Calibri" w:cs="Calibri"/>
          <w:sz w:val="22"/>
          <w:szCs w:val="22"/>
        </w:rPr>
      </w:pPr>
    </w:p>
    <w:p w14:paraId="0B4D363B" w14:textId="77777777" w:rsidR="00DB19B6" w:rsidRDefault="00DB19B6" w:rsidP="00DB19B6">
      <w:pPr>
        <w:spacing w:after="180" w:line="276" w:lineRule="auto"/>
        <w:jc w:val="both"/>
        <w:rPr>
          <w:rFonts w:ascii="Calibri" w:eastAsia="Calibri" w:hAnsi="Calibri" w:cs="Calibri"/>
          <w:sz w:val="22"/>
          <w:szCs w:val="22"/>
        </w:rPr>
      </w:pPr>
    </w:p>
    <w:p w14:paraId="4ED9C5DE" w14:textId="77777777" w:rsidR="00DB19B6" w:rsidRDefault="00DB19B6" w:rsidP="00DB19B6">
      <w:pPr>
        <w:spacing w:after="180" w:line="276" w:lineRule="auto"/>
        <w:jc w:val="both"/>
      </w:pPr>
    </w:p>
    <w:p w14:paraId="188F3A78" w14:textId="77777777" w:rsidR="00DB19B6" w:rsidRDefault="00DB19B6"/>
    <w:p w14:paraId="13D6A660" w14:textId="77777777" w:rsidR="00997FE4" w:rsidRDefault="00000000">
      <w:pPr>
        <w:pStyle w:val="Heading1"/>
        <w:spacing w:before="360" w:after="200"/>
      </w:pPr>
      <w:r>
        <w:rPr>
          <w:rFonts w:ascii="Calibri" w:eastAsia="Calibri" w:hAnsi="Calibri" w:cs="Calibri"/>
          <w:b/>
          <w:bCs/>
          <w:color w:val="1F4E79"/>
          <w:sz w:val="28"/>
          <w:szCs w:val="28"/>
        </w:rPr>
        <w:lastRenderedPageBreak/>
        <w:t>Table of Contents</w:t>
      </w:r>
    </w:p>
    <w:p w14:paraId="2CB96567" w14:textId="77777777" w:rsidR="00997FE4" w:rsidRDefault="00000000">
      <w:pPr>
        <w:tabs>
          <w:tab w:val="right" w:leader="dot" w:pos="9350"/>
        </w:tabs>
        <w:spacing w:after="80"/>
      </w:pPr>
      <w:r>
        <w:rPr>
          <w:rFonts w:ascii="Calibri" w:eastAsia="Calibri" w:hAnsi="Calibri" w:cs="Calibri"/>
          <w:b/>
          <w:bCs/>
        </w:rPr>
        <w:t>1. Introduction</w:t>
      </w:r>
      <w:r>
        <w:rPr>
          <w:rFonts w:ascii="Calibri" w:eastAsia="Calibri" w:hAnsi="Calibri" w:cs="Calibri"/>
          <w:b/>
          <w:bCs/>
        </w:rPr>
        <w:tab/>
        <w:t>3</w:t>
      </w:r>
    </w:p>
    <w:p w14:paraId="5F73E08E" w14:textId="77777777" w:rsidR="00997FE4" w:rsidRDefault="00000000">
      <w:pPr>
        <w:tabs>
          <w:tab w:val="right" w:leader="dot" w:pos="9350"/>
        </w:tabs>
        <w:spacing w:after="40"/>
        <w:ind w:left="360"/>
      </w:pPr>
      <w:r>
        <w:rPr>
          <w:rFonts w:ascii="Calibri" w:eastAsia="Calibri" w:hAnsi="Calibri" w:cs="Calibri"/>
          <w:sz w:val="19"/>
          <w:szCs w:val="19"/>
        </w:rPr>
        <w:t>1.1 Background</w:t>
      </w:r>
      <w:r>
        <w:rPr>
          <w:rFonts w:ascii="Calibri" w:eastAsia="Calibri" w:hAnsi="Calibri" w:cs="Calibri"/>
          <w:sz w:val="19"/>
          <w:szCs w:val="19"/>
        </w:rPr>
        <w:tab/>
        <w:t>3</w:t>
      </w:r>
    </w:p>
    <w:p w14:paraId="7B7A9401" w14:textId="77777777" w:rsidR="00997FE4" w:rsidRDefault="00000000">
      <w:pPr>
        <w:tabs>
          <w:tab w:val="right" w:leader="dot" w:pos="9350"/>
        </w:tabs>
        <w:spacing w:after="40"/>
        <w:ind w:left="360"/>
      </w:pPr>
      <w:r>
        <w:rPr>
          <w:rFonts w:ascii="Calibri" w:eastAsia="Calibri" w:hAnsi="Calibri" w:cs="Calibri"/>
          <w:sz w:val="19"/>
          <w:szCs w:val="19"/>
        </w:rPr>
        <w:t>1.2 Research Problem and Gap in the Literature</w:t>
      </w:r>
      <w:r>
        <w:rPr>
          <w:rFonts w:ascii="Calibri" w:eastAsia="Calibri" w:hAnsi="Calibri" w:cs="Calibri"/>
          <w:sz w:val="19"/>
          <w:szCs w:val="19"/>
        </w:rPr>
        <w:tab/>
        <w:t>3</w:t>
      </w:r>
    </w:p>
    <w:p w14:paraId="288CE433" w14:textId="77777777" w:rsidR="00997FE4" w:rsidRDefault="00000000">
      <w:pPr>
        <w:tabs>
          <w:tab w:val="right" w:leader="dot" w:pos="9350"/>
        </w:tabs>
        <w:spacing w:after="40"/>
        <w:ind w:left="360"/>
      </w:pPr>
      <w:r>
        <w:rPr>
          <w:rFonts w:ascii="Calibri" w:eastAsia="Calibri" w:hAnsi="Calibri" w:cs="Calibri"/>
          <w:sz w:val="19"/>
          <w:szCs w:val="19"/>
        </w:rPr>
        <w:t>1.3 Urgency and Timeliness of the Topic</w:t>
      </w:r>
      <w:r>
        <w:rPr>
          <w:rFonts w:ascii="Calibri" w:eastAsia="Calibri" w:hAnsi="Calibri" w:cs="Calibri"/>
          <w:sz w:val="19"/>
          <w:szCs w:val="19"/>
        </w:rPr>
        <w:tab/>
        <w:t>3</w:t>
      </w:r>
    </w:p>
    <w:p w14:paraId="401B397E" w14:textId="77777777" w:rsidR="00997FE4" w:rsidRDefault="00000000">
      <w:pPr>
        <w:tabs>
          <w:tab w:val="right" w:leader="dot" w:pos="9350"/>
        </w:tabs>
        <w:spacing w:after="40"/>
        <w:ind w:left="360"/>
      </w:pPr>
      <w:r>
        <w:rPr>
          <w:rFonts w:ascii="Calibri" w:eastAsia="Calibri" w:hAnsi="Calibri" w:cs="Calibri"/>
          <w:sz w:val="19"/>
          <w:szCs w:val="19"/>
        </w:rPr>
        <w:t>1.4 Research Aim and Objectives</w:t>
      </w:r>
      <w:r>
        <w:rPr>
          <w:rFonts w:ascii="Calibri" w:eastAsia="Calibri" w:hAnsi="Calibri" w:cs="Calibri"/>
          <w:sz w:val="19"/>
          <w:szCs w:val="19"/>
        </w:rPr>
        <w:tab/>
        <w:t>3</w:t>
      </w:r>
    </w:p>
    <w:p w14:paraId="6F795CC1" w14:textId="77777777" w:rsidR="00997FE4" w:rsidRDefault="00000000">
      <w:pPr>
        <w:tabs>
          <w:tab w:val="right" w:leader="dot" w:pos="9350"/>
        </w:tabs>
        <w:spacing w:after="40"/>
        <w:ind w:left="360"/>
      </w:pPr>
      <w:r>
        <w:rPr>
          <w:rFonts w:ascii="Calibri" w:eastAsia="Calibri" w:hAnsi="Calibri" w:cs="Calibri"/>
          <w:sz w:val="19"/>
          <w:szCs w:val="19"/>
        </w:rPr>
        <w:t>1.5 Research Questions</w:t>
      </w:r>
      <w:r>
        <w:rPr>
          <w:rFonts w:ascii="Calibri" w:eastAsia="Calibri" w:hAnsi="Calibri" w:cs="Calibri"/>
          <w:sz w:val="19"/>
          <w:szCs w:val="19"/>
        </w:rPr>
        <w:tab/>
        <w:t>4</w:t>
      </w:r>
    </w:p>
    <w:p w14:paraId="1DE84AFB" w14:textId="77777777" w:rsidR="00997FE4" w:rsidRDefault="00000000">
      <w:pPr>
        <w:tabs>
          <w:tab w:val="right" w:leader="dot" w:pos="9350"/>
        </w:tabs>
        <w:spacing w:after="40"/>
        <w:ind w:left="360"/>
      </w:pPr>
      <w:r>
        <w:rPr>
          <w:rFonts w:ascii="Calibri" w:eastAsia="Calibri" w:hAnsi="Calibri" w:cs="Calibri"/>
          <w:sz w:val="19"/>
          <w:szCs w:val="19"/>
        </w:rPr>
        <w:t>1.6 Scope of the Review</w:t>
      </w:r>
      <w:r>
        <w:rPr>
          <w:rFonts w:ascii="Calibri" w:eastAsia="Calibri" w:hAnsi="Calibri" w:cs="Calibri"/>
          <w:sz w:val="19"/>
          <w:szCs w:val="19"/>
        </w:rPr>
        <w:tab/>
        <w:t>4</w:t>
      </w:r>
    </w:p>
    <w:p w14:paraId="73914431" w14:textId="77777777" w:rsidR="00997FE4" w:rsidRDefault="00000000">
      <w:pPr>
        <w:tabs>
          <w:tab w:val="right" w:leader="dot" w:pos="9350"/>
        </w:tabs>
        <w:spacing w:after="40"/>
        <w:ind w:left="360"/>
      </w:pPr>
      <w:r>
        <w:rPr>
          <w:rFonts w:ascii="Calibri" w:eastAsia="Calibri" w:hAnsi="Calibri" w:cs="Calibri"/>
          <w:sz w:val="19"/>
          <w:szCs w:val="19"/>
        </w:rPr>
        <w:t>1.7 Structure of the Dissertation</w:t>
      </w:r>
      <w:r>
        <w:rPr>
          <w:rFonts w:ascii="Calibri" w:eastAsia="Calibri" w:hAnsi="Calibri" w:cs="Calibri"/>
          <w:sz w:val="19"/>
          <w:szCs w:val="19"/>
        </w:rPr>
        <w:tab/>
        <w:t>4</w:t>
      </w:r>
    </w:p>
    <w:p w14:paraId="26F1F0CE" w14:textId="5E51F772" w:rsidR="00997FE4" w:rsidRDefault="00000000">
      <w:pPr>
        <w:tabs>
          <w:tab w:val="right" w:leader="dot" w:pos="9350"/>
        </w:tabs>
        <w:spacing w:after="80"/>
      </w:pPr>
      <w:r>
        <w:rPr>
          <w:rFonts w:ascii="Calibri" w:eastAsia="Calibri" w:hAnsi="Calibri" w:cs="Calibri"/>
          <w:b/>
          <w:bCs/>
        </w:rPr>
        <w:t>2. Methodology</w:t>
      </w:r>
      <w:r>
        <w:rPr>
          <w:rFonts w:ascii="Calibri" w:eastAsia="Calibri" w:hAnsi="Calibri" w:cs="Calibri"/>
          <w:b/>
          <w:bCs/>
        </w:rPr>
        <w:tab/>
      </w:r>
      <w:r w:rsidR="00380088">
        <w:rPr>
          <w:rFonts w:ascii="Calibri" w:eastAsia="Calibri" w:hAnsi="Calibri" w:cs="Calibri"/>
          <w:b/>
          <w:bCs/>
        </w:rPr>
        <w:t>6</w:t>
      </w:r>
    </w:p>
    <w:p w14:paraId="2AAFE2FB" w14:textId="41430FFE" w:rsidR="00997FE4" w:rsidRDefault="00000000">
      <w:pPr>
        <w:tabs>
          <w:tab w:val="right" w:leader="dot" w:pos="9350"/>
        </w:tabs>
        <w:spacing w:after="40"/>
        <w:ind w:left="360"/>
      </w:pPr>
      <w:r>
        <w:rPr>
          <w:rFonts w:ascii="Calibri" w:eastAsia="Calibri" w:hAnsi="Calibri" w:cs="Calibri"/>
          <w:sz w:val="19"/>
          <w:szCs w:val="19"/>
        </w:rPr>
        <w:t>2.1 Search Strategy</w:t>
      </w:r>
      <w:r>
        <w:rPr>
          <w:rFonts w:ascii="Calibri" w:eastAsia="Calibri" w:hAnsi="Calibri" w:cs="Calibri"/>
          <w:sz w:val="19"/>
          <w:szCs w:val="19"/>
        </w:rPr>
        <w:tab/>
      </w:r>
      <w:r w:rsidR="00380088">
        <w:rPr>
          <w:rFonts w:ascii="Calibri" w:eastAsia="Calibri" w:hAnsi="Calibri" w:cs="Calibri"/>
          <w:sz w:val="19"/>
          <w:szCs w:val="19"/>
        </w:rPr>
        <w:t>6</w:t>
      </w:r>
    </w:p>
    <w:p w14:paraId="38A39059" w14:textId="7B8778E5" w:rsidR="00997FE4" w:rsidRDefault="00000000">
      <w:pPr>
        <w:tabs>
          <w:tab w:val="right" w:leader="dot" w:pos="9350"/>
        </w:tabs>
        <w:spacing w:after="40"/>
        <w:ind w:left="360"/>
      </w:pPr>
      <w:r>
        <w:rPr>
          <w:rFonts w:ascii="Calibri" w:eastAsia="Calibri" w:hAnsi="Calibri" w:cs="Calibri"/>
          <w:sz w:val="19"/>
          <w:szCs w:val="19"/>
        </w:rPr>
        <w:t>2.2 Databases and Sources</w:t>
      </w:r>
      <w:r>
        <w:rPr>
          <w:rFonts w:ascii="Calibri" w:eastAsia="Calibri" w:hAnsi="Calibri" w:cs="Calibri"/>
          <w:sz w:val="19"/>
          <w:szCs w:val="19"/>
        </w:rPr>
        <w:tab/>
      </w:r>
      <w:r w:rsidR="00380088">
        <w:rPr>
          <w:rFonts w:ascii="Calibri" w:eastAsia="Calibri" w:hAnsi="Calibri" w:cs="Calibri"/>
          <w:sz w:val="19"/>
          <w:szCs w:val="19"/>
        </w:rPr>
        <w:t>6</w:t>
      </w:r>
    </w:p>
    <w:p w14:paraId="75E58603" w14:textId="08A3EC53" w:rsidR="00997FE4" w:rsidRDefault="00000000">
      <w:pPr>
        <w:tabs>
          <w:tab w:val="right" w:leader="dot" w:pos="9350"/>
        </w:tabs>
        <w:spacing w:after="40"/>
        <w:ind w:left="360"/>
      </w:pPr>
      <w:r>
        <w:rPr>
          <w:rFonts w:ascii="Calibri" w:eastAsia="Calibri" w:hAnsi="Calibri" w:cs="Calibri"/>
          <w:sz w:val="19"/>
          <w:szCs w:val="19"/>
        </w:rPr>
        <w:t>2.3 Keywords and Search Terms</w:t>
      </w:r>
      <w:r>
        <w:rPr>
          <w:rFonts w:ascii="Calibri" w:eastAsia="Calibri" w:hAnsi="Calibri" w:cs="Calibri"/>
          <w:sz w:val="19"/>
          <w:szCs w:val="19"/>
        </w:rPr>
        <w:tab/>
      </w:r>
      <w:r w:rsidR="00380088">
        <w:rPr>
          <w:rFonts w:ascii="Calibri" w:eastAsia="Calibri" w:hAnsi="Calibri" w:cs="Calibri"/>
          <w:sz w:val="19"/>
          <w:szCs w:val="19"/>
        </w:rPr>
        <w:t>7</w:t>
      </w:r>
    </w:p>
    <w:p w14:paraId="01531F93" w14:textId="0F915EDD" w:rsidR="00997FE4" w:rsidRDefault="00000000">
      <w:pPr>
        <w:tabs>
          <w:tab w:val="right" w:leader="dot" w:pos="9350"/>
        </w:tabs>
        <w:spacing w:after="40"/>
        <w:ind w:left="360"/>
      </w:pPr>
      <w:r>
        <w:rPr>
          <w:rFonts w:ascii="Calibri" w:eastAsia="Calibri" w:hAnsi="Calibri" w:cs="Calibri"/>
          <w:sz w:val="19"/>
          <w:szCs w:val="19"/>
        </w:rPr>
        <w:t>2.4 Time Frame for Included Publications</w:t>
      </w:r>
      <w:r>
        <w:rPr>
          <w:rFonts w:ascii="Calibri" w:eastAsia="Calibri" w:hAnsi="Calibri" w:cs="Calibri"/>
          <w:sz w:val="19"/>
          <w:szCs w:val="19"/>
        </w:rPr>
        <w:tab/>
      </w:r>
      <w:r w:rsidR="00380088">
        <w:rPr>
          <w:rFonts w:ascii="Calibri" w:eastAsia="Calibri" w:hAnsi="Calibri" w:cs="Calibri"/>
          <w:sz w:val="19"/>
          <w:szCs w:val="19"/>
        </w:rPr>
        <w:t>7</w:t>
      </w:r>
    </w:p>
    <w:p w14:paraId="6CEEEEE4" w14:textId="759FE289" w:rsidR="00997FE4" w:rsidRDefault="00000000">
      <w:pPr>
        <w:tabs>
          <w:tab w:val="right" w:leader="dot" w:pos="9350"/>
        </w:tabs>
        <w:spacing w:after="40"/>
        <w:ind w:left="360"/>
      </w:pPr>
      <w:r>
        <w:rPr>
          <w:rFonts w:ascii="Calibri" w:eastAsia="Calibri" w:hAnsi="Calibri" w:cs="Calibri"/>
          <w:sz w:val="19"/>
          <w:szCs w:val="19"/>
        </w:rPr>
        <w:t>2.5 Inclusion and Exclusion Criteria</w:t>
      </w:r>
      <w:r>
        <w:rPr>
          <w:rFonts w:ascii="Calibri" w:eastAsia="Calibri" w:hAnsi="Calibri" w:cs="Calibri"/>
          <w:sz w:val="19"/>
          <w:szCs w:val="19"/>
        </w:rPr>
        <w:tab/>
      </w:r>
      <w:r w:rsidR="00380088">
        <w:rPr>
          <w:rFonts w:ascii="Calibri" w:eastAsia="Calibri" w:hAnsi="Calibri" w:cs="Calibri"/>
          <w:sz w:val="19"/>
          <w:szCs w:val="19"/>
        </w:rPr>
        <w:t>7</w:t>
      </w:r>
    </w:p>
    <w:p w14:paraId="254F8C47" w14:textId="70069F12" w:rsidR="00997FE4" w:rsidRDefault="00000000">
      <w:pPr>
        <w:tabs>
          <w:tab w:val="right" w:leader="dot" w:pos="9350"/>
        </w:tabs>
        <w:spacing w:after="40"/>
        <w:ind w:left="360"/>
      </w:pPr>
      <w:r>
        <w:rPr>
          <w:rFonts w:ascii="Calibri" w:eastAsia="Calibri" w:hAnsi="Calibri" w:cs="Calibri"/>
          <w:sz w:val="19"/>
          <w:szCs w:val="19"/>
        </w:rPr>
        <w:t>2.6 Screening Process (PRISMA-Style)</w:t>
      </w:r>
      <w:r>
        <w:rPr>
          <w:rFonts w:ascii="Calibri" w:eastAsia="Calibri" w:hAnsi="Calibri" w:cs="Calibri"/>
          <w:sz w:val="19"/>
          <w:szCs w:val="19"/>
        </w:rPr>
        <w:tab/>
      </w:r>
      <w:r w:rsidR="00380088">
        <w:rPr>
          <w:rFonts w:ascii="Calibri" w:eastAsia="Calibri" w:hAnsi="Calibri" w:cs="Calibri"/>
          <w:sz w:val="19"/>
          <w:szCs w:val="19"/>
        </w:rPr>
        <w:t>7</w:t>
      </w:r>
    </w:p>
    <w:p w14:paraId="77C550F0" w14:textId="3B1E8B88" w:rsidR="00997FE4" w:rsidRDefault="00000000">
      <w:pPr>
        <w:tabs>
          <w:tab w:val="right" w:leader="dot" w:pos="9350"/>
        </w:tabs>
        <w:spacing w:after="40"/>
        <w:ind w:left="360"/>
      </w:pPr>
      <w:r>
        <w:rPr>
          <w:rFonts w:ascii="Calibri" w:eastAsia="Calibri" w:hAnsi="Calibri" w:cs="Calibri"/>
          <w:sz w:val="19"/>
          <w:szCs w:val="19"/>
        </w:rPr>
        <w:t>2.7 Quality Assessment of Included Studies</w:t>
      </w:r>
      <w:r>
        <w:rPr>
          <w:rFonts w:ascii="Calibri" w:eastAsia="Calibri" w:hAnsi="Calibri" w:cs="Calibri"/>
          <w:sz w:val="19"/>
          <w:szCs w:val="19"/>
        </w:rPr>
        <w:tab/>
      </w:r>
      <w:r w:rsidR="00380088">
        <w:rPr>
          <w:rFonts w:ascii="Calibri" w:eastAsia="Calibri" w:hAnsi="Calibri" w:cs="Calibri"/>
          <w:sz w:val="19"/>
          <w:szCs w:val="19"/>
        </w:rPr>
        <w:t>8</w:t>
      </w:r>
    </w:p>
    <w:p w14:paraId="67BEFC86" w14:textId="28DD7A24" w:rsidR="00997FE4" w:rsidRDefault="00000000">
      <w:pPr>
        <w:tabs>
          <w:tab w:val="right" w:leader="dot" w:pos="9350"/>
        </w:tabs>
        <w:spacing w:after="40"/>
        <w:ind w:left="360"/>
      </w:pPr>
      <w:r>
        <w:rPr>
          <w:rFonts w:ascii="Calibri" w:eastAsia="Calibri" w:hAnsi="Calibri" w:cs="Calibri"/>
          <w:sz w:val="19"/>
          <w:szCs w:val="19"/>
        </w:rPr>
        <w:t>2.8 Analytical Method</w:t>
      </w:r>
      <w:r>
        <w:rPr>
          <w:rFonts w:ascii="Calibri" w:eastAsia="Calibri" w:hAnsi="Calibri" w:cs="Calibri"/>
          <w:sz w:val="19"/>
          <w:szCs w:val="19"/>
        </w:rPr>
        <w:tab/>
      </w:r>
      <w:r w:rsidR="00380088">
        <w:rPr>
          <w:rFonts w:ascii="Calibri" w:eastAsia="Calibri" w:hAnsi="Calibri" w:cs="Calibri"/>
          <w:sz w:val="19"/>
          <w:szCs w:val="19"/>
        </w:rPr>
        <w:t>9</w:t>
      </w:r>
    </w:p>
    <w:p w14:paraId="24EA8BE7" w14:textId="5D852490" w:rsidR="00997FE4" w:rsidRDefault="00000000">
      <w:pPr>
        <w:tabs>
          <w:tab w:val="right" w:leader="dot" w:pos="9350"/>
        </w:tabs>
        <w:spacing w:after="40"/>
        <w:ind w:left="360"/>
      </w:pPr>
      <w:r>
        <w:rPr>
          <w:rFonts w:ascii="Calibri" w:eastAsia="Calibri" w:hAnsi="Calibri" w:cs="Calibri"/>
          <w:sz w:val="19"/>
          <w:szCs w:val="19"/>
        </w:rPr>
        <w:t>2.9 Linking Methodology to the Research Questions</w:t>
      </w:r>
      <w:r>
        <w:rPr>
          <w:rFonts w:ascii="Calibri" w:eastAsia="Calibri" w:hAnsi="Calibri" w:cs="Calibri"/>
          <w:sz w:val="19"/>
          <w:szCs w:val="19"/>
        </w:rPr>
        <w:tab/>
      </w:r>
      <w:r w:rsidR="00380088">
        <w:rPr>
          <w:rFonts w:ascii="Calibri" w:eastAsia="Calibri" w:hAnsi="Calibri" w:cs="Calibri"/>
          <w:sz w:val="19"/>
          <w:szCs w:val="19"/>
        </w:rPr>
        <w:t>9</w:t>
      </w:r>
    </w:p>
    <w:p w14:paraId="5505F3FC" w14:textId="65F35A36" w:rsidR="00997FE4" w:rsidRDefault="00000000">
      <w:pPr>
        <w:tabs>
          <w:tab w:val="right" w:leader="dot" w:pos="9350"/>
        </w:tabs>
        <w:spacing w:after="80"/>
      </w:pPr>
      <w:r>
        <w:rPr>
          <w:rFonts w:ascii="Calibri" w:eastAsia="Calibri" w:hAnsi="Calibri" w:cs="Calibri"/>
          <w:b/>
          <w:bCs/>
        </w:rPr>
        <w:t>3. Thematic Literature Review</w:t>
      </w:r>
      <w:r>
        <w:rPr>
          <w:rFonts w:ascii="Calibri" w:eastAsia="Calibri" w:hAnsi="Calibri" w:cs="Calibri"/>
          <w:b/>
          <w:bCs/>
        </w:rPr>
        <w:tab/>
      </w:r>
      <w:r w:rsidR="00380088">
        <w:rPr>
          <w:rFonts w:ascii="Calibri" w:eastAsia="Calibri" w:hAnsi="Calibri" w:cs="Calibri"/>
          <w:b/>
          <w:bCs/>
        </w:rPr>
        <w:t>10</w:t>
      </w:r>
    </w:p>
    <w:p w14:paraId="606DE6EF" w14:textId="2EF48CD7" w:rsidR="00997FE4" w:rsidRDefault="00000000">
      <w:pPr>
        <w:tabs>
          <w:tab w:val="right" w:leader="dot" w:pos="9350"/>
        </w:tabs>
        <w:spacing w:after="40"/>
        <w:ind w:left="360"/>
      </w:pPr>
      <w:r>
        <w:rPr>
          <w:rFonts w:ascii="Calibri" w:eastAsia="Calibri" w:hAnsi="Calibri" w:cs="Calibri"/>
          <w:sz w:val="19"/>
          <w:szCs w:val="19"/>
        </w:rPr>
        <w:t>3.1 Theme 1: Theoretical Foundations</w:t>
      </w:r>
      <w:r>
        <w:rPr>
          <w:rFonts w:ascii="Calibri" w:eastAsia="Calibri" w:hAnsi="Calibri" w:cs="Calibri"/>
          <w:sz w:val="19"/>
          <w:szCs w:val="19"/>
        </w:rPr>
        <w:tab/>
      </w:r>
      <w:r w:rsidR="00380088">
        <w:rPr>
          <w:rFonts w:ascii="Calibri" w:eastAsia="Calibri" w:hAnsi="Calibri" w:cs="Calibri"/>
          <w:sz w:val="19"/>
          <w:szCs w:val="19"/>
        </w:rPr>
        <w:t>10</w:t>
      </w:r>
    </w:p>
    <w:p w14:paraId="7341373D" w14:textId="77777777" w:rsidR="00997FE4" w:rsidRDefault="00000000">
      <w:pPr>
        <w:tabs>
          <w:tab w:val="right" w:leader="dot" w:pos="9350"/>
        </w:tabs>
        <w:spacing w:after="40"/>
        <w:ind w:left="360"/>
      </w:pPr>
      <w:r>
        <w:rPr>
          <w:rFonts w:ascii="Calibri" w:eastAsia="Calibri" w:hAnsi="Calibri" w:cs="Calibri"/>
          <w:sz w:val="19"/>
          <w:szCs w:val="19"/>
        </w:rPr>
        <w:t>3.2 Theme 2: Empirical Findings</w:t>
      </w:r>
      <w:r>
        <w:rPr>
          <w:rFonts w:ascii="Calibri" w:eastAsia="Calibri" w:hAnsi="Calibri" w:cs="Calibri"/>
          <w:sz w:val="19"/>
          <w:szCs w:val="19"/>
        </w:rPr>
        <w:tab/>
        <w:t>13</w:t>
      </w:r>
    </w:p>
    <w:p w14:paraId="27F105E3" w14:textId="77777777" w:rsidR="00997FE4" w:rsidRDefault="00000000">
      <w:pPr>
        <w:tabs>
          <w:tab w:val="right" w:leader="dot" w:pos="9350"/>
        </w:tabs>
        <w:spacing w:after="40"/>
        <w:ind w:left="360"/>
      </w:pPr>
      <w:r>
        <w:rPr>
          <w:rFonts w:ascii="Calibri" w:eastAsia="Calibri" w:hAnsi="Calibri" w:cs="Calibri"/>
          <w:sz w:val="19"/>
          <w:szCs w:val="19"/>
        </w:rPr>
        <w:t>3.3 Theme 3: Emerging Debates</w:t>
      </w:r>
      <w:r>
        <w:rPr>
          <w:rFonts w:ascii="Calibri" w:eastAsia="Calibri" w:hAnsi="Calibri" w:cs="Calibri"/>
          <w:sz w:val="19"/>
          <w:szCs w:val="19"/>
        </w:rPr>
        <w:tab/>
        <w:t>17</w:t>
      </w:r>
    </w:p>
    <w:p w14:paraId="647BB080" w14:textId="77777777" w:rsidR="00997FE4" w:rsidRDefault="00000000">
      <w:pPr>
        <w:tabs>
          <w:tab w:val="right" w:leader="dot" w:pos="9350"/>
        </w:tabs>
        <w:spacing w:after="40"/>
        <w:ind w:left="360"/>
      </w:pPr>
      <w:r>
        <w:rPr>
          <w:rFonts w:ascii="Calibri" w:eastAsia="Calibri" w:hAnsi="Calibri" w:cs="Calibri"/>
          <w:sz w:val="19"/>
          <w:szCs w:val="19"/>
        </w:rPr>
        <w:t>3.4 Theme 4: Research Gaps</w:t>
      </w:r>
      <w:r>
        <w:rPr>
          <w:rFonts w:ascii="Calibri" w:eastAsia="Calibri" w:hAnsi="Calibri" w:cs="Calibri"/>
          <w:sz w:val="19"/>
          <w:szCs w:val="19"/>
        </w:rPr>
        <w:tab/>
        <w:t>19</w:t>
      </w:r>
    </w:p>
    <w:p w14:paraId="782F12EF" w14:textId="77777777" w:rsidR="00997FE4" w:rsidRDefault="00000000">
      <w:pPr>
        <w:tabs>
          <w:tab w:val="right" w:leader="dot" w:pos="9350"/>
        </w:tabs>
        <w:spacing w:after="40"/>
        <w:ind w:left="360"/>
        <w:rPr>
          <w:rFonts w:ascii="Calibri" w:eastAsia="Calibri" w:hAnsi="Calibri" w:cs="Calibri"/>
          <w:sz w:val="19"/>
          <w:szCs w:val="19"/>
        </w:rPr>
      </w:pPr>
      <w:r>
        <w:rPr>
          <w:rFonts w:ascii="Calibri" w:eastAsia="Calibri" w:hAnsi="Calibri" w:cs="Calibri"/>
          <w:sz w:val="19"/>
          <w:szCs w:val="19"/>
        </w:rPr>
        <w:t>3.5 Chapter Summary</w:t>
      </w:r>
      <w:r>
        <w:rPr>
          <w:rFonts w:ascii="Calibri" w:eastAsia="Calibri" w:hAnsi="Calibri" w:cs="Calibri"/>
          <w:sz w:val="19"/>
          <w:szCs w:val="19"/>
        </w:rPr>
        <w:tab/>
        <w:t>20</w:t>
      </w:r>
    </w:p>
    <w:p w14:paraId="7FDC91E6" w14:textId="1EE2A022" w:rsidR="00380088" w:rsidRDefault="00380088" w:rsidP="00380088">
      <w:pPr>
        <w:tabs>
          <w:tab w:val="right" w:leader="dot" w:pos="9350"/>
        </w:tabs>
        <w:spacing w:after="80"/>
      </w:pPr>
      <w:r>
        <w:rPr>
          <w:rFonts w:ascii="Calibri" w:eastAsia="Calibri" w:hAnsi="Calibri" w:cs="Calibri"/>
          <w:b/>
          <w:bCs/>
        </w:rPr>
        <w:t>4. Discussion</w:t>
      </w:r>
      <w:r>
        <w:rPr>
          <w:rFonts w:ascii="Calibri" w:eastAsia="Calibri" w:hAnsi="Calibri" w:cs="Calibri"/>
          <w:b/>
          <w:bCs/>
        </w:rPr>
        <w:tab/>
        <w:t>23</w:t>
      </w:r>
    </w:p>
    <w:p w14:paraId="4BD61FD0" w14:textId="0783F6C8" w:rsidR="00380088" w:rsidRDefault="00380088" w:rsidP="00380088">
      <w:pPr>
        <w:tabs>
          <w:tab w:val="right" w:leader="dot" w:pos="9350"/>
        </w:tabs>
        <w:spacing w:after="40"/>
        <w:ind w:left="360"/>
      </w:pPr>
      <w:r>
        <w:rPr>
          <w:rFonts w:ascii="Calibri" w:eastAsia="Calibri" w:hAnsi="Calibri" w:cs="Calibri"/>
          <w:sz w:val="19"/>
          <w:szCs w:val="19"/>
        </w:rPr>
        <w:t>4.1 Integration of Findings</w:t>
      </w:r>
      <w:r>
        <w:rPr>
          <w:rFonts w:ascii="Calibri" w:eastAsia="Calibri" w:hAnsi="Calibri" w:cs="Calibri"/>
          <w:sz w:val="19"/>
          <w:szCs w:val="19"/>
        </w:rPr>
        <w:tab/>
        <w:t>23</w:t>
      </w:r>
    </w:p>
    <w:p w14:paraId="708F40C2" w14:textId="2E263713" w:rsidR="00380088" w:rsidRDefault="00380088" w:rsidP="00380088">
      <w:pPr>
        <w:tabs>
          <w:tab w:val="right" w:leader="dot" w:pos="9350"/>
        </w:tabs>
        <w:spacing w:after="40"/>
        <w:ind w:left="360"/>
      </w:pPr>
      <w:r>
        <w:rPr>
          <w:rFonts w:ascii="Calibri" w:eastAsia="Calibri" w:hAnsi="Calibri" w:cs="Calibri"/>
          <w:sz w:val="19"/>
          <w:szCs w:val="19"/>
        </w:rPr>
        <w:t>4.2 Comparison Between Studies</w:t>
      </w:r>
      <w:r>
        <w:rPr>
          <w:rFonts w:ascii="Calibri" w:eastAsia="Calibri" w:hAnsi="Calibri" w:cs="Calibri"/>
          <w:sz w:val="19"/>
          <w:szCs w:val="19"/>
        </w:rPr>
        <w:tab/>
        <w:t>23</w:t>
      </w:r>
    </w:p>
    <w:p w14:paraId="42B43648" w14:textId="3D83BF1D" w:rsidR="00380088" w:rsidRDefault="00380088" w:rsidP="00380088">
      <w:pPr>
        <w:tabs>
          <w:tab w:val="right" w:leader="dot" w:pos="9350"/>
        </w:tabs>
        <w:spacing w:after="40"/>
        <w:ind w:left="360"/>
      </w:pPr>
      <w:r>
        <w:rPr>
          <w:rFonts w:ascii="Calibri" w:eastAsia="Calibri" w:hAnsi="Calibri" w:cs="Calibri"/>
          <w:sz w:val="19"/>
          <w:szCs w:val="19"/>
        </w:rPr>
        <w:t>4.3 Theoretical Implications</w:t>
      </w:r>
      <w:r>
        <w:rPr>
          <w:rFonts w:ascii="Calibri" w:eastAsia="Calibri" w:hAnsi="Calibri" w:cs="Calibri"/>
          <w:sz w:val="19"/>
          <w:szCs w:val="19"/>
        </w:rPr>
        <w:tab/>
        <w:t>25</w:t>
      </w:r>
    </w:p>
    <w:p w14:paraId="16933FE6" w14:textId="0DDBA554" w:rsidR="00380088" w:rsidRDefault="00380088" w:rsidP="00380088">
      <w:pPr>
        <w:tabs>
          <w:tab w:val="right" w:leader="dot" w:pos="9350"/>
        </w:tabs>
        <w:spacing w:after="40"/>
        <w:ind w:left="360"/>
      </w:pPr>
      <w:r>
        <w:rPr>
          <w:rFonts w:ascii="Calibri" w:eastAsia="Calibri" w:hAnsi="Calibri" w:cs="Calibri"/>
          <w:sz w:val="19"/>
          <w:szCs w:val="19"/>
        </w:rPr>
        <w:t>4.4 Identification of Gaps</w:t>
      </w:r>
      <w:r>
        <w:rPr>
          <w:rFonts w:ascii="Calibri" w:eastAsia="Calibri" w:hAnsi="Calibri" w:cs="Calibri"/>
          <w:sz w:val="19"/>
          <w:szCs w:val="19"/>
        </w:rPr>
        <w:tab/>
        <w:t>27</w:t>
      </w:r>
    </w:p>
    <w:p w14:paraId="2A0728EE" w14:textId="5A0804BD" w:rsidR="00380088" w:rsidRDefault="00380088" w:rsidP="00380088">
      <w:pPr>
        <w:tabs>
          <w:tab w:val="right" w:leader="dot" w:pos="9350"/>
        </w:tabs>
        <w:spacing w:after="40"/>
        <w:ind w:left="360"/>
      </w:pPr>
      <w:r>
        <w:rPr>
          <w:rFonts w:ascii="Calibri" w:eastAsia="Calibri" w:hAnsi="Calibri" w:cs="Calibri"/>
          <w:sz w:val="19"/>
          <w:szCs w:val="19"/>
        </w:rPr>
        <w:t>4.5 A Proposed Conceptual Framework</w:t>
      </w:r>
      <w:r>
        <w:rPr>
          <w:rFonts w:ascii="Calibri" w:eastAsia="Calibri" w:hAnsi="Calibri" w:cs="Calibri"/>
          <w:sz w:val="19"/>
          <w:szCs w:val="19"/>
        </w:rPr>
        <w:tab/>
        <w:t>28</w:t>
      </w:r>
    </w:p>
    <w:p w14:paraId="6FBA0C26" w14:textId="3048D8BB" w:rsidR="00380088" w:rsidRDefault="00380088" w:rsidP="00380088">
      <w:pPr>
        <w:tabs>
          <w:tab w:val="right" w:leader="dot" w:pos="9350"/>
        </w:tabs>
        <w:spacing w:after="40"/>
        <w:ind w:left="360"/>
      </w:pPr>
      <w:r>
        <w:rPr>
          <w:rFonts w:ascii="Calibri" w:eastAsia="Calibri" w:hAnsi="Calibri" w:cs="Calibri"/>
          <w:sz w:val="19"/>
          <w:szCs w:val="19"/>
        </w:rPr>
        <w:t>4.6 Strengths and Limitations of the Synthesis Process</w:t>
      </w:r>
      <w:r>
        <w:rPr>
          <w:rFonts w:ascii="Calibri" w:eastAsia="Calibri" w:hAnsi="Calibri" w:cs="Calibri"/>
          <w:sz w:val="19"/>
          <w:szCs w:val="19"/>
        </w:rPr>
        <w:tab/>
        <w:t>28</w:t>
      </w:r>
    </w:p>
    <w:p w14:paraId="4F70F7E7" w14:textId="768B9650" w:rsidR="00380088" w:rsidRDefault="00380088" w:rsidP="00380088">
      <w:pPr>
        <w:tabs>
          <w:tab w:val="right" w:leader="dot" w:pos="9350"/>
        </w:tabs>
        <w:spacing w:after="80"/>
      </w:pPr>
      <w:r>
        <w:rPr>
          <w:rFonts w:ascii="Calibri" w:eastAsia="Calibri" w:hAnsi="Calibri" w:cs="Calibri"/>
          <w:b/>
          <w:bCs/>
        </w:rPr>
        <w:t>5. Implications</w:t>
      </w:r>
      <w:r>
        <w:rPr>
          <w:rFonts w:ascii="Calibri" w:eastAsia="Calibri" w:hAnsi="Calibri" w:cs="Calibri"/>
          <w:b/>
          <w:bCs/>
        </w:rPr>
        <w:tab/>
        <w:t>29</w:t>
      </w:r>
    </w:p>
    <w:p w14:paraId="3BE33A8D" w14:textId="357FA0E6" w:rsidR="00380088" w:rsidRDefault="00380088" w:rsidP="00380088">
      <w:pPr>
        <w:tabs>
          <w:tab w:val="right" w:leader="dot" w:pos="9350"/>
        </w:tabs>
        <w:spacing w:after="40"/>
        <w:ind w:left="360"/>
      </w:pPr>
      <w:r>
        <w:rPr>
          <w:rFonts w:ascii="Calibri" w:eastAsia="Calibri" w:hAnsi="Calibri" w:cs="Calibri"/>
          <w:sz w:val="19"/>
          <w:szCs w:val="19"/>
        </w:rPr>
        <w:t>5.1 Theoretical Implications</w:t>
      </w:r>
      <w:r>
        <w:rPr>
          <w:rFonts w:ascii="Calibri" w:eastAsia="Calibri" w:hAnsi="Calibri" w:cs="Calibri"/>
          <w:sz w:val="19"/>
          <w:szCs w:val="19"/>
        </w:rPr>
        <w:tab/>
        <w:t>29</w:t>
      </w:r>
    </w:p>
    <w:p w14:paraId="174A00B4" w14:textId="185147C7" w:rsidR="00380088" w:rsidRDefault="00380088" w:rsidP="00380088">
      <w:pPr>
        <w:tabs>
          <w:tab w:val="right" w:leader="dot" w:pos="9350"/>
        </w:tabs>
        <w:spacing w:after="40"/>
        <w:ind w:left="360"/>
      </w:pPr>
      <w:r>
        <w:rPr>
          <w:rFonts w:ascii="Calibri" w:eastAsia="Calibri" w:hAnsi="Calibri" w:cs="Calibri"/>
          <w:sz w:val="19"/>
          <w:szCs w:val="19"/>
        </w:rPr>
        <w:t>5.2 Practical and Managerial Implications</w:t>
      </w:r>
      <w:r>
        <w:rPr>
          <w:rFonts w:ascii="Calibri" w:eastAsia="Calibri" w:hAnsi="Calibri" w:cs="Calibri"/>
          <w:sz w:val="19"/>
          <w:szCs w:val="19"/>
        </w:rPr>
        <w:tab/>
        <w:t>29</w:t>
      </w:r>
    </w:p>
    <w:p w14:paraId="0D09A5D4" w14:textId="4FB5D7F6" w:rsidR="00380088" w:rsidRDefault="00380088" w:rsidP="00380088">
      <w:pPr>
        <w:tabs>
          <w:tab w:val="right" w:leader="dot" w:pos="9350"/>
        </w:tabs>
        <w:spacing w:after="40"/>
        <w:ind w:left="360"/>
      </w:pPr>
      <w:r>
        <w:rPr>
          <w:rFonts w:ascii="Calibri" w:eastAsia="Calibri" w:hAnsi="Calibri" w:cs="Calibri"/>
          <w:sz w:val="19"/>
          <w:szCs w:val="19"/>
        </w:rPr>
        <w:t>5.3 Research Implications and Future Directions</w:t>
      </w:r>
      <w:r>
        <w:rPr>
          <w:rFonts w:ascii="Calibri" w:eastAsia="Calibri" w:hAnsi="Calibri" w:cs="Calibri"/>
          <w:sz w:val="19"/>
          <w:szCs w:val="19"/>
        </w:rPr>
        <w:tab/>
        <w:t>30</w:t>
      </w:r>
    </w:p>
    <w:p w14:paraId="2ACC6F74" w14:textId="55592660" w:rsidR="00380088" w:rsidRDefault="00380088" w:rsidP="00380088">
      <w:pPr>
        <w:tabs>
          <w:tab w:val="right" w:leader="dot" w:pos="9350"/>
        </w:tabs>
        <w:spacing w:after="40"/>
        <w:ind w:left="360"/>
        <w:rPr>
          <w:rFonts w:ascii="Calibri" w:eastAsia="Calibri" w:hAnsi="Calibri" w:cs="Calibri"/>
          <w:sz w:val="19"/>
          <w:szCs w:val="19"/>
        </w:rPr>
      </w:pPr>
      <w:r>
        <w:rPr>
          <w:rFonts w:ascii="Calibri" w:eastAsia="Calibri" w:hAnsi="Calibri" w:cs="Calibri"/>
          <w:sz w:val="19"/>
          <w:szCs w:val="19"/>
        </w:rPr>
        <w:t>5.4 Balancing Theory, Practice, and Future Direction</w:t>
      </w:r>
      <w:r>
        <w:rPr>
          <w:rFonts w:ascii="Calibri" w:eastAsia="Calibri" w:hAnsi="Calibri" w:cs="Calibri"/>
          <w:sz w:val="19"/>
          <w:szCs w:val="19"/>
        </w:rPr>
        <w:tab/>
        <w:t>31</w:t>
      </w:r>
    </w:p>
    <w:p w14:paraId="02961F51" w14:textId="5F6AA08F" w:rsidR="00860C8A" w:rsidRDefault="00860C8A" w:rsidP="00860C8A">
      <w:pPr>
        <w:tabs>
          <w:tab w:val="right" w:leader="dot" w:pos="9350"/>
        </w:tabs>
        <w:spacing w:after="80"/>
      </w:pPr>
      <w:r>
        <w:rPr>
          <w:rFonts w:ascii="Calibri" w:eastAsia="Calibri" w:hAnsi="Calibri" w:cs="Calibri"/>
          <w:b/>
          <w:bCs/>
        </w:rPr>
        <w:t>6. Conclusion</w:t>
      </w:r>
      <w:r>
        <w:rPr>
          <w:rFonts w:ascii="Calibri" w:eastAsia="Calibri" w:hAnsi="Calibri" w:cs="Calibri"/>
          <w:b/>
          <w:bCs/>
        </w:rPr>
        <w:tab/>
        <w:t>32</w:t>
      </w:r>
    </w:p>
    <w:p w14:paraId="0AEAE5D8" w14:textId="152506D4" w:rsidR="00997FE4" w:rsidRDefault="00000000">
      <w:pPr>
        <w:tabs>
          <w:tab w:val="right" w:leader="dot" w:pos="9350"/>
        </w:tabs>
        <w:spacing w:after="80"/>
      </w:pPr>
      <w:r>
        <w:rPr>
          <w:rFonts w:ascii="Calibri" w:eastAsia="Calibri" w:hAnsi="Calibri" w:cs="Calibri"/>
          <w:b/>
          <w:bCs/>
        </w:rPr>
        <w:t>References</w:t>
      </w:r>
      <w:r>
        <w:rPr>
          <w:rFonts w:ascii="Calibri" w:eastAsia="Calibri" w:hAnsi="Calibri" w:cs="Calibri"/>
          <w:b/>
          <w:bCs/>
        </w:rPr>
        <w:tab/>
      </w:r>
      <w:r w:rsidR="00380088">
        <w:rPr>
          <w:rFonts w:ascii="Calibri" w:eastAsia="Calibri" w:hAnsi="Calibri" w:cs="Calibri"/>
          <w:b/>
          <w:bCs/>
        </w:rPr>
        <w:t>3</w:t>
      </w:r>
      <w:r w:rsidR="00860C8A">
        <w:rPr>
          <w:rFonts w:ascii="Calibri" w:eastAsia="Calibri" w:hAnsi="Calibri" w:cs="Calibri"/>
          <w:b/>
          <w:bCs/>
        </w:rPr>
        <w:t>4</w:t>
      </w:r>
    </w:p>
    <w:p w14:paraId="4C68AF2B" w14:textId="32D69380" w:rsidR="006D1B5C" w:rsidRDefault="006D1B5C" w:rsidP="006D1B5C">
      <w:pPr>
        <w:tabs>
          <w:tab w:val="right" w:leader="dot" w:pos="9340"/>
        </w:tabs>
        <w:spacing w:after="80"/>
      </w:pPr>
      <w:r>
        <w:rPr>
          <w:rFonts w:ascii="Calibri" w:hAnsi="Calibri"/>
          <w:b/>
        </w:rPr>
        <w:t>Appendices</w:t>
      </w:r>
      <w:r>
        <w:rPr>
          <w:rFonts w:ascii="Calibri" w:hAnsi="Calibri"/>
          <w:b/>
        </w:rPr>
        <w:tab/>
        <w:t>40</w:t>
      </w:r>
    </w:p>
    <w:p w14:paraId="6714D637" w14:textId="6AB260CD" w:rsidR="006D1B5C" w:rsidRDefault="006D1B5C" w:rsidP="006D1B5C">
      <w:pPr>
        <w:tabs>
          <w:tab w:val="right" w:leader="dot" w:pos="9340"/>
        </w:tabs>
        <w:spacing w:after="40"/>
        <w:ind w:left="360"/>
      </w:pPr>
      <w:r>
        <w:rPr>
          <w:rFonts w:ascii="Calibri" w:hAnsi="Calibri"/>
          <w:sz w:val="19"/>
        </w:rPr>
        <w:t>Appendix A: Search Strategy Table</w:t>
      </w:r>
      <w:r>
        <w:rPr>
          <w:rFonts w:ascii="Calibri" w:hAnsi="Calibri"/>
          <w:sz w:val="19"/>
        </w:rPr>
        <w:tab/>
        <w:t>40</w:t>
      </w:r>
    </w:p>
    <w:p w14:paraId="256AF4C4" w14:textId="1CE335A3" w:rsidR="006D1B5C" w:rsidRDefault="006D1B5C" w:rsidP="006D1B5C">
      <w:pPr>
        <w:tabs>
          <w:tab w:val="right" w:leader="dot" w:pos="9340"/>
        </w:tabs>
        <w:spacing w:after="40"/>
        <w:ind w:left="360"/>
      </w:pPr>
      <w:r>
        <w:rPr>
          <w:rFonts w:ascii="Calibri" w:hAnsi="Calibri"/>
          <w:sz w:val="19"/>
        </w:rPr>
        <w:t>Appendix B: PRISMA Flow Diagram</w:t>
      </w:r>
      <w:r>
        <w:rPr>
          <w:rFonts w:ascii="Calibri" w:hAnsi="Calibri"/>
          <w:sz w:val="19"/>
        </w:rPr>
        <w:tab/>
        <w:t>41</w:t>
      </w:r>
    </w:p>
    <w:p w14:paraId="133CD58D" w14:textId="7287ADDB" w:rsidR="006D1B5C" w:rsidRDefault="006D1B5C" w:rsidP="006D1B5C">
      <w:pPr>
        <w:tabs>
          <w:tab w:val="right" w:leader="dot" w:pos="9340"/>
        </w:tabs>
        <w:spacing w:after="40"/>
        <w:ind w:left="360"/>
      </w:pPr>
      <w:r>
        <w:rPr>
          <w:rFonts w:ascii="Calibri" w:hAnsi="Calibri"/>
          <w:sz w:val="19"/>
        </w:rPr>
        <w:t>Appendix C: Sample Data Extraction Table</w:t>
      </w:r>
      <w:r>
        <w:rPr>
          <w:rFonts w:ascii="Calibri" w:hAnsi="Calibri"/>
          <w:sz w:val="19"/>
        </w:rPr>
        <w:tab/>
        <w:t>41</w:t>
      </w:r>
    </w:p>
    <w:p w14:paraId="1FD94D9A" w14:textId="728AA735" w:rsidR="006D1B5C" w:rsidRDefault="006D1B5C" w:rsidP="006D1B5C">
      <w:pPr>
        <w:tabs>
          <w:tab w:val="right" w:leader="dot" w:pos="9340"/>
        </w:tabs>
        <w:spacing w:after="40"/>
        <w:ind w:left="360"/>
      </w:pPr>
      <w:r>
        <w:rPr>
          <w:rFonts w:ascii="Calibri" w:hAnsi="Calibri"/>
          <w:sz w:val="19"/>
        </w:rPr>
        <w:t>Appendix D: List of Core Empirical Studies Included in Thematic Synthesis</w:t>
      </w:r>
      <w:r>
        <w:rPr>
          <w:rFonts w:ascii="Calibri" w:hAnsi="Calibri"/>
          <w:sz w:val="19"/>
        </w:rPr>
        <w:tab/>
        <w:t>42</w:t>
      </w:r>
    </w:p>
    <w:p w14:paraId="6E82DC71" w14:textId="6A8D70A3" w:rsidR="006D1B5C" w:rsidRDefault="006D1B5C" w:rsidP="006D1B5C">
      <w:pPr>
        <w:tabs>
          <w:tab w:val="right" w:leader="dot" w:pos="9340"/>
        </w:tabs>
        <w:spacing w:after="40"/>
        <w:ind w:left="360"/>
      </w:pPr>
      <w:r>
        <w:rPr>
          <w:rFonts w:ascii="Calibri" w:hAnsi="Calibri"/>
          <w:sz w:val="19"/>
        </w:rPr>
        <w:t>Appendix E: Wider Literature Screened but Not Cited in the Main Text</w:t>
      </w:r>
      <w:r>
        <w:rPr>
          <w:rFonts w:ascii="Calibri" w:hAnsi="Calibri"/>
          <w:sz w:val="19"/>
        </w:rPr>
        <w:tab/>
        <w:t>43</w:t>
      </w:r>
    </w:p>
    <w:p w14:paraId="2D4FD08A" w14:textId="3AE13FC2" w:rsidR="006D1B5C" w:rsidRDefault="006D1B5C" w:rsidP="006D1B5C">
      <w:pPr>
        <w:tabs>
          <w:tab w:val="right" w:leader="dot" w:pos="9340"/>
        </w:tabs>
        <w:spacing w:after="40"/>
        <w:ind w:left="360"/>
      </w:pPr>
      <w:r>
        <w:rPr>
          <w:rFonts w:ascii="Calibri" w:hAnsi="Calibri"/>
          <w:sz w:val="19"/>
        </w:rPr>
        <w:t>Appendix F: Ethics Approval Form</w:t>
      </w:r>
      <w:r>
        <w:rPr>
          <w:rFonts w:ascii="Calibri" w:hAnsi="Calibri"/>
          <w:sz w:val="19"/>
        </w:rPr>
        <w:tab/>
        <w:t>46</w:t>
      </w:r>
    </w:p>
    <w:p w14:paraId="70804B55" w14:textId="77777777" w:rsidR="00997FE4" w:rsidRDefault="00000000">
      <w:r>
        <w:br w:type="page"/>
      </w:r>
    </w:p>
    <w:p w14:paraId="04D7011B" w14:textId="455407F1" w:rsidR="00997FE4" w:rsidRDefault="00304F8E">
      <w:pPr>
        <w:pStyle w:val="Heading1"/>
        <w:spacing w:before="360" w:after="200"/>
      </w:pPr>
      <w:r>
        <w:rPr>
          <w:rFonts w:ascii="Calibri" w:eastAsia="Calibri" w:hAnsi="Calibri" w:cs="Calibri"/>
          <w:b/>
          <w:bCs/>
          <w:color w:val="1F4E79"/>
          <w:sz w:val="28"/>
          <w:szCs w:val="28"/>
        </w:rPr>
        <w:lastRenderedPageBreak/>
        <w:t xml:space="preserve">                                                      Chapter </w:t>
      </w:r>
      <w:r w:rsidR="00546450">
        <w:rPr>
          <w:rFonts w:ascii="Calibri" w:eastAsia="Calibri" w:hAnsi="Calibri" w:cs="Calibri"/>
          <w:b/>
          <w:bCs/>
          <w:color w:val="1F4E79"/>
          <w:sz w:val="28"/>
          <w:szCs w:val="28"/>
        </w:rPr>
        <w:t>One:</w:t>
      </w:r>
      <w:r>
        <w:rPr>
          <w:rFonts w:ascii="Calibri" w:eastAsia="Calibri" w:hAnsi="Calibri" w:cs="Calibri"/>
          <w:b/>
          <w:bCs/>
          <w:color w:val="1F4E79"/>
          <w:sz w:val="28"/>
          <w:szCs w:val="28"/>
        </w:rPr>
        <w:t xml:space="preserve"> Introduction</w:t>
      </w:r>
    </w:p>
    <w:p w14:paraId="47521AC9" w14:textId="77777777" w:rsidR="00997FE4" w:rsidRDefault="00000000">
      <w:pPr>
        <w:pStyle w:val="Heading2"/>
        <w:spacing w:before="260" w:after="140"/>
      </w:pPr>
      <w:r>
        <w:rPr>
          <w:rFonts w:ascii="Calibri" w:eastAsia="Calibri" w:hAnsi="Calibri" w:cs="Calibri"/>
          <w:b/>
          <w:bCs/>
          <w:color w:val="1F4E79"/>
          <w:sz w:val="24"/>
          <w:szCs w:val="24"/>
        </w:rPr>
        <w:t>1.1 Background</w:t>
      </w:r>
    </w:p>
    <w:p w14:paraId="33DA70C7" w14:textId="23814B4A" w:rsidR="00997FE4" w:rsidRDefault="00000000">
      <w:pPr>
        <w:spacing w:after="180" w:line="276" w:lineRule="auto"/>
        <w:jc w:val="both"/>
      </w:pPr>
      <w:r>
        <w:rPr>
          <w:rFonts w:ascii="Calibri" w:eastAsia="Calibri" w:hAnsi="Calibri" w:cs="Calibri"/>
          <w:sz w:val="22"/>
          <w:szCs w:val="22"/>
        </w:rPr>
        <w:t>Artificial intelligence (AI) has moved from a peripheral technology to a core driver of organisational change, reshaping how businesses recruit, manage, develop, and retain their workforce. Human Resource (HR) functions increasingly rely on AI</w:t>
      </w:r>
      <w:r w:rsidR="00673F0F">
        <w:rPr>
          <w:rFonts w:ascii="Calibri" w:eastAsia="Calibri" w:hAnsi="Calibri" w:cs="Calibri"/>
          <w:sz w:val="22"/>
          <w:szCs w:val="22"/>
        </w:rPr>
        <w:t xml:space="preserve"> </w:t>
      </w:r>
      <w:r>
        <w:rPr>
          <w:rFonts w:ascii="Calibri" w:eastAsia="Calibri" w:hAnsi="Calibri" w:cs="Calibri"/>
          <w:sz w:val="22"/>
          <w:szCs w:val="22"/>
        </w:rPr>
        <w:t>enabled tools for tasks ranging from CV screening and workforce planning to performance monitoring and scheduling, positioning HR both as an implementer of AI and as the custodian of employee welfare within this transition. The scale of this shift is substantial: the World Economic Forum's Future of Jobs Report 2025, based on a survey of over 1,000 major global employers, projects that 170 million jobs will be created and 92 million displaced by 2030, with AI and big data identified as the fastest-growing required skill area (World Economic Forum, 2025). Industry analyses reinforce this picture of rapid, uneven change: McKinsey (2025) documents accelerating enterprise adoption of AI agents and generative tools across core business functions, while PwC's Global AI Jobs Barometer (2025) finds that roles most exposed to AI are experiencing simultaneous wage growth and disruption. Set against this backdrop, a parallel and equally important story has emerged in the academic literature: AI adoption does not only reshape tasks and processes, it also reshapes how employees experience their work, their sense of security, and their psychological wellbeing.</w:t>
      </w:r>
    </w:p>
    <w:p w14:paraId="5E256160" w14:textId="745D9827" w:rsidR="00997FE4" w:rsidRDefault="00000000">
      <w:pPr>
        <w:pStyle w:val="Heading2"/>
        <w:spacing w:before="260" w:after="140"/>
      </w:pPr>
      <w:r>
        <w:rPr>
          <w:rFonts w:ascii="Calibri" w:eastAsia="Calibri" w:hAnsi="Calibri" w:cs="Calibri"/>
          <w:b/>
          <w:bCs/>
          <w:color w:val="1F4E79"/>
          <w:sz w:val="24"/>
          <w:szCs w:val="24"/>
        </w:rPr>
        <w:t>1.2 Gap in the Literature</w:t>
      </w:r>
    </w:p>
    <w:p w14:paraId="5B158CF8" w14:textId="77777777" w:rsidR="00997FE4" w:rsidRDefault="00000000">
      <w:pPr>
        <w:spacing w:after="180" w:line="276" w:lineRule="auto"/>
        <w:jc w:val="both"/>
      </w:pPr>
      <w:r>
        <w:rPr>
          <w:rFonts w:ascii="Calibri" w:eastAsia="Calibri" w:hAnsi="Calibri" w:cs="Calibri"/>
          <w:sz w:val="22"/>
          <w:szCs w:val="22"/>
        </w:rPr>
        <w:t>A growing body of research documents that AI adoption is associated with heightened employee job insecurity and, in some cases, adverse wellbeing outcomes such as reduced psychological safety and elevated depressive symptoms (Kim, Kim and Lee, 2025). At the same time, several broader systematic reviews have examined AI's role within HR management more generally, covering functions such as recruitment, performance evaluation, and talent development (</w:t>
      </w:r>
      <w:proofErr w:type="spellStart"/>
      <w:r>
        <w:rPr>
          <w:rFonts w:ascii="Calibri" w:eastAsia="Calibri" w:hAnsi="Calibri" w:cs="Calibri"/>
          <w:sz w:val="22"/>
          <w:szCs w:val="22"/>
        </w:rPr>
        <w:t>Budhwar</w:t>
      </w:r>
      <w:proofErr w:type="spellEnd"/>
      <w:r>
        <w:rPr>
          <w:rFonts w:ascii="Calibri" w:eastAsia="Calibri" w:hAnsi="Calibri" w:cs="Calibri"/>
          <w:sz w:val="22"/>
          <w:szCs w:val="22"/>
        </w:rPr>
        <w:t xml:space="preserve"> et al., 2022). What remains comparatively underdeveloped, however, is a body of work that treats employee wellbeing and job security as the central concern, and that examines this concern specifically through an HR management lens, focused on the practices, policies, and leadership behaviours that HR functions can use to manage AI-driven change responsibly. Existing empirical studies on AI, job insecurity, and wellbeing also tend to be sector-specific, methodologically fragmented, and concentrated in particular geographic contexts, making it difficult for HR practitioners or scholars to draw a coherent, cross-context picture of what is known, what is contested, and what remains unanswered. This dissertation responds to that gap by systematically reviewing and synthesising the fragmented literature into a coherent, HR-focused account of the relationship between AI adoption, employee wellbeing, and job security.</w:t>
      </w:r>
    </w:p>
    <w:p w14:paraId="64CDF1EA" w14:textId="0AE4F486" w:rsidR="00997FE4" w:rsidRDefault="00000000">
      <w:pPr>
        <w:pStyle w:val="Heading2"/>
        <w:spacing w:before="260" w:after="140"/>
      </w:pPr>
      <w:r>
        <w:rPr>
          <w:rFonts w:ascii="Calibri" w:eastAsia="Calibri" w:hAnsi="Calibri" w:cs="Calibri"/>
          <w:b/>
          <w:bCs/>
          <w:color w:val="1F4E79"/>
          <w:sz w:val="24"/>
          <w:szCs w:val="24"/>
        </w:rPr>
        <w:t>1.3 Urgency of the Topic</w:t>
      </w:r>
    </w:p>
    <w:p w14:paraId="4BC68675" w14:textId="77777777" w:rsidR="00997FE4" w:rsidRDefault="00000000">
      <w:pPr>
        <w:spacing w:after="180" w:line="276" w:lineRule="auto"/>
        <w:jc w:val="both"/>
      </w:pPr>
      <w:r>
        <w:rPr>
          <w:rFonts w:ascii="Calibri" w:eastAsia="Calibri" w:hAnsi="Calibri" w:cs="Calibri"/>
          <w:sz w:val="22"/>
          <w:szCs w:val="22"/>
        </w:rPr>
        <w:t>The urgency of this topic stems from the pace at which AI capabilities and organisational adoption are advancing, frequently outstripping the rate at which HR policy and academic understanding can respond. A large and rapidly growing volume of empirical research on AI's workplace effects has been published within the last two to three years alone (</w:t>
      </w:r>
      <w:proofErr w:type="spellStart"/>
      <w:r>
        <w:rPr>
          <w:rFonts w:ascii="Calibri" w:eastAsia="Calibri" w:hAnsi="Calibri" w:cs="Calibri"/>
          <w:sz w:val="22"/>
          <w:szCs w:val="22"/>
        </w:rPr>
        <w:t>Soulami</w:t>
      </w:r>
      <w:proofErr w:type="spellEnd"/>
      <w:r>
        <w:rPr>
          <w:rFonts w:ascii="Calibri" w:eastAsia="Calibri" w:hAnsi="Calibri" w:cs="Calibri"/>
          <w:sz w:val="22"/>
          <w:szCs w:val="22"/>
        </w:rPr>
        <w:t xml:space="preserve">, Benchekroun and </w:t>
      </w:r>
      <w:proofErr w:type="spellStart"/>
      <w:r>
        <w:rPr>
          <w:rFonts w:ascii="Calibri" w:eastAsia="Calibri" w:hAnsi="Calibri" w:cs="Calibri"/>
          <w:sz w:val="22"/>
          <w:szCs w:val="22"/>
        </w:rPr>
        <w:t>Galiulina</w:t>
      </w:r>
      <w:proofErr w:type="spellEnd"/>
      <w:r>
        <w:rPr>
          <w:rFonts w:ascii="Calibri" w:eastAsia="Calibri" w:hAnsi="Calibri" w:cs="Calibri"/>
          <w:sz w:val="22"/>
          <w:szCs w:val="22"/>
        </w:rPr>
        <w:t>, 2024), reflecting how quickly this field is evolving. For HR practitioners, decisions about how to introduce AI tools, communicate their purpose, and support affected employees are already being made, often without the benefit of a consolidated evidence base to guide them. A timely, systematic synthesis of the existing literature is therefore of direct practical value, offering HR decision-makers an up-to-date, evidence-based reference point at a moment when such guidance is urgently needed.</w:t>
      </w:r>
    </w:p>
    <w:p w14:paraId="1A21184A" w14:textId="77777777" w:rsidR="00997FE4" w:rsidRDefault="00000000">
      <w:pPr>
        <w:pStyle w:val="Heading2"/>
        <w:spacing w:before="260" w:after="140"/>
      </w:pPr>
      <w:r>
        <w:rPr>
          <w:rFonts w:ascii="Calibri" w:eastAsia="Calibri" w:hAnsi="Calibri" w:cs="Calibri"/>
          <w:b/>
          <w:bCs/>
          <w:color w:val="1F4E79"/>
          <w:sz w:val="24"/>
          <w:szCs w:val="24"/>
        </w:rPr>
        <w:t>1.4 Research Aim and Objectives</w:t>
      </w:r>
    </w:p>
    <w:p w14:paraId="02AD83F0" w14:textId="77777777" w:rsidR="00997FE4" w:rsidRDefault="00000000">
      <w:pPr>
        <w:spacing w:after="180" w:line="276" w:lineRule="auto"/>
        <w:jc w:val="both"/>
      </w:pPr>
      <w:r>
        <w:rPr>
          <w:rFonts w:ascii="Calibri" w:eastAsia="Calibri" w:hAnsi="Calibri" w:cs="Calibri"/>
          <w:sz w:val="22"/>
          <w:szCs w:val="22"/>
        </w:rPr>
        <w:lastRenderedPageBreak/>
        <w:t>The aim of this dissertation is to critically synthesise existing academic and industry literature in order to understand how AI adoption affects employee wellbeing and perceived job security, and to identify the HR practices that the evidence suggests can mitigate adverse effects. This aim is pursued through four objectives:</w:t>
      </w:r>
    </w:p>
    <w:p w14:paraId="55AB3260" w14:textId="77777777" w:rsidR="00997FE4" w:rsidRDefault="00000000">
      <w:pPr>
        <w:pStyle w:val="ListParagraph"/>
        <w:numPr>
          <w:ilvl w:val="0"/>
          <w:numId w:val="2"/>
        </w:numPr>
        <w:spacing w:after="100" w:line="276" w:lineRule="auto"/>
      </w:pPr>
      <w:r>
        <w:rPr>
          <w:rFonts w:ascii="Calibri" w:eastAsia="Calibri" w:hAnsi="Calibri" w:cs="Calibri"/>
          <w:sz w:val="22"/>
          <w:szCs w:val="22"/>
        </w:rPr>
        <w:t>To critically review and synthesise existing academic and industry literature on the relationship between AI adoption, employee wellbeing, and job insecurity.</w:t>
      </w:r>
    </w:p>
    <w:p w14:paraId="23B882D1" w14:textId="77777777" w:rsidR="00997FE4" w:rsidRDefault="00000000">
      <w:pPr>
        <w:pStyle w:val="ListParagraph"/>
        <w:numPr>
          <w:ilvl w:val="0"/>
          <w:numId w:val="2"/>
        </w:numPr>
        <w:spacing w:after="100" w:line="276" w:lineRule="auto"/>
      </w:pPr>
      <w:r>
        <w:rPr>
          <w:rFonts w:ascii="Calibri" w:eastAsia="Calibri" w:hAnsi="Calibri" w:cs="Calibri"/>
          <w:sz w:val="22"/>
          <w:szCs w:val="22"/>
        </w:rPr>
        <w:t>To examine what published empirical studies report about how AI adoption influences employees' perceptions of job security and their psychological wellbeing.</w:t>
      </w:r>
    </w:p>
    <w:p w14:paraId="787F52A8" w14:textId="77777777" w:rsidR="00997FE4" w:rsidRDefault="00000000">
      <w:pPr>
        <w:pStyle w:val="ListParagraph"/>
        <w:numPr>
          <w:ilvl w:val="0"/>
          <w:numId w:val="2"/>
        </w:numPr>
        <w:spacing w:after="100" w:line="276" w:lineRule="auto"/>
      </w:pPr>
      <w:r>
        <w:rPr>
          <w:rFonts w:ascii="Calibri" w:eastAsia="Calibri" w:hAnsi="Calibri" w:cs="Calibri"/>
          <w:sz w:val="22"/>
          <w:szCs w:val="22"/>
        </w:rPr>
        <w:t>To identify, from the existing literature, the HR practices, communication strategies, and leadership behaviours associated with mitigating AI-related employee anxiety.</w:t>
      </w:r>
    </w:p>
    <w:p w14:paraId="4792E2DA" w14:textId="77777777" w:rsidR="00997FE4" w:rsidRDefault="00000000">
      <w:pPr>
        <w:pStyle w:val="ListParagraph"/>
        <w:numPr>
          <w:ilvl w:val="0"/>
          <w:numId w:val="2"/>
        </w:numPr>
        <w:spacing w:after="100" w:line="276" w:lineRule="auto"/>
      </w:pPr>
      <w:r>
        <w:rPr>
          <w:rFonts w:ascii="Calibri" w:eastAsia="Calibri" w:hAnsi="Calibri" w:cs="Calibri"/>
          <w:sz w:val="22"/>
          <w:szCs w:val="22"/>
        </w:rPr>
        <w:t>To synthesise the findings into evidence-based recommendations for HR practitioners, and to identify gaps in the literature warranting future research.</w:t>
      </w:r>
    </w:p>
    <w:p w14:paraId="6915ADB8" w14:textId="77777777" w:rsidR="00997FE4" w:rsidRDefault="00000000">
      <w:pPr>
        <w:pStyle w:val="Heading2"/>
        <w:spacing w:before="260" w:after="140"/>
      </w:pPr>
      <w:r>
        <w:rPr>
          <w:rFonts w:ascii="Calibri" w:eastAsia="Calibri" w:hAnsi="Calibri" w:cs="Calibri"/>
          <w:b/>
          <w:bCs/>
          <w:color w:val="1F4E79"/>
          <w:sz w:val="24"/>
          <w:szCs w:val="24"/>
        </w:rPr>
        <w:t>1.5 Research Questions</w:t>
      </w:r>
    </w:p>
    <w:p w14:paraId="7FB65497" w14:textId="77777777" w:rsidR="00997FE4" w:rsidRDefault="00000000">
      <w:pPr>
        <w:spacing w:after="180" w:line="276" w:lineRule="auto"/>
        <w:jc w:val="both"/>
      </w:pPr>
      <w:r>
        <w:rPr>
          <w:rFonts w:ascii="Calibri" w:eastAsia="Calibri" w:hAnsi="Calibri" w:cs="Calibri"/>
          <w:sz w:val="22"/>
          <w:szCs w:val="22"/>
        </w:rPr>
        <w:t>The dissertation is guided by one overarching research question and three supporting sub-questions:</w:t>
      </w:r>
    </w:p>
    <w:p w14:paraId="10D82283" w14:textId="77777777" w:rsidR="00997FE4" w:rsidRDefault="00000000">
      <w:pPr>
        <w:pStyle w:val="ListParagraph"/>
        <w:numPr>
          <w:ilvl w:val="0"/>
          <w:numId w:val="2"/>
        </w:numPr>
        <w:spacing w:after="100" w:line="276" w:lineRule="auto"/>
      </w:pPr>
      <w:r>
        <w:rPr>
          <w:rFonts w:ascii="Calibri" w:eastAsia="Calibri" w:hAnsi="Calibri" w:cs="Calibri"/>
          <w:sz w:val="22"/>
          <w:szCs w:val="22"/>
        </w:rPr>
        <w:t>RQ: What does the existing literature reveal about how AI adoption affects employee wellbeing and perceived job security, and what role can HR practices play in mitigating any adverse effects?</w:t>
      </w:r>
    </w:p>
    <w:p w14:paraId="0B034EAE" w14:textId="77777777" w:rsidR="00997FE4" w:rsidRDefault="00000000">
      <w:pPr>
        <w:pStyle w:val="Heading2"/>
        <w:spacing w:before="260" w:after="140"/>
      </w:pPr>
      <w:r>
        <w:rPr>
          <w:rFonts w:ascii="Calibri" w:eastAsia="Calibri" w:hAnsi="Calibri" w:cs="Calibri"/>
          <w:b/>
          <w:bCs/>
          <w:color w:val="1F4E79"/>
          <w:sz w:val="24"/>
          <w:szCs w:val="24"/>
        </w:rPr>
        <w:t>1.6 Scope of the Review</w:t>
      </w:r>
    </w:p>
    <w:p w14:paraId="18EE1C51" w14:textId="5A6B2ACE" w:rsidR="00997FE4" w:rsidRDefault="00000000">
      <w:pPr>
        <w:spacing w:after="180" w:line="276" w:lineRule="auto"/>
        <w:jc w:val="both"/>
      </w:pPr>
      <w:r>
        <w:rPr>
          <w:rFonts w:ascii="Calibri" w:eastAsia="Calibri" w:hAnsi="Calibri" w:cs="Calibri"/>
          <w:sz w:val="22"/>
          <w:szCs w:val="22"/>
        </w:rPr>
        <w:t>This review is bounded in several respects. Thematically, it focuses on the intersection of AI adoption, employee wellbeing, job insecurity, and HR practice, drawing primarily on the job demands</w:t>
      </w:r>
      <w:r w:rsidR="00AC7F26">
        <w:rPr>
          <w:rFonts w:ascii="Calibri" w:eastAsia="Calibri" w:hAnsi="Calibri" w:cs="Calibri"/>
          <w:sz w:val="22"/>
          <w:szCs w:val="22"/>
        </w:rPr>
        <w:t xml:space="preserve"> </w:t>
      </w:r>
      <w:r>
        <w:rPr>
          <w:rFonts w:ascii="Calibri" w:eastAsia="Calibri" w:hAnsi="Calibri" w:cs="Calibri"/>
          <w:sz w:val="22"/>
          <w:szCs w:val="22"/>
        </w:rPr>
        <w:t>resources model and technostress theory as guiding frameworks; it does not extend to the technical development of AI systems themselves, nor to macroeconomic labour market modelling except where this directly informs employee-level experience. Temporally, the review concentrates on literature published from approximately 2018 onward, reflecting the period of accelerated workplace AI adoption, while incorporating earlier foundational theoretical sources where relevant. In terms of context, the review draws on studies across multiple sectors and countries rather than a single industry or geography, while remaining attentive to the fact that much of the existing empirical evidence is concentrated in particular national and sectoral contexts, a limitation that is discussed explicitly in the later chapters. Only peer-reviewed academic sources and credible industry/practitioner reports are included; opinion pieces, non-peer-reviewed commentary, and sources without an accessible full text are excluded. Theoretically, the review is bounded by its choice of the job demands</w:t>
      </w:r>
      <w:r w:rsidR="00A442AA">
        <w:rPr>
          <w:rFonts w:ascii="Calibri" w:eastAsia="Calibri" w:hAnsi="Calibri" w:cs="Calibri"/>
          <w:sz w:val="22"/>
          <w:szCs w:val="22"/>
        </w:rPr>
        <w:t xml:space="preserve"> </w:t>
      </w:r>
      <w:r>
        <w:rPr>
          <w:rFonts w:ascii="Calibri" w:eastAsia="Calibri" w:hAnsi="Calibri" w:cs="Calibri"/>
          <w:sz w:val="22"/>
          <w:szCs w:val="22"/>
        </w:rPr>
        <w:t>resources model and technostress theory as guiding frameworks (introduced fully in Chapter 3); alternative lenses, such as diffusion-of-innovation theory or purely economic labour-market models, are referenced only where they inform the HR-focused analysis this dissertation prioritises, rather than treated as equally weighted alternative frameworks.</w:t>
      </w:r>
    </w:p>
    <w:p w14:paraId="01C0FE43" w14:textId="77777777" w:rsidR="00997FE4" w:rsidRDefault="00000000">
      <w:pPr>
        <w:pStyle w:val="Heading2"/>
        <w:spacing w:before="260" w:after="140"/>
      </w:pPr>
      <w:r>
        <w:rPr>
          <w:rFonts w:ascii="Calibri" w:eastAsia="Calibri" w:hAnsi="Calibri" w:cs="Calibri"/>
          <w:b/>
          <w:bCs/>
          <w:color w:val="1F4E79"/>
          <w:sz w:val="24"/>
          <w:szCs w:val="24"/>
        </w:rPr>
        <w:t>1.7 Structure of the Dissertation</w:t>
      </w:r>
    </w:p>
    <w:p w14:paraId="0485851F" w14:textId="5D00410D" w:rsidR="00E82BF6" w:rsidRPr="00E82BF6" w:rsidRDefault="00E82BF6" w:rsidP="00E82BF6">
      <w:pPr>
        <w:pStyle w:val="ListParagraph"/>
        <w:numPr>
          <w:ilvl w:val="0"/>
          <w:numId w:val="3"/>
        </w:numPr>
        <w:spacing w:after="180" w:line="276" w:lineRule="auto"/>
        <w:jc w:val="both"/>
      </w:pPr>
      <w:r>
        <w:rPr>
          <w:rFonts w:ascii="Calibri" w:eastAsia="Calibri" w:hAnsi="Calibri" w:cs="Calibri"/>
          <w:sz w:val="22"/>
          <w:szCs w:val="22"/>
        </w:rPr>
        <w:t>Chapter 1 Introduction</w:t>
      </w:r>
    </w:p>
    <w:p w14:paraId="5E0E0F05" w14:textId="77777777" w:rsidR="00E82BF6" w:rsidRPr="00E82BF6" w:rsidRDefault="00000000" w:rsidP="00E82BF6">
      <w:pPr>
        <w:pStyle w:val="ListParagraph"/>
        <w:numPr>
          <w:ilvl w:val="0"/>
          <w:numId w:val="3"/>
        </w:numPr>
        <w:spacing w:after="180" w:line="276" w:lineRule="auto"/>
        <w:jc w:val="both"/>
      </w:pPr>
      <w:r w:rsidRPr="00E82BF6">
        <w:rPr>
          <w:rFonts w:ascii="Calibri" w:eastAsia="Calibri" w:hAnsi="Calibri" w:cs="Calibri"/>
          <w:sz w:val="22"/>
          <w:szCs w:val="22"/>
        </w:rPr>
        <w:t xml:space="preserve"> Chapter 2 (Methodology) sets out the systematic search strategy, databases, keywords, inclusion and exclusion criteria, and analytical approach used to identify and synthesise the literature.</w:t>
      </w:r>
    </w:p>
    <w:p w14:paraId="63056B5E" w14:textId="77777777" w:rsidR="00E82BF6" w:rsidRPr="00E82BF6" w:rsidRDefault="00000000" w:rsidP="00E82BF6">
      <w:pPr>
        <w:pStyle w:val="ListParagraph"/>
        <w:numPr>
          <w:ilvl w:val="0"/>
          <w:numId w:val="3"/>
        </w:numPr>
        <w:spacing w:after="180" w:line="276" w:lineRule="auto"/>
        <w:jc w:val="both"/>
      </w:pPr>
      <w:r w:rsidRPr="00E82BF6">
        <w:rPr>
          <w:rFonts w:ascii="Calibri" w:eastAsia="Calibri" w:hAnsi="Calibri" w:cs="Calibri"/>
          <w:sz w:val="22"/>
          <w:szCs w:val="22"/>
        </w:rPr>
        <w:t xml:space="preserve"> Chapter 3 (Thematic Review) presents the central analysis, organised around the major themes of AI adoption and job insecurity, AI adoption and employee wellbeing, and the role of HR practices and leadership, before identifying gaps in current knowledge.</w:t>
      </w:r>
    </w:p>
    <w:p w14:paraId="6DD9DE57" w14:textId="77777777" w:rsidR="00AC7F26" w:rsidRPr="00AC7F26" w:rsidRDefault="00000000" w:rsidP="00E82BF6">
      <w:pPr>
        <w:pStyle w:val="ListParagraph"/>
        <w:numPr>
          <w:ilvl w:val="0"/>
          <w:numId w:val="3"/>
        </w:numPr>
        <w:spacing w:after="180" w:line="276" w:lineRule="auto"/>
        <w:jc w:val="both"/>
      </w:pPr>
      <w:r w:rsidRPr="00E82BF6">
        <w:rPr>
          <w:rFonts w:ascii="Calibri" w:eastAsia="Calibri" w:hAnsi="Calibri" w:cs="Calibri"/>
          <w:sz w:val="22"/>
          <w:szCs w:val="22"/>
        </w:rPr>
        <w:lastRenderedPageBreak/>
        <w:t xml:space="preserve"> Chapter 4 (Discussion) integrates these themes to directly address the research questions and proposes a conceptual framework linking AI adoption, HR practice, and employee outcomes. </w:t>
      </w:r>
    </w:p>
    <w:p w14:paraId="07F2D7BB" w14:textId="474721DA" w:rsidR="00AC7F26" w:rsidRPr="00AC7F26" w:rsidRDefault="00000000" w:rsidP="00E82BF6">
      <w:pPr>
        <w:pStyle w:val="ListParagraph"/>
        <w:numPr>
          <w:ilvl w:val="0"/>
          <w:numId w:val="3"/>
        </w:numPr>
        <w:spacing w:after="180" w:line="276" w:lineRule="auto"/>
        <w:jc w:val="both"/>
      </w:pPr>
      <w:r w:rsidRPr="00E82BF6">
        <w:rPr>
          <w:rFonts w:ascii="Calibri" w:eastAsia="Calibri" w:hAnsi="Calibri" w:cs="Calibri"/>
          <w:sz w:val="22"/>
          <w:szCs w:val="22"/>
        </w:rPr>
        <w:t xml:space="preserve">Chapter 5 (Implications) translates these findings into theoretical, practical/managerial, and future-research implications. </w:t>
      </w:r>
    </w:p>
    <w:p w14:paraId="63E6F19B" w14:textId="5A339548" w:rsidR="00997FE4" w:rsidRPr="00A57F53" w:rsidRDefault="00000000" w:rsidP="00E82BF6">
      <w:pPr>
        <w:pStyle w:val="ListParagraph"/>
        <w:numPr>
          <w:ilvl w:val="0"/>
          <w:numId w:val="3"/>
        </w:numPr>
        <w:spacing w:after="180" w:line="276" w:lineRule="auto"/>
        <w:jc w:val="both"/>
      </w:pPr>
      <w:r w:rsidRPr="00E82BF6">
        <w:rPr>
          <w:rFonts w:ascii="Calibri" w:eastAsia="Calibri" w:hAnsi="Calibri" w:cs="Calibri"/>
          <w:sz w:val="22"/>
          <w:szCs w:val="22"/>
        </w:rPr>
        <w:t>Chapter 6 (Conclusion) summarises the answers to the research questions, reflects on the limitations of the review, and proposes directions for future research.</w:t>
      </w:r>
    </w:p>
    <w:p w14:paraId="2E667256"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60510D7E"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59A5C349"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3D8744B2"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3E1040D0"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7C111B24"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584D207E"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51FCF7CD"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5B47369B"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5BE716B7"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21458A08"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6E84C9B7"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3D3D6711"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78B1BEA9"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67361454"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1D2BED7B"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40961B05"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1E8E7E1D"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2D68D22F"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1945EA79"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1692581C"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5E009CA8"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4077B020" w14:textId="77777777" w:rsidR="00A57F53" w:rsidRDefault="00A57F53" w:rsidP="00A57F53">
      <w:pPr>
        <w:pStyle w:val="ListParagraph"/>
        <w:spacing w:after="180" w:line="276" w:lineRule="auto"/>
        <w:ind w:left="720"/>
        <w:jc w:val="both"/>
        <w:rPr>
          <w:rFonts w:ascii="Calibri" w:eastAsia="Calibri" w:hAnsi="Calibri" w:cs="Calibri"/>
          <w:sz w:val="22"/>
          <w:szCs w:val="22"/>
        </w:rPr>
      </w:pPr>
    </w:p>
    <w:p w14:paraId="59A9CB01" w14:textId="77777777" w:rsidR="00A57F53" w:rsidRDefault="00A57F53" w:rsidP="00A57F53">
      <w:pPr>
        <w:pStyle w:val="ListParagraph"/>
        <w:spacing w:after="180" w:line="276" w:lineRule="auto"/>
        <w:ind w:left="720"/>
        <w:jc w:val="both"/>
      </w:pPr>
    </w:p>
    <w:p w14:paraId="2DCFBA07" w14:textId="6C3AB732" w:rsidR="00997FE4" w:rsidRDefault="00304F8E">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lastRenderedPageBreak/>
        <w:t xml:space="preserve">                                                       Chapter </w:t>
      </w:r>
      <w:r w:rsidR="00546450">
        <w:rPr>
          <w:rFonts w:ascii="Calibri" w:eastAsia="Calibri" w:hAnsi="Calibri" w:cs="Calibri"/>
          <w:b/>
          <w:bCs/>
          <w:color w:val="1F4E79"/>
          <w:sz w:val="28"/>
          <w:szCs w:val="28"/>
        </w:rPr>
        <w:t>Two:</w:t>
      </w:r>
      <w:r>
        <w:rPr>
          <w:rFonts w:ascii="Calibri" w:eastAsia="Calibri" w:hAnsi="Calibri" w:cs="Calibri"/>
          <w:b/>
          <w:bCs/>
          <w:color w:val="1F4E79"/>
          <w:sz w:val="28"/>
          <w:szCs w:val="28"/>
        </w:rPr>
        <w:t xml:space="preserve"> Methodology</w:t>
      </w:r>
    </w:p>
    <w:p w14:paraId="14343480" w14:textId="33369E2C" w:rsidR="007F26DA" w:rsidRPr="007F26DA" w:rsidRDefault="007F26DA">
      <w:pPr>
        <w:pStyle w:val="Heading1"/>
        <w:spacing w:before="360" w:after="200"/>
        <w:rPr>
          <w:sz w:val="24"/>
          <w:szCs w:val="24"/>
        </w:rPr>
      </w:pPr>
      <w:r w:rsidRPr="007F26DA">
        <w:rPr>
          <w:rFonts w:ascii="Calibri" w:eastAsia="Calibri" w:hAnsi="Calibri" w:cs="Calibri"/>
          <w:b/>
          <w:bCs/>
          <w:color w:val="1F4E79"/>
          <w:sz w:val="24"/>
          <w:szCs w:val="24"/>
        </w:rPr>
        <w:t>2.1 Introduction</w:t>
      </w:r>
    </w:p>
    <w:p w14:paraId="15206C8C" w14:textId="77777777" w:rsidR="00997FE4" w:rsidRDefault="00000000">
      <w:pPr>
        <w:spacing w:after="180" w:line="276" w:lineRule="auto"/>
        <w:jc w:val="both"/>
      </w:pPr>
      <w:r>
        <w:rPr>
          <w:rFonts w:ascii="Calibri" w:eastAsia="Calibri" w:hAnsi="Calibri" w:cs="Calibri"/>
          <w:sz w:val="22"/>
          <w:szCs w:val="22"/>
        </w:rPr>
        <w:t>This chapter explains how the literature underpinning this dissertation was systematically located, selected, evaluated, and analysed. Although no primary data is collected, an extended literature review must still follow a transparent, replicable process to be credible, unbiased, and methodologically defensible (</w:t>
      </w:r>
      <w:proofErr w:type="spellStart"/>
      <w:r>
        <w:rPr>
          <w:rFonts w:ascii="Calibri" w:eastAsia="Calibri" w:hAnsi="Calibri" w:cs="Calibri"/>
          <w:sz w:val="22"/>
          <w:szCs w:val="22"/>
        </w:rPr>
        <w:t>Tranfield</w:t>
      </w:r>
      <w:proofErr w:type="spellEnd"/>
      <w:r>
        <w:rPr>
          <w:rFonts w:ascii="Calibri" w:eastAsia="Calibri" w:hAnsi="Calibri" w:cs="Calibri"/>
          <w:sz w:val="22"/>
          <w:szCs w:val="22"/>
        </w:rPr>
        <w:t>, Denyer and Smart, 2003; Snyder, 2019). The approach adopted here draws on established guidance for conducting standalone systematic literature reviews in management and information systems research (Okoli, 2015; Kitchenham and Charters, 2007), adapted for the social sciences following Petticrew and Roberts (2006). The following sections set out the search strategy, databases, keywords, publication timeframe, inclusion/exclusion criteria, screening process, quality assessment approach, and analytical method used to answer the research questions set out in Chapter 1.</w:t>
      </w:r>
    </w:p>
    <w:p w14:paraId="17F0EDB6" w14:textId="2DDB3BF4"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 xml:space="preserve"> Search Strategy</w:t>
      </w:r>
    </w:p>
    <w:p w14:paraId="10DC1119" w14:textId="77777777" w:rsidR="00997FE4" w:rsidRDefault="00000000">
      <w:pPr>
        <w:spacing w:after="180" w:line="276" w:lineRule="auto"/>
        <w:jc w:val="both"/>
      </w:pPr>
      <w:r>
        <w:rPr>
          <w:rFonts w:ascii="Calibri" w:eastAsia="Calibri" w:hAnsi="Calibri" w:cs="Calibri"/>
          <w:sz w:val="22"/>
          <w:szCs w:val="22"/>
        </w:rPr>
        <w:t>This review adopts a systematic search strategy, rather than a purely narrative or ad hoc approach, to maximise transparency and replicability (</w:t>
      </w:r>
      <w:proofErr w:type="spellStart"/>
      <w:r>
        <w:rPr>
          <w:rFonts w:ascii="Calibri" w:eastAsia="Calibri" w:hAnsi="Calibri" w:cs="Calibri"/>
          <w:sz w:val="22"/>
          <w:szCs w:val="22"/>
        </w:rPr>
        <w:t>Tranfield</w:t>
      </w:r>
      <w:proofErr w:type="spellEnd"/>
      <w:r>
        <w:rPr>
          <w:rFonts w:ascii="Calibri" w:eastAsia="Calibri" w:hAnsi="Calibri" w:cs="Calibri"/>
          <w:sz w:val="22"/>
          <w:szCs w:val="22"/>
        </w:rPr>
        <w:t>, Denyer and Smart, 2003). A systematic strategy was chosen over a purely narrative review because the topic spans several converging literatures (AI adoption, occupational psychology, and HR management) that are unlikely to be captured comprehensively through informal or citation-chasing methods alone; a systematic protocol reduces the risk that the review reflects only the most visible or familiar sources. At the same time, given the relative youth and interdisciplinary spread of this literature, the search retains a semi-systematic character in places, supplementing database searching with limited citation tracking ('snowballing') from key papers, consistent with guidance for reviewing fragmented, cross-disciplinary topics (Snyder, 2019). This hybrid approach was judged more appropriate than a fully systematic, meta-analytic protocol, which typically assumes a more mature, homogeneous body of quantitative evidence than currently exists for AI's employee-level effects, and more rigorous than a purely narrative approach, which would not provide the same auditable trail from search to inclusion. The review follows the broad three-phase structure of planning, conducting, and reporting recommended for systematic reviews (Kitchenham and Charters, 2007), and adopts a concept-centric organisation of the search, structured around the core constructs (AI adoption, job insecurity, wellbeing, HR practice) rather than around individual authors, consistent with established guidance on structuring literature reviews (Webster and Watson, 2002). Search strings were constructed using Boolean operators (AND, OR, NOT) to combine core concept groups, for example: ('artificial intelligence' OR 'AI') AND ('job insecurity' OR 'job security') AND ('wellbeing' OR 'well-being') AND ('human resource*' OR 'HR'). This structure allowed concept groups to be combined systematically while excluding clearly irrelevant results (e.g. NOT 'clinical' to exclude unrelated medical AI literature).</w:t>
      </w:r>
    </w:p>
    <w:p w14:paraId="6588A57A" w14:textId="056D9302"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 xml:space="preserve">3 </w:t>
      </w:r>
      <w:r>
        <w:rPr>
          <w:rFonts w:ascii="Calibri" w:eastAsia="Calibri" w:hAnsi="Calibri" w:cs="Calibri"/>
          <w:b/>
          <w:bCs/>
          <w:color w:val="1F4E79"/>
          <w:sz w:val="24"/>
          <w:szCs w:val="24"/>
        </w:rPr>
        <w:t>Databases and Sources</w:t>
      </w:r>
    </w:p>
    <w:p w14:paraId="46411867" w14:textId="77777777" w:rsidR="00997FE4" w:rsidRDefault="00000000">
      <w:pPr>
        <w:spacing w:after="180" w:line="276" w:lineRule="auto"/>
        <w:jc w:val="both"/>
      </w:pPr>
      <w:r>
        <w:rPr>
          <w:rFonts w:ascii="Calibri" w:eastAsia="Calibri" w:hAnsi="Calibri" w:cs="Calibri"/>
          <w:sz w:val="22"/>
          <w:szCs w:val="22"/>
        </w:rPr>
        <w:t>Searches were conducted primarily across Scopus, Web of Science, and Business Source Premier (EBSCO), supplemented by ScienceDirect and Emerald Insight. These databases were selected because they provide strong coverage of peer-reviewed business, management, and occupational psychology journals, the disciplinary areas most relevant to this review's HR-focused research questions. Google Scholar was used only in a supplementary capacity, to identify grey literature (such as credible industry reports) and to cross-check that no significant peer-reviewed studies had been missed by the primary databases, consistent with its recognised limitations around quality control and duplicate/non-peer-reviewed results when used as a sole source.</w:t>
      </w:r>
    </w:p>
    <w:p w14:paraId="4A521483" w14:textId="7BCD52C7" w:rsidR="00997FE4" w:rsidRDefault="00000000">
      <w:pPr>
        <w:pStyle w:val="Heading2"/>
        <w:spacing w:before="260" w:after="140"/>
      </w:pPr>
      <w:r>
        <w:rPr>
          <w:rFonts w:ascii="Calibri" w:eastAsia="Calibri" w:hAnsi="Calibri" w:cs="Calibri"/>
          <w:b/>
          <w:bCs/>
          <w:color w:val="1F4E79"/>
          <w:sz w:val="24"/>
          <w:szCs w:val="24"/>
        </w:rPr>
        <w:lastRenderedPageBreak/>
        <w:t>2.</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Keywords and Search Terms</w:t>
      </w:r>
    </w:p>
    <w:p w14:paraId="49E9D169" w14:textId="2CB7A797" w:rsidR="00997FE4" w:rsidRDefault="00000000">
      <w:pPr>
        <w:spacing w:after="180" w:line="276" w:lineRule="auto"/>
        <w:jc w:val="both"/>
      </w:pPr>
      <w:r>
        <w:rPr>
          <w:rFonts w:ascii="Calibri" w:eastAsia="Calibri" w:hAnsi="Calibri" w:cs="Calibri"/>
          <w:sz w:val="22"/>
          <w:szCs w:val="22"/>
        </w:rPr>
        <w:t>Keywords were developed iteratively, beginning with the core concepts embedded in the research questions (artificial intelligence, job insecurity, job security, employee wellbeing, HR practice) and expanded through an initial scoping search to capture synonyms and related terminology used inconsistently across the literature. Related synonyms and terms included: 'automation', 'algorithmic management', 'technostress', 'psychological safety', 'organisational support', 'reskilling', and 'human resource management' /</w:t>
      </w:r>
      <w:r w:rsidR="00AC7F26">
        <w:rPr>
          <w:rFonts w:ascii="Calibri" w:eastAsia="Calibri" w:hAnsi="Calibri" w:cs="Calibri"/>
          <w:sz w:val="22"/>
          <w:szCs w:val="22"/>
        </w:rPr>
        <w:t xml:space="preserve"> </w:t>
      </w:r>
      <w:r>
        <w:rPr>
          <w:rFonts w:ascii="Calibri" w:eastAsia="Calibri" w:hAnsi="Calibri" w:cs="Calibri"/>
          <w:sz w:val="22"/>
          <w:szCs w:val="22"/>
        </w:rPr>
        <w:t>'HRM'. A sample search string applied in Scopus was</w:t>
      </w:r>
      <w:proofErr w:type="gramStart"/>
      <w:r>
        <w:rPr>
          <w:rFonts w:ascii="Calibri" w:eastAsia="Calibri" w:hAnsi="Calibri" w:cs="Calibri"/>
          <w:sz w:val="22"/>
          <w:szCs w:val="22"/>
        </w:rPr>
        <w:t>:((</w:t>
      </w:r>
      <w:proofErr w:type="gramEnd"/>
      <w:r>
        <w:rPr>
          <w:rFonts w:ascii="Calibri" w:eastAsia="Calibri" w:hAnsi="Calibri" w:cs="Calibri"/>
          <w:sz w:val="22"/>
          <w:szCs w:val="22"/>
        </w:rPr>
        <w:t>'artificial intelligence' OR 'AI' OR 'automation' OR 'algorithmic management') AND ('job insecurity' OR 'job security' OR 'technostress') AND ('wellbeing' OR 'well-being' OR 'psychological safety') AND ('HR' OR 'human resource management')). Search terms were refined across several iterations, narrowing overly broad initial searches (which returned a high volume of purely technical AI or unrelated clinical results) and broadening searches that initially missed known key studies, until the string reliably retrieved the core papers identified during scoping.</w:t>
      </w:r>
    </w:p>
    <w:p w14:paraId="2A139199" w14:textId="06949DEC"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 xml:space="preserve">5 </w:t>
      </w:r>
      <w:r>
        <w:rPr>
          <w:rFonts w:ascii="Calibri" w:eastAsia="Calibri" w:hAnsi="Calibri" w:cs="Calibri"/>
          <w:b/>
          <w:bCs/>
          <w:color w:val="1F4E79"/>
          <w:sz w:val="24"/>
          <w:szCs w:val="24"/>
        </w:rPr>
        <w:t>Time Frame for Included Publications</w:t>
      </w:r>
    </w:p>
    <w:p w14:paraId="4BC55600" w14:textId="77777777" w:rsidR="00997FE4" w:rsidRDefault="00000000">
      <w:pPr>
        <w:spacing w:after="180" w:line="276" w:lineRule="auto"/>
        <w:jc w:val="both"/>
      </w:pPr>
      <w:r>
        <w:rPr>
          <w:rFonts w:ascii="Calibri" w:eastAsia="Calibri" w:hAnsi="Calibri" w:cs="Calibri"/>
          <w:sz w:val="22"/>
          <w:szCs w:val="22"/>
        </w:rPr>
        <w:t xml:space="preserve">The review focuses primarily on literature published between 2018 and 2026. This period was chosen because it captures the phase of accelerated workplace AI adoption following widespread commercial availability of machine learning and, more recently, generative AI tools, during which the empirical literature on AI's employee-level effects has grown most rapidly. Earlier foundational theoretical sources, such as the original job demands–resources model (Bakker and Demerouti, 2007) and technostress theory (Ragu-Nathan et al., 2008), are included where relevant despite predating this window, since they provide the conceptual grounding on which more recent empirical studies build. Within the 2018–2026 window itself, particular weight is given to sources published from 2023 onward, reflecting the accelerated pace of generative AI diffusion specifically, while earlier studies within the window (e.g. Wood, Graham and </w:t>
      </w:r>
      <w:proofErr w:type="spellStart"/>
      <w:r>
        <w:rPr>
          <w:rFonts w:ascii="Calibri" w:eastAsia="Calibri" w:hAnsi="Calibri" w:cs="Calibri"/>
          <w:sz w:val="22"/>
          <w:szCs w:val="22"/>
        </w:rPr>
        <w:t>Lehdonvirta</w:t>
      </w:r>
      <w:proofErr w:type="spellEnd"/>
      <w:r>
        <w:rPr>
          <w:rFonts w:ascii="Calibri" w:eastAsia="Calibri" w:hAnsi="Calibri" w:cs="Calibri"/>
          <w:sz w:val="22"/>
          <w:szCs w:val="22"/>
        </w:rPr>
        <w:t xml:space="preserve">, 2018; </w:t>
      </w:r>
      <w:proofErr w:type="spellStart"/>
      <w:r>
        <w:rPr>
          <w:rFonts w:ascii="Calibri" w:eastAsia="Calibri" w:hAnsi="Calibri" w:cs="Calibri"/>
          <w:sz w:val="22"/>
          <w:szCs w:val="22"/>
        </w:rPr>
        <w:t>Köchling</w:t>
      </w:r>
      <w:proofErr w:type="spellEnd"/>
      <w:r>
        <w:rPr>
          <w:rFonts w:ascii="Calibri" w:eastAsia="Calibri" w:hAnsi="Calibri" w:cs="Calibri"/>
          <w:sz w:val="22"/>
          <w:szCs w:val="22"/>
        </w:rPr>
        <w:t xml:space="preserve"> and Wehner, 2020) are retained where they address algorithmic management dynamics that remain directly relevant to current AI deployment.</w:t>
      </w:r>
    </w:p>
    <w:p w14:paraId="6C811969" w14:textId="3052A348"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 xml:space="preserve">6 </w:t>
      </w:r>
      <w:r>
        <w:rPr>
          <w:rFonts w:ascii="Calibri" w:eastAsia="Calibri" w:hAnsi="Calibri" w:cs="Calibri"/>
          <w:b/>
          <w:bCs/>
          <w:color w:val="1F4E79"/>
          <w:sz w:val="24"/>
          <w:szCs w:val="24"/>
        </w:rPr>
        <w:t>Inclusion and Exclusion Criteria</w:t>
      </w:r>
    </w:p>
    <w:p w14:paraId="2FB8C210" w14:textId="66280AF1" w:rsidR="00997FE4" w:rsidRDefault="00000000">
      <w:pPr>
        <w:spacing w:after="180" w:line="276" w:lineRule="auto"/>
        <w:jc w:val="both"/>
      </w:pPr>
      <w:r>
        <w:rPr>
          <w:rFonts w:ascii="Calibri" w:eastAsia="Calibri" w:hAnsi="Calibri" w:cs="Calibri"/>
          <w:sz w:val="22"/>
          <w:szCs w:val="22"/>
        </w:rPr>
        <w:t>Clear inclusion and exclusion criteria were applied to ensure only relevant, credible sources informed the review. Sources were included if they were: peer</w:t>
      </w:r>
      <w:r w:rsidR="00E4496D">
        <w:rPr>
          <w:rFonts w:ascii="Calibri" w:eastAsia="Calibri" w:hAnsi="Calibri" w:cs="Calibri"/>
          <w:sz w:val="22"/>
          <w:szCs w:val="22"/>
        </w:rPr>
        <w:t xml:space="preserve"> </w:t>
      </w:r>
      <w:r>
        <w:rPr>
          <w:rFonts w:ascii="Calibri" w:eastAsia="Calibri" w:hAnsi="Calibri" w:cs="Calibri"/>
          <w:sz w:val="22"/>
          <w:szCs w:val="22"/>
        </w:rPr>
        <w:t xml:space="preserve">reviewed journal articles; </w:t>
      </w:r>
      <w:proofErr w:type="gramStart"/>
      <w:r>
        <w:rPr>
          <w:rFonts w:ascii="Calibri" w:eastAsia="Calibri" w:hAnsi="Calibri" w:cs="Calibri"/>
          <w:sz w:val="22"/>
          <w:szCs w:val="22"/>
        </w:rPr>
        <w:t>high</w:t>
      </w:r>
      <w:r w:rsidR="00E4496D">
        <w:rPr>
          <w:rFonts w:ascii="Calibri" w:eastAsia="Calibri" w:hAnsi="Calibri" w:cs="Calibri"/>
          <w:sz w:val="22"/>
          <w:szCs w:val="22"/>
        </w:rPr>
        <w:t xml:space="preserve"> </w:t>
      </w:r>
      <w:r>
        <w:rPr>
          <w:rFonts w:ascii="Calibri" w:eastAsia="Calibri" w:hAnsi="Calibri" w:cs="Calibri"/>
          <w:sz w:val="22"/>
          <w:szCs w:val="22"/>
        </w:rPr>
        <w:t>quality</w:t>
      </w:r>
      <w:proofErr w:type="gramEnd"/>
      <w:r>
        <w:rPr>
          <w:rFonts w:ascii="Calibri" w:eastAsia="Calibri" w:hAnsi="Calibri" w:cs="Calibri"/>
          <w:sz w:val="22"/>
          <w:szCs w:val="22"/>
        </w:rPr>
        <w:t xml:space="preserve"> academic books or book chapters; foundational theoretical works, regardless of publication date, where directly relevant to the guiding frameworks; or credible industry/practitioner reports (e.g. from recognised bodies such as the World Economic Forum, McKinsey, PwC, and CIPD) providing contextual or empirical data unavailable in the peer-reviewed literature. Sources were excluded if they were: </w:t>
      </w:r>
      <w:proofErr w:type="spellStart"/>
      <w:r>
        <w:rPr>
          <w:rFonts w:ascii="Calibri" w:eastAsia="Calibri" w:hAnsi="Calibri" w:cs="Calibri"/>
          <w:sz w:val="22"/>
          <w:szCs w:val="22"/>
        </w:rPr>
        <w:t>non</w:t>
      </w:r>
      <w:r w:rsidR="00E4496D">
        <w:rPr>
          <w:rFonts w:ascii="Calibri" w:eastAsia="Calibri" w:hAnsi="Calibri" w:cs="Calibri"/>
          <w:sz w:val="22"/>
          <w:szCs w:val="22"/>
        </w:rPr>
        <w:t xml:space="preserve"> </w:t>
      </w:r>
      <w:r>
        <w:rPr>
          <w:rFonts w:ascii="Calibri" w:eastAsia="Calibri" w:hAnsi="Calibri" w:cs="Calibri"/>
          <w:sz w:val="22"/>
          <w:szCs w:val="22"/>
        </w:rPr>
        <w:t>academic</w:t>
      </w:r>
      <w:proofErr w:type="spellEnd"/>
      <w:r>
        <w:rPr>
          <w:rFonts w:ascii="Calibri" w:eastAsia="Calibri" w:hAnsi="Calibri" w:cs="Calibri"/>
          <w:sz w:val="22"/>
          <w:szCs w:val="22"/>
        </w:rPr>
        <w:t xml:space="preserve"> opinion pieces or blog commentary without an evidential basis; conference abstracts without an accompanying full paper; studies focused solely on the technical development of AI systems with no organisational or human dimension; or sources without an accessible full text. Each criterion serves a specific rigour function: the peer-review requirement protects against unverified claims, the exclusion of technical-only AI literature keeps the review focused on its HR/employee-experience scope, and the full-text-access requirement ensures every included claim can be independently verified.</w:t>
      </w:r>
    </w:p>
    <w:p w14:paraId="5DF9AF76" w14:textId="055998A2"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7</w:t>
      </w:r>
      <w:r>
        <w:rPr>
          <w:rFonts w:ascii="Calibri" w:eastAsia="Calibri" w:hAnsi="Calibri" w:cs="Calibri"/>
          <w:b/>
          <w:bCs/>
          <w:color w:val="1F4E79"/>
          <w:sz w:val="24"/>
          <w:szCs w:val="24"/>
        </w:rPr>
        <w:t xml:space="preserve"> Screening Process (PRISMA-Style)</w:t>
      </w:r>
    </w:p>
    <w:p w14:paraId="4ECD1EED" w14:textId="77777777" w:rsidR="00997FE4" w:rsidRDefault="00000000">
      <w:pPr>
        <w:spacing w:after="180" w:line="276" w:lineRule="auto"/>
        <w:jc w:val="both"/>
      </w:pPr>
      <w:r>
        <w:rPr>
          <w:rFonts w:ascii="Calibri" w:eastAsia="Calibri" w:hAnsi="Calibri" w:cs="Calibri"/>
          <w:sz w:val="22"/>
          <w:szCs w:val="22"/>
        </w:rPr>
        <w:t xml:space="preserve">Screening followed a PRISMA-style four-stage process to ensure transparency, following the original PRISMA statement (Moher et al., 2009) and its 2020 update (Page et al., 2021). At the identification stage, records were retrieved from the databases listed in Section 2.2 using the search strings described in Section 2.3. At the screening stage, duplicate records were removed and remaining records were screened by title and abstract against the inclusion/exclusion criteria in Section 2.5. At the eligibility stage, the full text of each </w:t>
      </w:r>
      <w:r>
        <w:rPr>
          <w:rFonts w:ascii="Calibri" w:eastAsia="Calibri" w:hAnsi="Calibri" w:cs="Calibri"/>
          <w:sz w:val="22"/>
          <w:szCs w:val="22"/>
        </w:rPr>
        <w:lastRenderedPageBreak/>
        <w:t>remaining record was assessed in detail to confirm relevance, quality, and fit with the review's scope. Records passing all three stages formed the final set of included studies incorporated into the thematic synthesis in Chapter 3. Figure 1 below sets out this process in full, recording the number of records identified, screened, assessed for eligibility, and finally included at each stage.</w:t>
      </w:r>
    </w:p>
    <w:p w14:paraId="2E285ADE" w14:textId="18461C6E" w:rsidR="00997FE4" w:rsidRDefault="00B13EDE">
      <w:pPr>
        <w:spacing w:before="200" w:after="120"/>
        <w:jc w:val="center"/>
      </w:pPr>
      <w:r>
        <w:rPr>
          <w:noProof/>
        </w:rPr>
        <w:drawing>
          <wp:inline distT="0" distB="0" distL="0" distR="0" wp14:anchorId="54BD65B3" wp14:editId="30C95231">
            <wp:extent cx="6120130" cy="4833620"/>
            <wp:effectExtent l="0" t="0" r="0" b="5080"/>
            <wp:docPr id="13528716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71618" name="Picture 1352871618"/>
                    <pic:cNvPicPr/>
                  </pic:nvPicPr>
                  <pic:blipFill>
                    <a:blip r:embed="rId6">
                      <a:extLst>
                        <a:ext uri="{28A0092B-C50C-407E-A947-70E740481C1C}">
                          <a14:useLocalDpi xmlns:a14="http://schemas.microsoft.com/office/drawing/2010/main" val="0"/>
                        </a:ext>
                      </a:extLst>
                    </a:blip>
                    <a:stretch>
                      <a:fillRect/>
                    </a:stretch>
                  </pic:blipFill>
                  <pic:spPr>
                    <a:xfrm>
                      <a:off x="0" y="0"/>
                      <a:ext cx="6120130" cy="4833620"/>
                    </a:xfrm>
                    <a:prstGeom prst="rect">
                      <a:avLst/>
                    </a:prstGeom>
                  </pic:spPr>
                </pic:pic>
              </a:graphicData>
            </a:graphic>
          </wp:inline>
        </w:drawing>
      </w:r>
    </w:p>
    <w:p w14:paraId="5D32B849" w14:textId="77777777" w:rsidR="00997FE4" w:rsidRDefault="00000000">
      <w:pPr>
        <w:spacing w:after="260"/>
        <w:jc w:val="center"/>
      </w:pPr>
      <w:r>
        <w:rPr>
          <w:rFonts w:ascii="Calibri" w:eastAsia="Calibri" w:hAnsi="Calibri" w:cs="Calibri"/>
          <w:i/>
          <w:iCs/>
          <w:color w:val="444444"/>
        </w:rPr>
        <w:t>Figure 1. PRISMA-style flow diagram showing the identification, screening, eligibility and inclusion stages of the literature search (adapted from Page et al., 2021).</w:t>
      </w:r>
    </w:p>
    <w:p w14:paraId="7DD4A6DA" w14:textId="40FFAD11"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 xml:space="preserve">8 </w:t>
      </w:r>
      <w:r>
        <w:rPr>
          <w:rFonts w:ascii="Calibri" w:eastAsia="Calibri" w:hAnsi="Calibri" w:cs="Calibri"/>
          <w:b/>
          <w:bCs/>
          <w:color w:val="1F4E79"/>
          <w:sz w:val="24"/>
          <w:szCs w:val="24"/>
        </w:rPr>
        <w:t>Quality Assessment of Included Studies</w:t>
      </w:r>
    </w:p>
    <w:p w14:paraId="6211ED55" w14:textId="77777777" w:rsidR="00997FE4" w:rsidRDefault="00000000">
      <w:pPr>
        <w:spacing w:after="180" w:line="276" w:lineRule="auto"/>
        <w:jc w:val="both"/>
      </w:pPr>
      <w:r>
        <w:rPr>
          <w:rFonts w:ascii="Calibri" w:eastAsia="Calibri" w:hAnsi="Calibri" w:cs="Calibri"/>
          <w:sz w:val="22"/>
          <w:szCs w:val="22"/>
        </w:rPr>
        <w:t xml:space="preserve">Each study passing the screening stage was further appraised for quality and relevance before being incorporated into the synthesis, drawing on established social-science quality-appraisal guidance (Petticrew and Roberts, 2006). Appraisal criteria included: the ranking of the publishing journal, informed by the Chartered Association of Business Schools' Academic Journal Guide (2024) where available; the methodological robustness of the study (e.g. appropriateness of the research design, sample size, and validity of measures used); the direct relevance of the study's findings to this review's research questions; and the study's theoretical contribution to the fields of AI adoption, occupational wellbeing, or HR management. Distinguishing between review types was also informed by Grant and Booth's (2009) typology of review methodologies, which helped clarify how this dissertation's extended literature review differs in search, appraisal, and synthesis emphasis from a narrower systematic review or meta-analysis. No study was excluded from the review purely on the basis of a lower journal ranking, since credible industry reports and emerging peer-reviewed outlets were often the only sources reporting on AI's very recent workforce effects; </w:t>
      </w:r>
      <w:r>
        <w:rPr>
          <w:rFonts w:ascii="Calibri" w:eastAsia="Calibri" w:hAnsi="Calibri" w:cs="Calibri"/>
          <w:sz w:val="22"/>
          <w:szCs w:val="22"/>
        </w:rPr>
        <w:lastRenderedPageBreak/>
        <w:t>however, quality appraisal is used throughout the thematic review and discussion chapters to weight and critically qualify the confidence placed in different findings.</w:t>
      </w:r>
    </w:p>
    <w:p w14:paraId="64CAC4B2" w14:textId="6C14BA4A"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 xml:space="preserve">9 </w:t>
      </w:r>
      <w:r>
        <w:rPr>
          <w:rFonts w:ascii="Calibri" w:eastAsia="Calibri" w:hAnsi="Calibri" w:cs="Calibri"/>
          <w:b/>
          <w:bCs/>
          <w:color w:val="1F4E79"/>
          <w:sz w:val="24"/>
          <w:szCs w:val="24"/>
        </w:rPr>
        <w:t>Analytical Method</w:t>
      </w:r>
    </w:p>
    <w:p w14:paraId="51E8D34E" w14:textId="77777777" w:rsidR="00997FE4" w:rsidRDefault="00000000">
      <w:pPr>
        <w:spacing w:after="180" w:line="276" w:lineRule="auto"/>
        <w:jc w:val="both"/>
      </w:pPr>
      <w:r>
        <w:rPr>
          <w:rFonts w:ascii="Calibri" w:eastAsia="Calibri" w:hAnsi="Calibri" w:cs="Calibri"/>
          <w:sz w:val="22"/>
          <w:szCs w:val="22"/>
        </w:rPr>
        <w:t xml:space="preserve">The final set of included studies was analysed using thematic analysis, the most common analytical approach for extended literature reviews of this kind (Braun and Clarke, 2006). Following Braun and Clarke's (2006) six-phase process, adapted here for literature synthesis rather than primary qualitative data, each study's key findings were first extracted into a structured data-extraction matrix recording its aim, methodology, sample/context, and core findings. Extracted findings were then coded and grouped into candidate themes based on recurring concepts across studies (for example, AI-related job insecurity, psychological safety, organisational support, and leadership behaviour), before being reviewed, refined, and named to form the coherent thematic structure presented in Chapter 3. This approach directly supports the review's research questions by allowing patterns, points of consensus, and contradictions across a fragmented literature to be systematically identified and synthesised, rather than being described study-by-study. An integrative review approach (Whittemore and </w:t>
      </w:r>
      <w:proofErr w:type="spellStart"/>
      <w:r>
        <w:rPr>
          <w:rFonts w:ascii="Calibri" w:eastAsia="Calibri" w:hAnsi="Calibri" w:cs="Calibri"/>
          <w:sz w:val="22"/>
          <w:szCs w:val="22"/>
        </w:rPr>
        <w:t>Knafl</w:t>
      </w:r>
      <w:proofErr w:type="spellEnd"/>
      <w:r>
        <w:rPr>
          <w:rFonts w:ascii="Calibri" w:eastAsia="Calibri" w:hAnsi="Calibri" w:cs="Calibri"/>
          <w:sz w:val="22"/>
          <w:szCs w:val="22"/>
        </w:rPr>
        <w:t>, 2005), which explicitly accommodates combining diverse quantitative, qualitative, and theoretical sources within a single synthesis, informed how methodologically heterogeneous studies were handled during extraction; conceptual mapping was also considered but not adopted as the primary method, since thematic analysis better accommodates the mixed empirical and theoretical nature of the included sources. Elements of conceptual mapping are nonetheless used in Chapter 4 to visually represent the relationships identified through the thematic synthesis.</w:t>
      </w:r>
    </w:p>
    <w:p w14:paraId="6BFF2DBA" w14:textId="3CCCBA19" w:rsidR="00997FE4" w:rsidRDefault="00000000">
      <w:pPr>
        <w:pStyle w:val="Heading2"/>
        <w:spacing w:before="260" w:after="140"/>
      </w:pPr>
      <w:r>
        <w:rPr>
          <w:rFonts w:ascii="Calibri" w:eastAsia="Calibri" w:hAnsi="Calibri" w:cs="Calibri"/>
          <w:b/>
          <w:bCs/>
          <w:color w:val="1F4E79"/>
          <w:sz w:val="24"/>
          <w:szCs w:val="24"/>
        </w:rPr>
        <w:t>2.</w:t>
      </w:r>
      <w:r w:rsidR="007F26DA">
        <w:rPr>
          <w:rFonts w:ascii="Calibri" w:eastAsia="Calibri" w:hAnsi="Calibri" w:cs="Calibri"/>
          <w:b/>
          <w:bCs/>
          <w:color w:val="1F4E79"/>
          <w:sz w:val="24"/>
          <w:szCs w:val="24"/>
        </w:rPr>
        <w:t>10 Conclusion</w:t>
      </w:r>
    </w:p>
    <w:p w14:paraId="378A22F8" w14:textId="4A91CD4E" w:rsidR="00997FE4" w:rsidRDefault="00000000">
      <w:pPr>
        <w:spacing w:after="180" w:line="276" w:lineRule="auto"/>
        <w:jc w:val="both"/>
        <w:rPr>
          <w:rFonts w:ascii="Calibri" w:eastAsia="Calibri" w:hAnsi="Calibri" w:cs="Calibri"/>
          <w:sz w:val="22"/>
          <w:szCs w:val="22"/>
        </w:rPr>
      </w:pPr>
      <w:r>
        <w:rPr>
          <w:rFonts w:ascii="Calibri" w:eastAsia="Calibri" w:hAnsi="Calibri" w:cs="Calibri"/>
          <w:sz w:val="22"/>
          <w:szCs w:val="22"/>
        </w:rPr>
        <w:t>Each element of this methodology was designed with direct reference to the research questions set out in Chapter 1. The keyword strategy in Section 2.3 was built to jointly capture AI adoption, job insecurity, and wellbeing terminology, ensuring that retrieved studies could speak without requiring a separate search for each construct in isolation. The inclusion of HR-specific terms and industry sources in Sections 2.2 and 2.5 was intended specifically to surface literature addressi</w:t>
      </w:r>
      <w:r w:rsidR="00E4496D">
        <w:rPr>
          <w:rFonts w:ascii="Calibri" w:eastAsia="Calibri" w:hAnsi="Calibri" w:cs="Calibri"/>
          <w:sz w:val="22"/>
          <w:szCs w:val="22"/>
        </w:rPr>
        <w:t xml:space="preserve">ng </w:t>
      </w:r>
      <w:r>
        <w:rPr>
          <w:rFonts w:ascii="Calibri" w:eastAsia="Calibri" w:hAnsi="Calibri" w:cs="Calibri"/>
          <w:sz w:val="22"/>
          <w:szCs w:val="22"/>
        </w:rPr>
        <w:t>given that purely psychological or computer-science databases would be less likely to index HR-practice-focused studies. Similarly, the decision to include credible industry reports alongside peer-reviewed sources (Section 2.5) reflects the practical orientation of and the dissertation's overall aim: HR practitioner guidance often appears first in industry publications before academic study catches up, and excluding this literature entirely would have left a gap between what practitioners are already doing and what the peer-reviewed evidence base has formally tested. Finally, the thematic analytical method described in Section 2.8 was selected because it allows the review to move from simply describing individual studies to synthesising cross-cutting patterns capable of directly answering the overarching research question, rather than producing a purely descriptive summary of the literature.</w:t>
      </w:r>
    </w:p>
    <w:p w14:paraId="40C6E267" w14:textId="77777777" w:rsidR="00A57F53" w:rsidRDefault="00A57F53">
      <w:pPr>
        <w:spacing w:after="180" w:line="276" w:lineRule="auto"/>
        <w:jc w:val="both"/>
        <w:rPr>
          <w:rFonts w:ascii="Calibri" w:eastAsia="Calibri" w:hAnsi="Calibri" w:cs="Calibri"/>
          <w:sz w:val="22"/>
          <w:szCs w:val="22"/>
        </w:rPr>
      </w:pPr>
    </w:p>
    <w:p w14:paraId="7631CCC6" w14:textId="77777777" w:rsidR="00A57F53" w:rsidRDefault="00A57F53">
      <w:pPr>
        <w:spacing w:after="180" w:line="276" w:lineRule="auto"/>
        <w:jc w:val="both"/>
        <w:rPr>
          <w:rFonts w:ascii="Calibri" w:eastAsia="Calibri" w:hAnsi="Calibri" w:cs="Calibri"/>
          <w:sz w:val="22"/>
          <w:szCs w:val="22"/>
        </w:rPr>
      </w:pPr>
    </w:p>
    <w:p w14:paraId="56DE5319" w14:textId="77777777" w:rsidR="00A57F53" w:rsidRDefault="00A57F53">
      <w:pPr>
        <w:spacing w:after="180" w:line="276" w:lineRule="auto"/>
        <w:jc w:val="both"/>
      </w:pPr>
    </w:p>
    <w:p w14:paraId="02CBB310" w14:textId="77777777" w:rsidR="00304F8E" w:rsidRDefault="00304F8E">
      <w:pPr>
        <w:pStyle w:val="Heading1"/>
        <w:spacing w:before="360" w:after="200"/>
        <w:rPr>
          <w:rFonts w:ascii="Calibri" w:eastAsia="Calibri" w:hAnsi="Calibri" w:cs="Calibri"/>
          <w:b/>
          <w:bCs/>
          <w:color w:val="1F4E79"/>
          <w:sz w:val="28"/>
          <w:szCs w:val="28"/>
        </w:rPr>
      </w:pPr>
    </w:p>
    <w:p w14:paraId="4CF3A47E" w14:textId="77777777" w:rsidR="00304F8E" w:rsidRDefault="00304F8E">
      <w:pPr>
        <w:pStyle w:val="Heading1"/>
        <w:spacing w:before="360" w:after="200"/>
        <w:rPr>
          <w:rFonts w:ascii="Calibri" w:eastAsia="Calibri" w:hAnsi="Calibri" w:cs="Calibri"/>
          <w:b/>
          <w:bCs/>
          <w:color w:val="1F4E79"/>
          <w:sz w:val="28"/>
          <w:szCs w:val="28"/>
        </w:rPr>
      </w:pPr>
    </w:p>
    <w:p w14:paraId="5199798B" w14:textId="77777777" w:rsidR="00304F8E" w:rsidRDefault="00304F8E">
      <w:pPr>
        <w:pStyle w:val="Heading1"/>
        <w:spacing w:before="360" w:after="200"/>
        <w:rPr>
          <w:rFonts w:ascii="Calibri" w:eastAsia="Calibri" w:hAnsi="Calibri" w:cs="Calibri"/>
          <w:b/>
          <w:bCs/>
          <w:color w:val="1F4E79"/>
          <w:sz w:val="28"/>
          <w:szCs w:val="28"/>
        </w:rPr>
      </w:pPr>
    </w:p>
    <w:p w14:paraId="1FC4EBF9" w14:textId="77777777" w:rsidR="00304F8E" w:rsidRDefault="00304F8E">
      <w:pPr>
        <w:pStyle w:val="Heading1"/>
        <w:spacing w:before="360" w:after="200"/>
        <w:rPr>
          <w:rFonts w:ascii="Calibri" w:eastAsia="Calibri" w:hAnsi="Calibri" w:cs="Calibri"/>
          <w:b/>
          <w:bCs/>
          <w:color w:val="1F4E79"/>
          <w:sz w:val="28"/>
          <w:szCs w:val="28"/>
        </w:rPr>
      </w:pPr>
    </w:p>
    <w:p w14:paraId="496C5B3C" w14:textId="29A22C52" w:rsidR="00997FE4" w:rsidRDefault="00304F8E">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t xml:space="preserve">                                               Chapter </w:t>
      </w:r>
      <w:r w:rsidR="00546450">
        <w:rPr>
          <w:rFonts w:ascii="Calibri" w:eastAsia="Calibri" w:hAnsi="Calibri" w:cs="Calibri"/>
          <w:b/>
          <w:bCs/>
          <w:color w:val="1F4E79"/>
          <w:sz w:val="28"/>
          <w:szCs w:val="28"/>
        </w:rPr>
        <w:t>Three:</w:t>
      </w:r>
      <w:r>
        <w:rPr>
          <w:rFonts w:ascii="Calibri" w:eastAsia="Calibri" w:hAnsi="Calibri" w:cs="Calibri"/>
          <w:b/>
          <w:bCs/>
          <w:color w:val="1F4E79"/>
          <w:sz w:val="28"/>
          <w:szCs w:val="28"/>
        </w:rPr>
        <w:t xml:space="preserve"> Thematic Literature Review</w:t>
      </w:r>
    </w:p>
    <w:p w14:paraId="77C0B31C" w14:textId="7747FA83" w:rsidR="004768C0" w:rsidRDefault="004768C0">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t>3.1 Introduction</w:t>
      </w:r>
    </w:p>
    <w:p w14:paraId="5CF4F026" w14:textId="77777777" w:rsidR="00997FE4" w:rsidRDefault="00000000">
      <w:pPr>
        <w:spacing w:after="180" w:line="276" w:lineRule="auto"/>
        <w:jc w:val="both"/>
      </w:pPr>
      <w:r>
        <w:rPr>
          <w:rFonts w:ascii="Calibri" w:eastAsia="Calibri" w:hAnsi="Calibri" w:cs="Calibri"/>
          <w:sz w:val="22"/>
          <w:szCs w:val="22"/>
        </w:rPr>
        <w:t>This chapter presents the central analysis of the dissertation: a thematic synthesis of the 38 studies identified through the systematic search process described in Chapter 2. Rather than summarising each source in turn, the chapter is organised around four overarching themes, consistent with the thematic analysis approach set out in Section 2.8 (Braun and Clarke, 2006). Theme 1 establishes the theoretical foundations that underpin the review, defining the core constructs and the two guiding frameworks used throughout: the job demands–resources (JD-R) model and technostress theory. Theme 2 synthesises empirical findings across three interconnected areas: AI adoption and job insecurity, AI adoption and employee wellbeing, and the role of HR practices and leadership in shaping these outcomes. Theme 3 examines emerging debates that complicate any simple narrative about AI's workplace effects. Theme 4 draws together the gaps in current knowledge that emerge from the synthesis, setting up the Discussion in Chapter 4. Figure 2 provides a visual overview of how these themes relate to one another and to the dissertation's central research question.</w:t>
      </w:r>
    </w:p>
    <w:p w14:paraId="3BADDC76" w14:textId="77777777" w:rsidR="00997FE4" w:rsidRDefault="00000000">
      <w:pPr>
        <w:spacing w:before="200" w:after="120"/>
        <w:jc w:val="center"/>
      </w:pPr>
      <w:r>
        <w:rPr>
          <w:noProof/>
        </w:rPr>
        <w:drawing>
          <wp:inline distT="0" distB="0" distL="0" distR="0" wp14:anchorId="6611F261" wp14:editId="598C7024">
            <wp:extent cx="4000500" cy="4000500"/>
            <wp:effectExtent l="0" t="0" r="0" b="0"/>
            <wp:docPr id="1689890102" name="Picture 1689890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000500" cy="4000500"/>
                    </a:xfrm>
                    <a:prstGeom prst="rect">
                      <a:avLst/>
                    </a:prstGeom>
                  </pic:spPr>
                </pic:pic>
              </a:graphicData>
            </a:graphic>
          </wp:inline>
        </w:drawing>
      </w:r>
    </w:p>
    <w:p w14:paraId="17EF81F9" w14:textId="77777777" w:rsidR="00997FE4" w:rsidRDefault="00000000">
      <w:pPr>
        <w:spacing w:after="260"/>
        <w:jc w:val="center"/>
      </w:pPr>
      <w:r>
        <w:rPr>
          <w:rFonts w:ascii="Calibri" w:eastAsia="Calibri" w:hAnsi="Calibri" w:cs="Calibri"/>
          <w:i/>
          <w:iCs/>
          <w:color w:val="444444"/>
        </w:rPr>
        <w:t>Figure 2. Thematic map showing the structure of the literature review and how each theme relates to the dissertation's central research question.</w:t>
      </w:r>
    </w:p>
    <w:p w14:paraId="5A59DE89" w14:textId="0FEABFA9"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 xml:space="preserve">2 </w:t>
      </w:r>
      <w:r>
        <w:rPr>
          <w:rFonts w:ascii="Calibri" w:eastAsia="Calibri" w:hAnsi="Calibri" w:cs="Calibri"/>
          <w:b/>
          <w:bCs/>
          <w:color w:val="1F4E79"/>
          <w:sz w:val="24"/>
          <w:szCs w:val="24"/>
        </w:rPr>
        <w:t>Theme 1: Theoretical Foundations</w:t>
      </w:r>
    </w:p>
    <w:p w14:paraId="44BB06A2" w14:textId="6DBCEA45" w:rsidR="00997FE4" w:rsidRDefault="00000000">
      <w:pPr>
        <w:spacing w:after="180" w:line="276" w:lineRule="auto"/>
        <w:jc w:val="both"/>
      </w:pPr>
      <w:r>
        <w:rPr>
          <w:rFonts w:ascii="Calibri" w:eastAsia="Calibri" w:hAnsi="Calibri" w:cs="Calibri"/>
          <w:sz w:val="22"/>
          <w:szCs w:val="22"/>
        </w:rPr>
        <w:t>Before synthesising empirical findings, it is necessary to establish the conceptual vocabulary and theoretical lenses used throughout this review. This section defines job insecurity and employee wellbeing as they are used in the literature, and explains the two theoretical frameworks the JD-R model and technostress theory that structure the analysis in Theme 2.</w:t>
      </w:r>
    </w:p>
    <w:p w14:paraId="55FA5F06" w14:textId="6D159798" w:rsidR="00997FE4" w:rsidRDefault="00000000">
      <w:pPr>
        <w:pStyle w:val="Heading2"/>
        <w:spacing w:before="260" w:after="140"/>
      </w:pPr>
      <w:r>
        <w:rPr>
          <w:rFonts w:ascii="Calibri" w:eastAsia="Calibri" w:hAnsi="Calibri" w:cs="Calibri"/>
          <w:b/>
          <w:bCs/>
          <w:color w:val="1F4E79"/>
          <w:sz w:val="24"/>
          <w:szCs w:val="24"/>
        </w:rPr>
        <w:lastRenderedPageBreak/>
        <w:t>3.</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w:t>
      </w:r>
      <w:r w:rsidR="007F26DA">
        <w:rPr>
          <w:rFonts w:ascii="Calibri" w:eastAsia="Calibri" w:hAnsi="Calibri" w:cs="Calibri"/>
          <w:b/>
          <w:bCs/>
          <w:color w:val="1F4E79"/>
          <w:sz w:val="24"/>
          <w:szCs w:val="24"/>
        </w:rPr>
        <w:t>1</w:t>
      </w:r>
      <w:r>
        <w:rPr>
          <w:rFonts w:ascii="Calibri" w:eastAsia="Calibri" w:hAnsi="Calibri" w:cs="Calibri"/>
          <w:b/>
          <w:bCs/>
          <w:color w:val="1F4E79"/>
          <w:sz w:val="24"/>
          <w:szCs w:val="24"/>
        </w:rPr>
        <w:t xml:space="preserve">Defining and </w:t>
      </w:r>
      <w:proofErr w:type="gramStart"/>
      <w:r>
        <w:rPr>
          <w:rFonts w:ascii="Calibri" w:eastAsia="Calibri" w:hAnsi="Calibri" w:cs="Calibri"/>
          <w:b/>
          <w:bCs/>
          <w:color w:val="1F4E79"/>
          <w:sz w:val="24"/>
          <w:szCs w:val="24"/>
        </w:rPr>
        <w:t>Operationalising</w:t>
      </w:r>
      <w:proofErr w:type="gramEnd"/>
      <w:r>
        <w:rPr>
          <w:rFonts w:ascii="Calibri" w:eastAsia="Calibri" w:hAnsi="Calibri" w:cs="Calibri"/>
          <w:b/>
          <w:bCs/>
          <w:color w:val="1F4E79"/>
          <w:sz w:val="24"/>
          <w:szCs w:val="24"/>
        </w:rPr>
        <w:t xml:space="preserve"> 'AI Adoption'</w:t>
      </w:r>
    </w:p>
    <w:p w14:paraId="011C51C9" w14:textId="77777777" w:rsidR="00997FE4" w:rsidRDefault="00000000">
      <w:pPr>
        <w:spacing w:after="180" w:line="276" w:lineRule="auto"/>
        <w:jc w:val="both"/>
      </w:pPr>
      <w:r>
        <w:rPr>
          <w:rFonts w:ascii="Calibri" w:eastAsia="Calibri" w:hAnsi="Calibri" w:cs="Calibri"/>
          <w:sz w:val="22"/>
          <w:szCs w:val="22"/>
        </w:rPr>
        <w:t>Before turning to the two guiding theories, it is worth pausing on a definitional issue that runs through the entire literature synthesised in this chapter: the studies reviewed here do not all measure the same thing when they refer to 'AI adoption'. This lack of a single, agreed operationalisation is itself an important finding, and one that must be understood before the empirical evidence in Theme 2 can be properly interpreted. At one end of the spectrum, some studies measure AI adoption as an organisational-level fact: whether or not an employer has implemented AI-enabled systems in a given function, such as recruitment or scheduling (</w:t>
      </w:r>
      <w:proofErr w:type="spellStart"/>
      <w:r>
        <w:rPr>
          <w:rFonts w:ascii="Calibri" w:eastAsia="Calibri" w:hAnsi="Calibri" w:cs="Calibri"/>
          <w:sz w:val="22"/>
          <w:szCs w:val="22"/>
        </w:rPr>
        <w:t>Budhwar</w:t>
      </w:r>
      <w:proofErr w:type="spellEnd"/>
      <w:r>
        <w:rPr>
          <w:rFonts w:ascii="Calibri" w:eastAsia="Calibri" w:hAnsi="Calibri" w:cs="Calibri"/>
          <w:sz w:val="22"/>
          <w:szCs w:val="22"/>
        </w:rPr>
        <w:t xml:space="preserve"> et al., 2022; </w:t>
      </w:r>
      <w:proofErr w:type="spellStart"/>
      <w:r>
        <w:rPr>
          <w:rFonts w:ascii="Calibri" w:eastAsia="Calibri" w:hAnsi="Calibri" w:cs="Calibri"/>
          <w:sz w:val="22"/>
          <w:szCs w:val="22"/>
        </w:rPr>
        <w:t>Prikshat</w:t>
      </w:r>
      <w:proofErr w:type="spellEnd"/>
      <w:r>
        <w:rPr>
          <w:rFonts w:ascii="Calibri" w:eastAsia="Calibri" w:hAnsi="Calibri" w:cs="Calibri"/>
          <w:sz w:val="22"/>
          <w:szCs w:val="22"/>
        </w:rPr>
        <w:t xml:space="preserve"> et al., 2023). At the other end, several of the strongest recent studies measure AI adoption as an individual-level perception: Brougham and Haar's (2018) 'STARA awareness' construct, for instance, captures the extent to which an employee feels their own job could be replaced by smart technology, which is conceptually and empirically distinct from whether their employer has actually adopted such technology.</w:t>
      </w:r>
    </w:p>
    <w:p w14:paraId="367A2F03" w14:textId="36C40CC6" w:rsidR="00997FE4" w:rsidRDefault="00000000">
      <w:pPr>
        <w:spacing w:after="180" w:line="276" w:lineRule="auto"/>
        <w:jc w:val="both"/>
      </w:pPr>
      <w:r>
        <w:rPr>
          <w:rFonts w:ascii="Calibri" w:eastAsia="Calibri" w:hAnsi="Calibri" w:cs="Calibri"/>
          <w:sz w:val="22"/>
          <w:szCs w:val="22"/>
        </w:rPr>
        <w:t xml:space="preserve">A third operationalisation, used by Sha and Chai (2025) and Fu and Zhang (2026), treats AI adoption as a matter of degree or intensity how much AI application an employee experiences in their day-to-day </w:t>
      </w:r>
      <w:proofErr w:type="gramStart"/>
      <w:r>
        <w:rPr>
          <w:rFonts w:ascii="Calibri" w:eastAsia="Calibri" w:hAnsi="Calibri" w:cs="Calibri"/>
          <w:sz w:val="22"/>
          <w:szCs w:val="22"/>
        </w:rPr>
        <w:t>tasks  which</w:t>
      </w:r>
      <w:proofErr w:type="gramEnd"/>
      <w:r>
        <w:rPr>
          <w:rFonts w:ascii="Calibri" w:eastAsia="Calibri" w:hAnsi="Calibri" w:cs="Calibri"/>
          <w:sz w:val="22"/>
          <w:szCs w:val="22"/>
        </w:rPr>
        <w:t xml:space="preserve"> is what allows these studies to detect the curvilinear, threshold-based effects discussed in Sub-theme 3.2.1, effects that would be invisible to a simple adopted/not-adopted measure. A fourth and increasingly common approach, exemplified by Noy and Zhang (2023) and Jia et al. (2024), focuses specifically on generative AI tool use for a particular task, which is a narrower and more experimentally tractable construct than 'AI adoption' in general, but arguably less representative of the broader organisational change processes this dissertation is ultimately concerned with. This dissertation adopts a deliberately inclusive definition of AI adoption encompassing organisational implementation, individual perception, degree of exposure, and generative tool use</w:t>
      </w:r>
      <w:r w:rsidR="00E4496D">
        <w:rPr>
          <w:rFonts w:ascii="Calibri" w:eastAsia="Calibri" w:hAnsi="Calibri" w:cs="Calibri"/>
          <w:sz w:val="22"/>
          <w:szCs w:val="22"/>
        </w:rPr>
        <w:t xml:space="preserve"> </w:t>
      </w:r>
      <w:r>
        <w:rPr>
          <w:rFonts w:ascii="Calibri" w:eastAsia="Calibri" w:hAnsi="Calibri" w:cs="Calibri"/>
          <w:sz w:val="22"/>
          <w:szCs w:val="22"/>
        </w:rPr>
        <w:t>precisely because HR practitioners must manage all four of these dimensions simultaneously; however, readers should bear in mind throughout Theme 2 that a finding reported for one operationalisation of 'AI adoption' does not necessarily transfer cleanly to another.</w:t>
      </w:r>
    </w:p>
    <w:p w14:paraId="086A5944" w14:textId="03D5F4DA"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The Job Demands</w:t>
      </w:r>
      <w:r w:rsidR="00E4496D">
        <w:rPr>
          <w:rFonts w:ascii="Calibri" w:eastAsia="Calibri" w:hAnsi="Calibri" w:cs="Calibri"/>
          <w:b/>
          <w:bCs/>
          <w:color w:val="1F4E79"/>
          <w:sz w:val="24"/>
          <w:szCs w:val="24"/>
        </w:rPr>
        <w:t xml:space="preserve"> </w:t>
      </w:r>
      <w:r>
        <w:rPr>
          <w:rFonts w:ascii="Calibri" w:eastAsia="Calibri" w:hAnsi="Calibri" w:cs="Calibri"/>
          <w:b/>
          <w:bCs/>
          <w:color w:val="1F4E79"/>
          <w:sz w:val="24"/>
          <w:szCs w:val="24"/>
        </w:rPr>
        <w:t>Resources Model</w:t>
      </w:r>
    </w:p>
    <w:p w14:paraId="72EF361B" w14:textId="3AE2B001" w:rsidR="00997FE4" w:rsidRDefault="00000000">
      <w:pPr>
        <w:spacing w:after="180" w:line="276" w:lineRule="auto"/>
        <w:jc w:val="both"/>
      </w:pPr>
      <w:r>
        <w:rPr>
          <w:rFonts w:ascii="Calibri" w:eastAsia="Calibri" w:hAnsi="Calibri" w:cs="Calibri"/>
          <w:sz w:val="22"/>
          <w:szCs w:val="22"/>
        </w:rPr>
        <w:t>The job demands</w:t>
      </w:r>
      <w:r w:rsidR="00E4496D">
        <w:rPr>
          <w:rFonts w:ascii="Calibri" w:eastAsia="Calibri" w:hAnsi="Calibri" w:cs="Calibri"/>
          <w:sz w:val="22"/>
          <w:szCs w:val="22"/>
        </w:rPr>
        <w:t xml:space="preserve"> </w:t>
      </w:r>
      <w:r>
        <w:rPr>
          <w:rFonts w:ascii="Calibri" w:eastAsia="Calibri" w:hAnsi="Calibri" w:cs="Calibri"/>
          <w:sz w:val="22"/>
          <w:szCs w:val="22"/>
        </w:rPr>
        <w:t>resources (JD-R) model, first developed by Bakker and Demerouti (2007) and subsequently extended into a fuller theory (Bakker and Demerouti, 2017), is the primary theoretical lens adopted in this dissertation. The model's central proposition is deceptively simple: every occupation has its own specific risk factors associated with employee wellbeing, and these factors can be classified into two general categories job demands and job resources regardless of the specific occupation or industry involved. Job demands are defined as the physical, psychological, social, or organisational aspects of a job that require sustained physical or mental effort and are therefore associated with certain physiological and psychological costs (Bakker and Demerouti, 2007). Job resources, by contrast, are those aspects of a job that are functional in achieving work goals, reducing job demands and the associated costs, or stimulating personal growth and development (Bakker and Demerouti, 2007).</w:t>
      </w:r>
    </w:p>
    <w:p w14:paraId="5DFB90AF" w14:textId="77777777" w:rsidR="00997FE4" w:rsidRDefault="00000000">
      <w:pPr>
        <w:spacing w:after="180" w:line="276" w:lineRule="auto"/>
        <w:jc w:val="both"/>
      </w:pPr>
      <w:r>
        <w:rPr>
          <w:rFonts w:ascii="Calibri" w:eastAsia="Calibri" w:hAnsi="Calibri" w:cs="Calibri"/>
          <w:sz w:val="22"/>
          <w:szCs w:val="22"/>
        </w:rPr>
        <w:t xml:space="preserve">Two distinct psychological processes connect demands and resources to employee outcomes. The first is a health-impairment or strain process, whereby high job demands exhaust employees' mental and physical resources and can lead to energy depletion, burnout, and, over time, health problems. The second is a motivational process, whereby job resources foster work engagement, extrinsic motivation, and organisational commitment, either directly or by buffering the impact of job demands (Bakker and Demerouti, 2017). Critically for this review, the model does not treat demands and resources as fixed categories tied to particular technologies; rather, it is the balance between them, and the presence or absence of buffering resources, that determines whether a given job characteristic becomes harmful or manageable. This flexibility is precisely why the model translates well to the AI context: AI adoption is not </w:t>
      </w:r>
      <w:r>
        <w:rPr>
          <w:rFonts w:ascii="Calibri" w:eastAsia="Calibri" w:hAnsi="Calibri" w:cs="Calibri"/>
          <w:sz w:val="22"/>
          <w:szCs w:val="22"/>
        </w:rPr>
        <w:lastRenderedPageBreak/>
        <w:t>inherently a 'bad' job demand or a 'good' job resource, but can function as either depending on how it is implemented and what organisational resources accompany it.</w:t>
      </w:r>
    </w:p>
    <w:p w14:paraId="16EA728D" w14:textId="07E97EB8" w:rsidR="00997FE4" w:rsidRDefault="00000000">
      <w:pPr>
        <w:spacing w:after="180" w:line="276" w:lineRule="auto"/>
        <w:jc w:val="both"/>
      </w:pPr>
      <w:r>
        <w:rPr>
          <w:rFonts w:ascii="Calibri" w:eastAsia="Calibri" w:hAnsi="Calibri" w:cs="Calibri"/>
          <w:sz w:val="22"/>
          <w:szCs w:val="22"/>
        </w:rPr>
        <w:t xml:space="preserve">Figure 3 sets out how this dissertation adapts the JD-R model to the specific context of AI adoption. AI-related job </w:t>
      </w:r>
      <w:proofErr w:type="gramStart"/>
      <w:r>
        <w:rPr>
          <w:rFonts w:ascii="Calibri" w:eastAsia="Calibri" w:hAnsi="Calibri" w:cs="Calibri"/>
          <w:sz w:val="22"/>
          <w:szCs w:val="22"/>
        </w:rPr>
        <w:t>demands  job</w:t>
      </w:r>
      <w:proofErr w:type="gramEnd"/>
      <w:r>
        <w:rPr>
          <w:rFonts w:ascii="Calibri" w:eastAsia="Calibri" w:hAnsi="Calibri" w:cs="Calibri"/>
          <w:sz w:val="22"/>
          <w:szCs w:val="22"/>
        </w:rPr>
        <w:t xml:space="preserve"> insecurity, technostress, reskilling pressure, and algorithmic surveillance are positioned as inputs to a strain process that can erode psychological safety and wellbeing. HR and organisational job resources organisational support, transparent communication, ethical or transformational leadership, and co-skilling opportunities are positioned as inputs to a motivational process that can support engagement and wellbeing, while also buffering the strain pathway. This adapted model provides the organising logic for the empirical synthesis presented in Theme 2.</w:t>
      </w:r>
    </w:p>
    <w:p w14:paraId="3B39510E" w14:textId="77777777" w:rsidR="00997FE4" w:rsidRDefault="00000000">
      <w:pPr>
        <w:spacing w:before="200" w:after="120"/>
        <w:jc w:val="center"/>
      </w:pPr>
      <w:r>
        <w:rPr>
          <w:noProof/>
        </w:rPr>
        <w:drawing>
          <wp:inline distT="0" distB="0" distL="0" distR="0" wp14:anchorId="7BB70D69" wp14:editId="388A6A68">
            <wp:extent cx="4953000" cy="3228975"/>
            <wp:effectExtent l="0" t="0" r="0" b="0"/>
            <wp:docPr id="1480749334" name="Picture 1480749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953000" cy="3228975"/>
                    </a:xfrm>
                    <a:prstGeom prst="rect">
                      <a:avLst/>
                    </a:prstGeom>
                  </pic:spPr>
                </pic:pic>
              </a:graphicData>
            </a:graphic>
          </wp:inline>
        </w:drawing>
      </w:r>
    </w:p>
    <w:p w14:paraId="20E76B04" w14:textId="77777777" w:rsidR="00997FE4" w:rsidRDefault="00000000">
      <w:pPr>
        <w:spacing w:after="260"/>
        <w:jc w:val="center"/>
      </w:pPr>
      <w:r>
        <w:rPr>
          <w:rFonts w:ascii="Calibri" w:eastAsia="Calibri" w:hAnsi="Calibri" w:cs="Calibri"/>
          <w:i/>
          <w:iCs/>
          <w:color w:val="444444"/>
        </w:rPr>
        <w:t>Figure 3. The JD-R model adapted to the AI adoption context, showing the dual strain and motivational pathways and the buffering role of HR resources.</w:t>
      </w:r>
    </w:p>
    <w:p w14:paraId="690145A1" w14:textId="77777777" w:rsidR="00997FE4" w:rsidRDefault="00000000">
      <w:pPr>
        <w:spacing w:after="180" w:line="276" w:lineRule="auto"/>
        <w:jc w:val="both"/>
      </w:pPr>
      <w:r>
        <w:rPr>
          <w:rFonts w:ascii="Calibri" w:eastAsia="Calibri" w:hAnsi="Calibri" w:cs="Calibri"/>
          <w:sz w:val="22"/>
          <w:szCs w:val="22"/>
        </w:rPr>
        <w:t>The JD-R model is not without its critics, and a brief methodological note is warranted here given this dissertation's reliance on it as a primary framework. Because the model defines demands and resources functionally, rather than by a fixed list of job characteristics, it has occasionally been criticised as difficult to falsify: almost any job characteristic can, after the fact, be classified as a demand or a resource depending on the outcome it produces, which risks a degree of circularity. This dissertation mitigates this risk by pre-specifying, in Figure 3, exactly which AI-related characteristics are treated as demands and which HR-related characteristics are treated as resources, prior to reviewing the empirical evidence, rather than fitting the categories to the findings after the fact. A further limitation is that the original model was developed and validated primarily in stable, pre-digital occupational contexts (e.g. Demerouti et al., 2001, cited in Bakker and Demerouti, 2007); its extension to a fast-moving technology such as AI is therefore an application of the model's logic to a new context, not a direct replication of prior validation work, and the studies reviewed in Theme 2 should be read with this caveat in mind.</w:t>
      </w:r>
    </w:p>
    <w:p w14:paraId="70D90EC5" w14:textId="10A1BEB5"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w:t>
      </w:r>
      <w:r w:rsidR="007F26DA">
        <w:rPr>
          <w:rFonts w:ascii="Calibri" w:eastAsia="Calibri" w:hAnsi="Calibri" w:cs="Calibri"/>
          <w:b/>
          <w:bCs/>
          <w:color w:val="1F4E79"/>
          <w:sz w:val="24"/>
          <w:szCs w:val="24"/>
        </w:rPr>
        <w:t>3</w:t>
      </w:r>
      <w:r>
        <w:rPr>
          <w:rFonts w:ascii="Calibri" w:eastAsia="Calibri" w:hAnsi="Calibri" w:cs="Calibri"/>
          <w:b/>
          <w:bCs/>
          <w:color w:val="1F4E79"/>
          <w:sz w:val="24"/>
          <w:szCs w:val="24"/>
        </w:rPr>
        <w:t xml:space="preserve"> Technostress Theory</w:t>
      </w:r>
    </w:p>
    <w:p w14:paraId="5218A13D" w14:textId="062AE1AE" w:rsidR="00997FE4" w:rsidRDefault="00000000">
      <w:pPr>
        <w:spacing w:after="180" w:line="276" w:lineRule="auto"/>
        <w:jc w:val="both"/>
      </w:pPr>
      <w:r>
        <w:rPr>
          <w:rFonts w:ascii="Calibri" w:eastAsia="Calibri" w:hAnsi="Calibri" w:cs="Calibri"/>
          <w:sz w:val="22"/>
          <w:szCs w:val="22"/>
        </w:rPr>
        <w:t>A complementary and more technology</w:t>
      </w:r>
      <w:r w:rsidR="00D35733">
        <w:rPr>
          <w:rFonts w:ascii="Calibri" w:eastAsia="Calibri" w:hAnsi="Calibri" w:cs="Calibri"/>
          <w:sz w:val="22"/>
          <w:szCs w:val="22"/>
        </w:rPr>
        <w:t xml:space="preserve"> </w:t>
      </w:r>
      <w:r>
        <w:rPr>
          <w:rFonts w:ascii="Calibri" w:eastAsia="Calibri" w:hAnsi="Calibri" w:cs="Calibri"/>
          <w:sz w:val="22"/>
          <w:szCs w:val="22"/>
        </w:rPr>
        <w:t>specific framework is offered by technostress theory. Ragu-Nathan et al. (2008) conceptualised technostress as arising from five distinct 'technostress creators': techno-overload (being forced to work faster and longer because of technology), techno</w:t>
      </w:r>
      <w:r w:rsidR="00D35733">
        <w:rPr>
          <w:rFonts w:ascii="Calibri" w:eastAsia="Calibri" w:hAnsi="Calibri" w:cs="Calibri"/>
          <w:sz w:val="22"/>
          <w:szCs w:val="22"/>
        </w:rPr>
        <w:t xml:space="preserve"> </w:t>
      </w:r>
      <w:r>
        <w:rPr>
          <w:rFonts w:ascii="Calibri" w:eastAsia="Calibri" w:hAnsi="Calibri" w:cs="Calibri"/>
          <w:sz w:val="22"/>
          <w:szCs w:val="22"/>
        </w:rPr>
        <w:t xml:space="preserve">invasion (the blurring of boundaries </w:t>
      </w:r>
      <w:r>
        <w:rPr>
          <w:rFonts w:ascii="Calibri" w:eastAsia="Calibri" w:hAnsi="Calibri" w:cs="Calibri"/>
          <w:sz w:val="22"/>
          <w:szCs w:val="22"/>
        </w:rPr>
        <w:lastRenderedPageBreak/>
        <w:t>between work and personal life caused by 'always-on' technology), techno-complexity (feeling inadequate about one's technology skills), techno-insecurity (fear of losing one's job to automation or to colleagues with better technology skills), and techno-uncertainty (unease caused by continuous technological change). Of these five, techno-insecurity is the most directly relevant to this dissertation's focus on job security, and Ragu-Nathan et al. (2008) empirically validated that technostress creators reduce job satisfaction and organisational commitment. Where the JD-R model provides a general theory of how any job characteristic affects wellbeing, technostress theory sharpens the analysis by identifying the specific mechanisms through which a particular technology</w:t>
      </w:r>
      <w:r w:rsidR="00D35733">
        <w:rPr>
          <w:rFonts w:ascii="Calibri" w:eastAsia="Calibri" w:hAnsi="Calibri" w:cs="Calibri"/>
          <w:sz w:val="22"/>
          <w:szCs w:val="22"/>
        </w:rPr>
        <w:t xml:space="preserve"> </w:t>
      </w:r>
      <w:r>
        <w:rPr>
          <w:rFonts w:ascii="Calibri" w:eastAsia="Calibri" w:hAnsi="Calibri" w:cs="Calibri"/>
          <w:sz w:val="22"/>
          <w:szCs w:val="22"/>
        </w:rPr>
        <w:t>in this case, AI is likely to generate strain. This review therefore treats technostress, and techno-insecurity specifically, as a more fine-grained instance of the broader 'AI-related job demands' category shown in Figure 3.</w:t>
      </w:r>
    </w:p>
    <w:p w14:paraId="15EE7CCD" w14:textId="77777777" w:rsidR="00997FE4" w:rsidRDefault="00000000">
      <w:pPr>
        <w:spacing w:after="180" w:line="276" w:lineRule="auto"/>
        <w:jc w:val="both"/>
      </w:pPr>
      <w:r>
        <w:rPr>
          <w:rFonts w:ascii="Calibri" w:eastAsia="Calibri" w:hAnsi="Calibri" w:cs="Calibri"/>
          <w:sz w:val="22"/>
          <w:szCs w:val="22"/>
        </w:rPr>
        <w:t>Methodologically, Ragu-Nathan et al.'s (2008) technostress creators are typically measured through validated multi-item survey scales rather than single questions, which has allowed the construct to travel well across subsequent studies and cultural contexts; this measurement robustness is one reason technostress theory, alongside the JD-R model, was selected as a guiding framework for this review rather than a narrower, single-study concept. At the same time, the original technostress scale was developed in a pre-generative-AI era, focused primarily on general information-system use rather than autonomous, decision-making AI specifically; Sub-theme 3.3.2 returns to the question of whether generative AI requires an updated conceptualisation of techno-insecurity given its distinctive properties.</w:t>
      </w:r>
    </w:p>
    <w:p w14:paraId="79367D91" w14:textId="24202EFD"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 xml:space="preserve"> Defining Job Insecurity</w:t>
      </w:r>
    </w:p>
    <w:p w14:paraId="3A7C0D40" w14:textId="263EDF0E" w:rsidR="00997FE4" w:rsidRDefault="00000000">
      <w:pPr>
        <w:spacing w:after="180" w:line="276" w:lineRule="auto"/>
        <w:jc w:val="both"/>
      </w:pPr>
      <w:r>
        <w:rPr>
          <w:rFonts w:ascii="Calibri" w:eastAsia="Calibri" w:hAnsi="Calibri" w:cs="Calibri"/>
          <w:sz w:val="22"/>
          <w:szCs w:val="22"/>
        </w:rPr>
        <w:t xml:space="preserve">Job insecurity is defined in the classic literature as 'the perceived threat of job loss and the worries related to that threat' (Sverke, Hellgren and </w:t>
      </w:r>
      <w:proofErr w:type="spellStart"/>
      <w:r>
        <w:rPr>
          <w:rFonts w:ascii="Calibri" w:eastAsia="Calibri" w:hAnsi="Calibri" w:cs="Calibri"/>
          <w:sz w:val="22"/>
          <w:szCs w:val="22"/>
        </w:rPr>
        <w:t>Näswall</w:t>
      </w:r>
      <w:proofErr w:type="spellEnd"/>
      <w:r>
        <w:rPr>
          <w:rFonts w:ascii="Calibri" w:eastAsia="Calibri" w:hAnsi="Calibri" w:cs="Calibri"/>
          <w:sz w:val="22"/>
          <w:szCs w:val="22"/>
        </w:rPr>
        <w:t xml:space="preserve">, 2002), a definition that deliberately centres subjective perception rather than objective probability of job loss. This distinction matters for the AI context: an employee's sense of job insecurity in relation to AI is shaped not only by the actual likelihood that their tasks will be automated, but by their awareness of AI's capabilities, their trust in their employer's intentions, and the clarity of communication they receive about AI's planned role. Sverke, Hellgren and </w:t>
      </w:r>
      <w:proofErr w:type="spellStart"/>
      <w:r>
        <w:rPr>
          <w:rFonts w:ascii="Calibri" w:eastAsia="Calibri" w:hAnsi="Calibri" w:cs="Calibri"/>
          <w:sz w:val="22"/>
          <w:szCs w:val="22"/>
        </w:rPr>
        <w:t>Näswall's</w:t>
      </w:r>
      <w:proofErr w:type="spellEnd"/>
      <w:r>
        <w:rPr>
          <w:rFonts w:ascii="Calibri" w:eastAsia="Calibri" w:hAnsi="Calibri" w:cs="Calibri"/>
          <w:sz w:val="22"/>
          <w:szCs w:val="22"/>
        </w:rPr>
        <w:t xml:space="preserve"> (2002) meta-analytic review established that job insecurity has consistently negative associations with job satisfaction, organisational commitment, and both physical and mental health, findings that a later meta-analysis (Sverke et al., 2019) confirmed extend to employee performance outcomes, including task performance, creativity, and counterproductive work behaviour. Applied to AI, this body of work suggests that even the perception of AI-driven threat independent of whether displacement actually materialises is sufficient to generate the negative outcomes this dissertation is concerned with.</w:t>
      </w:r>
    </w:p>
    <w:p w14:paraId="4415278B" w14:textId="77777777" w:rsidR="00997FE4" w:rsidRDefault="00000000">
      <w:pPr>
        <w:spacing w:after="180" w:line="276" w:lineRule="auto"/>
        <w:jc w:val="both"/>
      </w:pPr>
      <w:r>
        <w:rPr>
          <w:rFonts w:ascii="Calibri" w:eastAsia="Calibri" w:hAnsi="Calibri" w:cs="Calibri"/>
          <w:sz w:val="22"/>
          <w:szCs w:val="22"/>
        </w:rPr>
        <w:t>Brougham and Haar (2018) operationalised this insight directly for the technology context, developing a specific 'STARA awareness' measure (Smart Technology, Artificial Intelligence, Robotics, and Algorithms) that captures the extent to which employees feel their job could be replaced by these technologies. In their mixed-methods study of 120 employees, greater STARA awareness was significantly associated with lower organisational commitment and career satisfaction, and higher turnover intentions, cynicism, and depression. Notably, the study also found that older employees did not perceive STARA technologies as more threatening than younger employees, complicating any simple assumption that older workers are automatically more anxious about automation.</w:t>
      </w:r>
    </w:p>
    <w:p w14:paraId="7A9ACA6C" w14:textId="77777777" w:rsidR="00997FE4" w:rsidRDefault="00000000">
      <w:pPr>
        <w:spacing w:after="180" w:line="276" w:lineRule="auto"/>
        <w:jc w:val="both"/>
      </w:pPr>
      <w:r>
        <w:rPr>
          <w:rFonts w:ascii="Calibri" w:eastAsia="Calibri" w:hAnsi="Calibri" w:cs="Calibri"/>
          <w:sz w:val="22"/>
          <w:szCs w:val="22"/>
        </w:rPr>
        <w:t xml:space="preserve">A further conceptual distinction, developed within this same literature, separates cognitive job insecurity (a rational assessment of the probability of job loss) from affective job insecurity (the fear and worry that accompanies that assessment) (Sverke, Hellgren and </w:t>
      </w:r>
      <w:proofErr w:type="spellStart"/>
      <w:r>
        <w:rPr>
          <w:rFonts w:ascii="Calibri" w:eastAsia="Calibri" w:hAnsi="Calibri" w:cs="Calibri"/>
          <w:sz w:val="22"/>
          <w:szCs w:val="22"/>
        </w:rPr>
        <w:t>Näswall</w:t>
      </w:r>
      <w:proofErr w:type="spellEnd"/>
      <w:r>
        <w:rPr>
          <w:rFonts w:ascii="Calibri" w:eastAsia="Calibri" w:hAnsi="Calibri" w:cs="Calibri"/>
          <w:sz w:val="22"/>
          <w:szCs w:val="22"/>
        </w:rPr>
        <w:t xml:space="preserve">, 2002). This distinction matters directly for the AI context: an employee may hold an accurate cognitive assessment that their specific tasks are unlikely to be automated in the near term, while nonetheless experiencing significant affective insecurity driven by </w:t>
      </w:r>
      <w:r>
        <w:rPr>
          <w:rFonts w:ascii="Calibri" w:eastAsia="Calibri" w:hAnsi="Calibri" w:cs="Calibri"/>
          <w:sz w:val="22"/>
          <w:szCs w:val="22"/>
        </w:rPr>
        <w:lastRenderedPageBreak/>
        <w:t>ambient media coverage, organisational rumour, or general unease about a fast-changing technology whose trajectory is difficult for a non-specialist to evaluate. Several of the studies synthesised in Theme 2 (notably Brougham and Haar, 2018, and Fu and Zhang, 2026) effectively capture the affective dimension through their survey items, while studies such as Frey and Osborne (2017) speak more directly to the cognitive, probability-based dimension; this dissertation treats both dimensions as relevant to HR practice, since a communication strategy that successfully addresses cognitive insecurity (e.g. by clarifying which tasks will not be automated) will not necessarily resolve affective insecurity, and vice versa, a point developed further in Chapter 5.</w:t>
      </w:r>
    </w:p>
    <w:p w14:paraId="1F5483A7" w14:textId="32A09E20"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w:t>
      </w:r>
      <w:r w:rsidR="007F26DA">
        <w:rPr>
          <w:rFonts w:ascii="Calibri" w:eastAsia="Calibri" w:hAnsi="Calibri" w:cs="Calibri"/>
          <w:b/>
          <w:bCs/>
          <w:color w:val="1F4E79"/>
          <w:sz w:val="24"/>
          <w:szCs w:val="24"/>
        </w:rPr>
        <w:t>5</w:t>
      </w:r>
      <w:r>
        <w:rPr>
          <w:rFonts w:ascii="Calibri" w:eastAsia="Calibri" w:hAnsi="Calibri" w:cs="Calibri"/>
          <w:b/>
          <w:bCs/>
          <w:color w:val="1F4E79"/>
          <w:sz w:val="24"/>
          <w:szCs w:val="24"/>
        </w:rPr>
        <w:t xml:space="preserve"> Defining Employee Wellbeing</w:t>
      </w:r>
    </w:p>
    <w:p w14:paraId="084B5F3C" w14:textId="77777777" w:rsidR="00997FE4" w:rsidRDefault="00000000">
      <w:pPr>
        <w:spacing w:after="180" w:line="276" w:lineRule="auto"/>
        <w:jc w:val="both"/>
      </w:pPr>
      <w:r>
        <w:rPr>
          <w:rFonts w:ascii="Calibri" w:eastAsia="Calibri" w:hAnsi="Calibri" w:cs="Calibri"/>
          <w:sz w:val="22"/>
          <w:szCs w:val="22"/>
        </w:rPr>
        <w:t xml:space="preserve">Employee wellbeing is treated in this review as a multidimensional construct, encompassing both hedonic elements (affective wellbeing, such as mood and job satisfaction) and eudaimonic elements (psychological wellbeing, such as a sense of purpose, autonomy, and growth), consistent with the five interlinking dimensions of job-related wellbeing identified by Van Horn et al. (2004) and used as an organising framework in </w:t>
      </w:r>
      <w:proofErr w:type="spellStart"/>
      <w:r>
        <w:rPr>
          <w:rFonts w:ascii="Calibri" w:eastAsia="Calibri" w:hAnsi="Calibri" w:cs="Calibri"/>
          <w:sz w:val="22"/>
          <w:szCs w:val="22"/>
        </w:rPr>
        <w:t>Cramarenco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Burcă</w:t>
      </w:r>
      <w:proofErr w:type="spellEnd"/>
      <w:r>
        <w:rPr>
          <w:rFonts w:ascii="Calibri" w:eastAsia="Calibri" w:hAnsi="Calibri" w:cs="Calibri"/>
          <w:sz w:val="22"/>
          <w:szCs w:val="22"/>
        </w:rPr>
        <w:t>-Voicu and Dabija's (2023) systematic review of AI's impact on employees' skills and wellbeing. Within the JD-R model, wellbeing is the downstream outcome of both the strain and motivational processes described in Section 3.1.1: it can be eroded by unmanaged job demands or supported by adequate job resources. This review is specifically interested in the psychological and emotional dimensions of wellbeing (e.g. psychological safety, anxiety, depression, engagement) rather than physical health outcomes, reflecting the emphasis of the underlying empirical literature synthesised in Theme 2.</w:t>
      </w:r>
    </w:p>
    <w:p w14:paraId="4E9131CD" w14:textId="75CA6D79" w:rsidR="00997FE4" w:rsidRDefault="00000000">
      <w:pPr>
        <w:spacing w:after="180" w:line="276" w:lineRule="auto"/>
        <w:jc w:val="both"/>
      </w:pPr>
      <w:r>
        <w:rPr>
          <w:rFonts w:ascii="Calibri" w:eastAsia="Calibri" w:hAnsi="Calibri" w:cs="Calibri"/>
          <w:sz w:val="22"/>
          <w:szCs w:val="22"/>
        </w:rPr>
        <w:t>This hedonic/eudaimonic distinction also helps explain some apparently contradictory findings that recur across Theme 2. A study finding that AI adoption increases job satisfaction (a largely hedonic indicator) is not necessarily inconsistent with a study finding that the same technology increases anxiety about the future (a eudaimonic or security-related indicator); both can be true simultaneously, as Noy and Zhang's (2023) finding of increased satisfaction alongside increased concern about automation directly illustrates. Rather than treating such findings as contradictory evidence to be resolved, this review treats them as evidence that 'employee wellbeing' is not a single outcome that AI adoption straightforwardly increases or decreases, but a bundle of related-but-distinct outcomes that can move in different directions at once a nuance that is easy to lose if wellbeing is treated as a single undifferentiated variable, and one this dissertation returns to explicitly when synthesising the emerging debates in Theme 3.</w:t>
      </w:r>
    </w:p>
    <w:p w14:paraId="3330575F" w14:textId="452F5842"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3</w:t>
      </w:r>
      <w:r>
        <w:rPr>
          <w:rFonts w:ascii="Calibri" w:eastAsia="Calibri" w:hAnsi="Calibri" w:cs="Calibri"/>
          <w:b/>
          <w:bCs/>
          <w:color w:val="1F4E79"/>
          <w:sz w:val="24"/>
          <w:szCs w:val="24"/>
        </w:rPr>
        <w:t xml:space="preserve"> Theme 2: Empirical Findings</w:t>
      </w:r>
    </w:p>
    <w:p w14:paraId="60949F71" w14:textId="77777777" w:rsidR="00997FE4" w:rsidRDefault="00000000">
      <w:pPr>
        <w:spacing w:after="180" w:line="276" w:lineRule="auto"/>
        <w:jc w:val="both"/>
      </w:pPr>
      <w:r>
        <w:rPr>
          <w:rFonts w:ascii="Calibri" w:eastAsia="Calibri" w:hAnsi="Calibri" w:cs="Calibri"/>
          <w:sz w:val="22"/>
          <w:szCs w:val="22"/>
        </w:rPr>
        <w:t>This theme synthesises the empirical evidence gathered through the systematic search, organised into three interconnected sub-themes: AI adoption and job insecurity; AI adoption and employee wellbeing; and the role of HR practices and leadership in shaping both outcomes.</w:t>
      </w:r>
    </w:p>
    <w:p w14:paraId="40B59A47" w14:textId="40FFC055"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3</w:t>
      </w:r>
      <w:r>
        <w:rPr>
          <w:rFonts w:ascii="Calibri" w:eastAsia="Calibri" w:hAnsi="Calibri" w:cs="Calibri"/>
          <w:b/>
          <w:bCs/>
          <w:color w:val="1F4E79"/>
          <w:sz w:val="24"/>
          <w:szCs w:val="24"/>
        </w:rPr>
        <w:t>.1 AI Adoption and Job Insecurity</w:t>
      </w:r>
    </w:p>
    <w:p w14:paraId="11EC62AC" w14:textId="77777777" w:rsidR="00997FE4" w:rsidRDefault="00000000">
      <w:pPr>
        <w:spacing w:after="180" w:line="276" w:lineRule="auto"/>
        <w:jc w:val="both"/>
      </w:pPr>
      <w:r>
        <w:rPr>
          <w:rFonts w:ascii="Calibri" w:eastAsia="Calibri" w:hAnsi="Calibri" w:cs="Calibri"/>
          <w:sz w:val="22"/>
          <w:szCs w:val="22"/>
        </w:rPr>
        <w:t xml:space="preserve">A substantial and rapidly growing body of empirical research links AI adoption to heightened job insecurity, though the relationship is more nuanced than a simple linear association. At the broadest level, Frey and Osborne's (2017) influential analysis of the susceptibility of 702 occupations to computerisation estimated that around 47% of US employment was in occupations at high risk of automation within a decade or two, a finding frequently cited as establishing the scale of the underlying threat that shapes employee perceptions, even though the study itself measured technical susceptibility rather than employees' subjective experience. A systematic bibliometric review of the AI-employee wellbeing literature found that AI adoption has a distinctly dual character: it can enhance efficiency and engagement in some contexts while simultaneously </w:t>
      </w:r>
      <w:r>
        <w:rPr>
          <w:rFonts w:ascii="Calibri" w:eastAsia="Calibri" w:hAnsi="Calibri" w:cs="Calibri"/>
          <w:sz w:val="22"/>
          <w:szCs w:val="22"/>
        </w:rPr>
        <w:lastRenderedPageBreak/>
        <w:t>increasing job stress and insecurity in others, particularly where roles involve routine or easily codified tasks (</w:t>
      </w:r>
      <w:proofErr w:type="spellStart"/>
      <w:r>
        <w:rPr>
          <w:rFonts w:ascii="Calibri" w:eastAsia="Calibri" w:hAnsi="Calibri" w:cs="Calibri"/>
          <w:sz w:val="22"/>
          <w:szCs w:val="22"/>
        </w:rPr>
        <w:t>Soulami</w:t>
      </w:r>
      <w:proofErr w:type="spellEnd"/>
      <w:r>
        <w:rPr>
          <w:rFonts w:ascii="Calibri" w:eastAsia="Calibri" w:hAnsi="Calibri" w:cs="Calibri"/>
          <w:sz w:val="22"/>
          <w:szCs w:val="22"/>
        </w:rPr>
        <w:t xml:space="preserve">, Benchekroun and </w:t>
      </w:r>
      <w:proofErr w:type="spellStart"/>
      <w:r>
        <w:rPr>
          <w:rFonts w:ascii="Calibri" w:eastAsia="Calibri" w:hAnsi="Calibri" w:cs="Calibri"/>
          <w:sz w:val="22"/>
          <w:szCs w:val="22"/>
        </w:rPr>
        <w:t>Galiulina</w:t>
      </w:r>
      <w:proofErr w:type="spellEnd"/>
      <w:r>
        <w:rPr>
          <w:rFonts w:ascii="Calibri" w:eastAsia="Calibri" w:hAnsi="Calibri" w:cs="Calibri"/>
          <w:sz w:val="22"/>
          <w:szCs w:val="22"/>
        </w:rPr>
        <w:t>, 2024).</w:t>
      </w:r>
    </w:p>
    <w:p w14:paraId="349221E6" w14:textId="77777777" w:rsidR="00997FE4" w:rsidRDefault="00000000">
      <w:pPr>
        <w:spacing w:after="180" w:line="276" w:lineRule="auto"/>
        <w:jc w:val="both"/>
      </w:pPr>
      <w:r>
        <w:rPr>
          <w:rFonts w:ascii="Calibri" w:eastAsia="Calibri" w:hAnsi="Calibri" w:cs="Calibri"/>
          <w:sz w:val="22"/>
          <w:szCs w:val="22"/>
        </w:rPr>
        <w:t>More recent primary studies have begun to unpack the boundary conditions of this relationship. Sha and Chai's (2025) two-wave survey of 370 employees found that digital-AI transformation positively predicted job crafting behaviour, with job insecurity acting as a partial mediator of this relationship; critically, employees' own AI knowledge moderated both the direct effect and the mediating pathway, such that better-informed employees were less likely to respond to AI transformation with insecurity-driven job crafting. In a related study, Fu and Zhang (2026) found a significant curvilinear (U-shaped) relationship between the intensity of AI application and employees' job insecurity: moderate AI application appeared to reduce insecurity (plausibly by demonstrating AI's assistive rather than substitutive role), while excessive application increased it, and both employees' self-efficacy and transformational leadership significantly buffered this effect. This curvilinear finding is important because it complicates a simple 'more AI equals more insecurity' narrative and instead suggests a threshold effect, with clear implications for how organisations pace AI rollout.</w:t>
      </w:r>
    </w:p>
    <w:p w14:paraId="652B3DFC" w14:textId="77777777" w:rsidR="00997FE4" w:rsidRDefault="00000000">
      <w:pPr>
        <w:spacing w:after="180" w:line="276" w:lineRule="auto"/>
        <w:jc w:val="both"/>
      </w:pPr>
      <w:r>
        <w:rPr>
          <w:rFonts w:ascii="Calibri" w:eastAsia="Calibri" w:hAnsi="Calibri" w:cs="Calibri"/>
          <w:sz w:val="22"/>
          <w:szCs w:val="22"/>
        </w:rPr>
        <w:t xml:space="preserve">Sectoral and occupational differences also emerge clearly across the literature. In gig and platform work, where algorithmic management is often most intensive, Wood, Graham and </w:t>
      </w:r>
      <w:proofErr w:type="spellStart"/>
      <w:r>
        <w:rPr>
          <w:rFonts w:ascii="Calibri" w:eastAsia="Calibri" w:hAnsi="Calibri" w:cs="Calibri"/>
          <w:sz w:val="22"/>
          <w:szCs w:val="22"/>
        </w:rPr>
        <w:t>Lehdonvirta's</w:t>
      </w:r>
      <w:proofErr w:type="spellEnd"/>
      <w:r>
        <w:rPr>
          <w:rFonts w:ascii="Calibri" w:eastAsia="Calibri" w:hAnsi="Calibri" w:cs="Calibri"/>
          <w:sz w:val="22"/>
          <w:szCs w:val="22"/>
        </w:rPr>
        <w:t xml:space="preserve"> (2018) influential study of platform workers found that algorithmic control was associated with reduced autonomy and heightened precarity, even where workers technically retained formal independence, illustrating how algorithmic management can produce insecurity through mechanisms (opaque rating systems, deactivation risk) distinct from conventional redundancy fears. In more conventional, professionalised occupations, by contrast, Brougham and Haar's (2018) mixed-methods findings suggest a different picture again: their qualitative data revealed that many employees framed STARA technologies as a longer-term, generalised threat to the labour market rather than an immediate threat to their own specific role, indicating that job insecurity in response to AI can operate at both a personal and a more diffuse, societal level simultaneously, with potentially different implications for how HR communication should be pitched.</w:t>
      </w:r>
    </w:p>
    <w:p w14:paraId="46F5C6AF" w14:textId="77777777" w:rsidR="00997FE4" w:rsidRDefault="00000000">
      <w:pPr>
        <w:spacing w:after="180" w:line="276" w:lineRule="auto"/>
        <w:jc w:val="both"/>
      </w:pPr>
      <w:r>
        <w:rPr>
          <w:rFonts w:ascii="Calibri" w:eastAsia="Calibri" w:hAnsi="Calibri" w:cs="Calibri"/>
          <w:sz w:val="22"/>
          <w:szCs w:val="22"/>
        </w:rPr>
        <w:t>Overall, the accumulated evidence in this sub-theme supports three conclusions: first, that AI-related job insecurity is real and empirically well-documented across contexts, occupations, and countries; second, that its intensity depends heavily on how AI is deployed, communicated, and paced, not merely on its presence; and third, that individual and organisational moderators (self-efficacy, leadership, AI knowledge) can meaningfully alter the strength of the relationship, a finding that directly motivates Sub-theme 3.2.3 below.</w:t>
      </w:r>
    </w:p>
    <w:p w14:paraId="5DD4151E" w14:textId="77777777" w:rsidR="00997FE4" w:rsidRDefault="00000000">
      <w:pPr>
        <w:spacing w:after="180" w:line="276" w:lineRule="auto"/>
        <w:jc w:val="both"/>
      </w:pPr>
      <w:r>
        <w:rPr>
          <w:rFonts w:ascii="Calibri" w:eastAsia="Calibri" w:hAnsi="Calibri" w:cs="Calibri"/>
          <w:sz w:val="22"/>
          <w:szCs w:val="22"/>
        </w:rPr>
        <w:t xml:space="preserve">Methodologically, this sub-theme's evidence base is mixed in strength. Frey and Osborne's (2017) susceptibility estimates, while widely cited, are derived from expert judgement of occupational task content rather than from employees' own reports, meaning the study establishes technical vulnerability rather than lived insecurity; the more recent survey-based studies (Sha and Chai, 2025; Fu and Zhang, 2026) address this gap directly by measuring employees' subjective insecurity, but rely on cross-sectional or two-wave designs that limit the strength of causal claims that can be drawn, an issue returned to in Theme 4. Wood, Graham and </w:t>
      </w:r>
      <w:proofErr w:type="spellStart"/>
      <w:r>
        <w:rPr>
          <w:rFonts w:ascii="Calibri" w:eastAsia="Calibri" w:hAnsi="Calibri" w:cs="Calibri"/>
          <w:sz w:val="22"/>
          <w:szCs w:val="22"/>
        </w:rPr>
        <w:t>Lehdonvirta's</w:t>
      </w:r>
      <w:proofErr w:type="spellEnd"/>
      <w:r>
        <w:rPr>
          <w:rFonts w:ascii="Calibri" w:eastAsia="Calibri" w:hAnsi="Calibri" w:cs="Calibri"/>
          <w:sz w:val="22"/>
          <w:szCs w:val="22"/>
        </w:rPr>
        <w:t xml:space="preserve"> (2018) qualitative and mixed-methods approach, by contrast, sacrifices some generalisability for richer contextual detail about how algorithmic control is actually experienced day to day, illustrating a recurring trade-off across this literature between breadth (large-sample surveys) and depth (qualitative, context-rich studies).</w:t>
      </w:r>
    </w:p>
    <w:p w14:paraId="2C3B0F2B" w14:textId="7606A7EB" w:rsidR="00997FE4" w:rsidRDefault="00000000">
      <w:pPr>
        <w:spacing w:after="180" w:line="276" w:lineRule="auto"/>
        <w:jc w:val="both"/>
      </w:pPr>
      <w:r>
        <w:rPr>
          <w:rFonts w:ascii="Calibri" w:eastAsia="Calibri" w:hAnsi="Calibri" w:cs="Calibri"/>
          <w:sz w:val="22"/>
          <w:szCs w:val="22"/>
        </w:rPr>
        <w:t xml:space="preserve">Returning to RQ what the literature indicates about how AI adoption influences employees' perceptions of job security the evidence synthesised in this sub-theme supports a qualified answer. AI adoption is consistently associated with elevated job insecurity across the studies reviewed, but the relationship is neither uniform nor linear: it depends on the specific operationalisation of AI adoption used (Sub-theme </w:t>
      </w:r>
      <w:r>
        <w:rPr>
          <w:rFonts w:ascii="Calibri" w:eastAsia="Calibri" w:hAnsi="Calibri" w:cs="Calibri"/>
          <w:sz w:val="22"/>
          <w:szCs w:val="22"/>
        </w:rPr>
        <w:lastRenderedPageBreak/>
        <w:t xml:space="preserve">3.1.0), the sector and task type involved (Wood, Graham and </w:t>
      </w:r>
      <w:proofErr w:type="spellStart"/>
      <w:r>
        <w:rPr>
          <w:rFonts w:ascii="Calibri" w:eastAsia="Calibri" w:hAnsi="Calibri" w:cs="Calibri"/>
          <w:sz w:val="22"/>
          <w:szCs w:val="22"/>
        </w:rPr>
        <w:t>Lehdonvirta</w:t>
      </w:r>
      <w:proofErr w:type="spellEnd"/>
      <w:r>
        <w:rPr>
          <w:rFonts w:ascii="Calibri" w:eastAsia="Calibri" w:hAnsi="Calibri" w:cs="Calibri"/>
          <w:sz w:val="22"/>
          <w:szCs w:val="22"/>
        </w:rPr>
        <w:t>, 2018, versus Bibi, Tan and Yao, 2025), and, per Fu and Zhang (2026), the intensity of AI application itself, which suggests a threshold beyond which further AI application becomes counterproductive even from a purely change-management perspective. This qualified answer to RQ sets up the wellbeing-focused evidence considered next.</w:t>
      </w:r>
    </w:p>
    <w:p w14:paraId="70C1B458" w14:textId="5612675F"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3</w:t>
      </w:r>
      <w:r>
        <w:rPr>
          <w:rFonts w:ascii="Calibri" w:eastAsia="Calibri" w:hAnsi="Calibri" w:cs="Calibri"/>
          <w:b/>
          <w:bCs/>
          <w:color w:val="1F4E79"/>
          <w:sz w:val="24"/>
          <w:szCs w:val="24"/>
        </w:rPr>
        <w:t>.2 AI Adoption and Employee Wellbeing</w:t>
      </w:r>
    </w:p>
    <w:p w14:paraId="523077FF" w14:textId="7AD89B65" w:rsidR="00997FE4" w:rsidRDefault="00000000">
      <w:pPr>
        <w:spacing w:after="180" w:line="276" w:lineRule="auto"/>
        <w:jc w:val="both"/>
      </w:pPr>
      <w:r>
        <w:rPr>
          <w:rFonts w:ascii="Calibri" w:eastAsia="Calibri" w:hAnsi="Calibri" w:cs="Calibri"/>
          <w:sz w:val="22"/>
          <w:szCs w:val="22"/>
        </w:rPr>
        <w:t xml:space="preserve">A second cluster of studies moves beyond job insecurity specifically to examine AI's broader effects on psychological wellbeing. The strongest causal evidence in this cluster comes from Kim, Kim and Lee's (2025) </w:t>
      </w:r>
      <w:proofErr w:type="spellStart"/>
      <w:r>
        <w:rPr>
          <w:rFonts w:ascii="Calibri" w:eastAsia="Calibri" w:hAnsi="Calibri" w:cs="Calibri"/>
          <w:sz w:val="22"/>
          <w:szCs w:val="22"/>
        </w:rPr>
        <w:t>threewave</w:t>
      </w:r>
      <w:proofErr w:type="spellEnd"/>
      <w:r>
        <w:rPr>
          <w:rFonts w:ascii="Calibri" w:eastAsia="Calibri" w:hAnsi="Calibri" w:cs="Calibri"/>
          <w:sz w:val="22"/>
          <w:szCs w:val="22"/>
        </w:rPr>
        <w:t>, time-lagged study of 381 employees in South Korean organisations, which found that organisational AI adoption had a significant negative effect on employees' psychological safety, which in turn predicted increased depressive symptoms; importantly, ethical leadership significantly moderated this pathway, reducing the negative effect. This finding is echoed, with an important qualification, by Bibi, Tan and Yao's (2025) PLS-SEM study of 490 doctors, which found that AI capabilities positively affected employee wellbeing via a mechanism the authors term 'cybernetic thinking', but that high organisational ambidexterity (a strong exploration-exploitation balance) could unexpectedly weaken this positive effect, suggesting that even ostensibly positive organisational conditions do not guarantee straightforwardly positive wellbeing outcomes from AI adoption.</w:t>
      </w:r>
    </w:p>
    <w:p w14:paraId="28785E5C" w14:textId="6FA66F3F" w:rsidR="00997FE4" w:rsidRDefault="00000000">
      <w:pPr>
        <w:spacing w:after="180" w:line="276" w:lineRule="auto"/>
        <w:jc w:val="both"/>
      </w:pPr>
      <w:r>
        <w:rPr>
          <w:rFonts w:ascii="Calibri" w:eastAsia="Calibri" w:hAnsi="Calibri" w:cs="Calibri"/>
          <w:sz w:val="22"/>
          <w:szCs w:val="22"/>
        </w:rPr>
        <w:t xml:space="preserve">Wellbeing effects are not confined to AI narrowly defined; the wider literature on workplace digitisation reaches similar conclusions. Han et al.'s (2025) survey-based study, grounded explicitly in the JD-R model, found that workplace digitisation affects wellbeing through two competing pathways a loss pathway operating via job demands and digital anxiety, and a gain pathway operating via other mechanisms with the net effect depending on how well digital anxiety is managed. In a related but distinct occupational group, </w:t>
      </w:r>
      <w:proofErr w:type="spellStart"/>
      <w:r>
        <w:rPr>
          <w:rFonts w:ascii="Calibri" w:eastAsia="Calibri" w:hAnsi="Calibri" w:cs="Calibri"/>
          <w:sz w:val="22"/>
          <w:szCs w:val="22"/>
        </w:rPr>
        <w:t>Zeike</w:t>
      </w:r>
      <w:proofErr w:type="spellEnd"/>
      <w:r>
        <w:rPr>
          <w:rFonts w:ascii="Calibri" w:eastAsia="Calibri" w:hAnsi="Calibri" w:cs="Calibri"/>
          <w:sz w:val="22"/>
          <w:szCs w:val="22"/>
        </w:rPr>
        <w:t xml:space="preserve"> et al.'s (2019) study of 368 upper-level managers in a German ICT company found that perceived choice overload, rather than digitalisation pressure itself, was significantly associated with lower psychological wellbeing, highlighting that the sheer volume of technology-driven decisions, not the technology itself, may be the more proximate wellbeing risk for some employee groups. In gig and platform contexts specifically, Nilsen and Kongsvik (2023) applied a job demands and resources perspective to platform-mediated work and found that algorithmic management practices function as significant job demands affecting health, safety, and wellbeing, reinforcing the relevance of the JD-R framework introduced in Section 3.1.1 across both traditional and platform-based employment.</w:t>
      </w:r>
    </w:p>
    <w:p w14:paraId="2CC8B867" w14:textId="31BDD7EF" w:rsidR="00997FE4" w:rsidRDefault="00000000">
      <w:pPr>
        <w:spacing w:after="180" w:line="276" w:lineRule="auto"/>
        <w:jc w:val="both"/>
      </w:pPr>
      <w:r>
        <w:rPr>
          <w:rFonts w:ascii="Calibri" w:eastAsia="Calibri" w:hAnsi="Calibri" w:cs="Calibri"/>
          <w:sz w:val="22"/>
          <w:szCs w:val="22"/>
        </w:rPr>
        <w:t>A smaller but important sub-cluster examines generative AI specifically, given its recent and rapid diffusion. Noy and Zhang's (2023) landmark randomised experiment found that ChatGPT substantially raised productivity in professional writing tasks (reducing time taken by around 40% and raising quality by 18%), while also increasing job satisfaction and self-efficacy among exposed workers but the same study found that exposure simultaneously heightened both concern and excitement about automation technologies, a striking illustration of AI's capacity to generate ambivalent, rather than uniformly positive or negative, psychological responses. Jia et al.'s (2024) field experiment at a telemarketing company similarly found that AI assistance increased employee creativity and, through it, sales performance, but this benefit was heavily skill-biased: higher-skilled employees experienced positive emotions and improved outcomes from AI assistance, while lower-skilled employees made limited improvements and experienced negative emotions at work. Taken together, this sub-theme indicates that AI's wellbeing effects are genuinely mixed rather than uniformly negative, but that the direction and magnitude of the effect depends heavily on psychological safety, leadership behaviour, task design, and employees' existing skill level all factors that are, in principle, within HR's sphere of influence, which is the focus of the next sub-theme.</w:t>
      </w:r>
    </w:p>
    <w:p w14:paraId="2B571E1D" w14:textId="6910FF64" w:rsidR="00997FE4" w:rsidRDefault="00000000">
      <w:pPr>
        <w:spacing w:after="180" w:line="276" w:lineRule="auto"/>
        <w:jc w:val="both"/>
      </w:pPr>
      <w:r>
        <w:rPr>
          <w:rFonts w:ascii="Calibri" w:eastAsia="Calibri" w:hAnsi="Calibri" w:cs="Calibri"/>
          <w:sz w:val="22"/>
          <w:szCs w:val="22"/>
        </w:rPr>
        <w:lastRenderedPageBreak/>
        <w:t xml:space="preserve">Several methodological strengths and limitations qualify how </w:t>
      </w:r>
      <w:proofErr w:type="gramStart"/>
      <w:r>
        <w:rPr>
          <w:rFonts w:ascii="Calibri" w:eastAsia="Calibri" w:hAnsi="Calibri" w:cs="Calibri"/>
          <w:sz w:val="22"/>
          <w:szCs w:val="22"/>
        </w:rPr>
        <w:t>these wellbeing</w:t>
      </w:r>
      <w:proofErr w:type="gramEnd"/>
      <w:r>
        <w:rPr>
          <w:rFonts w:ascii="Calibri" w:eastAsia="Calibri" w:hAnsi="Calibri" w:cs="Calibri"/>
          <w:sz w:val="22"/>
          <w:szCs w:val="22"/>
        </w:rPr>
        <w:t xml:space="preserve"> findings should be read. Kim, Kim and Lee's (2025) three-wave, time-lagged design is unusually strong for this literature, since it allows the temporal sequence of AI adoption, psychological safety, and depression to be examined in a way that single time-point studies cannot, lending particular weight to its finding that AI adoption precedes, rather than merely correlates with, reduced psychological safety. By contrast, Bibi, Tan and Yao's (2025) findings, while methodologically sound, are drawn from a single occupational group (490 doctors) in a single national context (Pakistan), raising the question of whether the ambidexterity-related dampening effect they identify would replicate among, for example, the German managers studied by </w:t>
      </w:r>
      <w:proofErr w:type="spellStart"/>
      <w:r>
        <w:rPr>
          <w:rFonts w:ascii="Calibri" w:eastAsia="Calibri" w:hAnsi="Calibri" w:cs="Calibri"/>
          <w:sz w:val="22"/>
          <w:szCs w:val="22"/>
        </w:rPr>
        <w:t>Zeike</w:t>
      </w:r>
      <w:proofErr w:type="spellEnd"/>
      <w:r>
        <w:rPr>
          <w:rFonts w:ascii="Calibri" w:eastAsia="Calibri" w:hAnsi="Calibri" w:cs="Calibri"/>
          <w:sz w:val="22"/>
          <w:szCs w:val="22"/>
        </w:rPr>
        <w:t xml:space="preserve"> et al. (2019) or the telemarketing employees studied by Jia et al. (2024). Noy and Zhang's (2023) randomised experimental design is the strongest for establishing causality regarding generative AI's productivity and satisfaction effects specifically, but its relatively short timeframe means it cannot speak to whether the initial excitement-and-concern response it documents persists, fades, or intensifies as generative AI tool use becomes routine an open question flagged again in Theme 4.</w:t>
      </w:r>
    </w:p>
    <w:p w14:paraId="482AF814" w14:textId="0A523964" w:rsidR="00997FE4" w:rsidRDefault="00000000">
      <w:pPr>
        <w:spacing w:after="180" w:line="276" w:lineRule="auto"/>
        <w:jc w:val="both"/>
      </w:pPr>
      <w:r>
        <w:rPr>
          <w:rFonts w:ascii="Calibri" w:eastAsia="Calibri" w:hAnsi="Calibri" w:cs="Calibri"/>
          <w:sz w:val="22"/>
          <w:szCs w:val="22"/>
        </w:rPr>
        <w:t>Returning to RQ the relationship between AI-related job insecurity and employee psychological wellbeing this sub-theme's evidence, taken together with Sub-theme 3.2.1, supports a mediated rather than direct relationship: AI adoption appears to affect wellbeing largely by first affecting psychological safety and job insecurity (Kim, Kim and Lee, 2025), rather than through some more direct psychological mechanism. This mediated pathway is practically significant for HR practitioners because it implies that interventions targeting psychological safety and perceived security directly rather than attempting to address wellbeing in the abstract are likely to be the more efficient point of intervention, a conclusion that motivates the close examination of HR practices and leadership that follows.</w:t>
      </w:r>
    </w:p>
    <w:p w14:paraId="337C044A" w14:textId="002B6369"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3</w:t>
      </w:r>
      <w:r>
        <w:rPr>
          <w:rFonts w:ascii="Calibri" w:eastAsia="Calibri" w:hAnsi="Calibri" w:cs="Calibri"/>
          <w:b/>
          <w:bCs/>
          <w:color w:val="1F4E79"/>
          <w:sz w:val="24"/>
          <w:szCs w:val="24"/>
        </w:rPr>
        <w:t>.3 The Role of HR Practices and Leadership</w:t>
      </w:r>
    </w:p>
    <w:p w14:paraId="37BD4960" w14:textId="77777777" w:rsidR="00997FE4" w:rsidRDefault="00000000">
      <w:pPr>
        <w:spacing w:after="180" w:line="276" w:lineRule="auto"/>
        <w:jc w:val="both"/>
      </w:pPr>
      <w:r>
        <w:rPr>
          <w:rFonts w:ascii="Calibri" w:eastAsia="Calibri" w:hAnsi="Calibri" w:cs="Calibri"/>
          <w:sz w:val="22"/>
          <w:szCs w:val="22"/>
        </w:rPr>
        <w:t xml:space="preserve">The third and most directly practice-relevant sub-theme examines what the literature says about which HR interventions shape whether AI adoption is experienced as threatening or manageable. Organisational support emerges repeatedly as a critical buffering resource: Zhang et al.'s (2025) study found that co-skilling initiatives reduced AI-related job insecurity primarily through the mediating effect of perceived organisational support, meaning that skill-development programmes appear to work less because of the skills themselves and more because they signal that the organisation is investing in, rather than discarding, its employees. This interpretation is consistent with the broader HRM literature: </w:t>
      </w:r>
      <w:proofErr w:type="spellStart"/>
      <w:r>
        <w:rPr>
          <w:rFonts w:ascii="Calibri" w:eastAsia="Calibri" w:hAnsi="Calibri" w:cs="Calibri"/>
          <w:sz w:val="22"/>
          <w:szCs w:val="22"/>
        </w:rPr>
        <w:t>Prikshat</w:t>
      </w:r>
      <w:proofErr w:type="spellEnd"/>
      <w:r>
        <w:rPr>
          <w:rFonts w:ascii="Calibri" w:eastAsia="Calibri" w:hAnsi="Calibri" w:cs="Calibri"/>
          <w:sz w:val="22"/>
          <w:szCs w:val="22"/>
        </w:rPr>
        <w:t xml:space="preserve"> et al.'s (2023) literature review and multilevel framework of 'AI-augmented HRM' explicitly positions organisational-level assimilation processes, not just individual tool adoption, as central to whether AI-HRM implementations succeed, while </w:t>
      </w:r>
      <w:proofErr w:type="spellStart"/>
      <w:r>
        <w:rPr>
          <w:rFonts w:ascii="Calibri" w:eastAsia="Calibri" w:hAnsi="Calibri" w:cs="Calibri"/>
          <w:sz w:val="22"/>
          <w:szCs w:val="22"/>
        </w:rPr>
        <w:t>Budhwar</w:t>
      </w:r>
      <w:proofErr w:type="spellEnd"/>
      <w:r>
        <w:rPr>
          <w:rFonts w:ascii="Calibri" w:eastAsia="Calibri" w:hAnsi="Calibri" w:cs="Calibri"/>
          <w:sz w:val="22"/>
          <w:szCs w:val="22"/>
        </w:rPr>
        <w:t xml:space="preserve"> et al.'s (2022) review of AI's challenges and opportunities for international HRM similarly emphasises that ethical governance and fairness considerations, not merely technical capability, determine AI's organisational impact.</w:t>
      </w:r>
    </w:p>
    <w:p w14:paraId="73B4AE14" w14:textId="77777777" w:rsidR="00997FE4" w:rsidRDefault="00000000">
      <w:pPr>
        <w:spacing w:after="180" w:line="276" w:lineRule="auto"/>
        <w:jc w:val="both"/>
      </w:pPr>
      <w:r>
        <w:rPr>
          <w:rFonts w:ascii="Calibri" w:eastAsia="Calibri" w:hAnsi="Calibri" w:cs="Calibri"/>
          <w:sz w:val="22"/>
          <w:szCs w:val="22"/>
        </w:rPr>
        <w:t>Leadership style is a second recurring factor. Beyond the ethical leadership finding already discussed in Kim, Kim and Lee (2025), Li et al.'s (2023) study in the hospitality sector found that task-oriented leadership significantly mitigated the negative consequences of employee resistance to change on AI readiness, particularly when combined with high-performance work systems; task-oriented leaders who actively communicated the reasons for AI-driven change were more effective at securing employee buy-in than leaders who did not. This finding directly reinforces the transformational leadership buffering effect identified by Fu and Zhang (2026) in Sub-theme 3.2.1, suggesting convergent evidence across at least three independent studies that active, communicative leadership styles meaningfully reduce AI-related strain, regardless of the specific leadership label used in each study.</w:t>
      </w:r>
    </w:p>
    <w:p w14:paraId="75873D08" w14:textId="77777777" w:rsidR="00997FE4" w:rsidRDefault="00000000">
      <w:pPr>
        <w:spacing w:after="180" w:line="276" w:lineRule="auto"/>
        <w:jc w:val="both"/>
      </w:pPr>
      <w:r>
        <w:rPr>
          <w:rFonts w:ascii="Calibri" w:eastAsia="Calibri" w:hAnsi="Calibri" w:cs="Calibri"/>
          <w:sz w:val="22"/>
          <w:szCs w:val="22"/>
        </w:rPr>
        <w:lastRenderedPageBreak/>
        <w:t xml:space="preserve">A further important strand concerns fairness and procedural justice in AI-mediated HR decisions specifically. </w:t>
      </w:r>
      <w:proofErr w:type="spellStart"/>
      <w:r>
        <w:rPr>
          <w:rFonts w:ascii="Calibri" w:eastAsia="Calibri" w:hAnsi="Calibri" w:cs="Calibri"/>
          <w:sz w:val="22"/>
          <w:szCs w:val="22"/>
        </w:rPr>
        <w:t>Köchling</w:t>
      </w:r>
      <w:proofErr w:type="spellEnd"/>
      <w:r>
        <w:rPr>
          <w:rFonts w:ascii="Calibri" w:eastAsia="Calibri" w:hAnsi="Calibri" w:cs="Calibri"/>
          <w:sz w:val="22"/>
          <w:szCs w:val="22"/>
        </w:rPr>
        <w:t xml:space="preserve"> and Wehner's (2020) systematic review of discrimination and fairness in algorithmic HR decision-making found consistent evidence that algorithmic decisions in recruitment and development can both reduce and, in some conditions, entrench bias, depending heavily on system design and human oversight. Consistent with this, Mirowska and </w:t>
      </w:r>
      <w:proofErr w:type="spellStart"/>
      <w:r>
        <w:rPr>
          <w:rFonts w:ascii="Calibri" w:eastAsia="Calibri" w:hAnsi="Calibri" w:cs="Calibri"/>
          <w:sz w:val="22"/>
          <w:szCs w:val="22"/>
        </w:rPr>
        <w:t>Mesnet's</w:t>
      </w:r>
      <w:proofErr w:type="spellEnd"/>
      <w:r>
        <w:rPr>
          <w:rFonts w:ascii="Calibri" w:eastAsia="Calibri" w:hAnsi="Calibri" w:cs="Calibri"/>
          <w:sz w:val="22"/>
          <w:szCs w:val="22"/>
        </w:rPr>
        <w:t xml:space="preserve"> (2022) study of applicant reactions found that potential applicants often prefer human evaluators over AI ones even when AI evaluation is objectively more consistent, a 'preferring the devil you know' effect rooted in perceived fairness rather than accuracy. </w:t>
      </w:r>
      <w:proofErr w:type="spellStart"/>
      <w:r>
        <w:rPr>
          <w:rFonts w:ascii="Calibri" w:eastAsia="Calibri" w:hAnsi="Calibri" w:cs="Calibri"/>
          <w:sz w:val="22"/>
          <w:szCs w:val="22"/>
        </w:rPr>
        <w:t>Kinowska</w:t>
      </w:r>
      <w:proofErr w:type="spellEnd"/>
      <w:r>
        <w:rPr>
          <w:rFonts w:ascii="Calibri" w:eastAsia="Calibri" w:hAnsi="Calibri" w:cs="Calibri"/>
          <w:sz w:val="22"/>
          <w:szCs w:val="22"/>
        </w:rPr>
        <w:t xml:space="preserve"> and Sienkiewicz's (2023) study of European organisations similarly found that algorithmic management practices' effect on workplace wellbeing operated significantly through job autonomy and total rewards practices, meaning that the same algorithmic system can be experienced very differently depending on the surrounding HR architecture.</w:t>
      </w:r>
    </w:p>
    <w:p w14:paraId="603D6134" w14:textId="58D6E13C" w:rsidR="00997FE4" w:rsidRDefault="00000000">
      <w:pPr>
        <w:spacing w:after="180" w:line="276" w:lineRule="auto"/>
        <w:jc w:val="both"/>
      </w:pPr>
      <w:r>
        <w:rPr>
          <w:rFonts w:ascii="Calibri" w:eastAsia="Calibri" w:hAnsi="Calibri" w:cs="Calibri"/>
          <w:sz w:val="22"/>
          <w:szCs w:val="22"/>
        </w:rPr>
        <w:t xml:space="preserve">Two further studies extend this fairness-and-design strand in complementary directions. Chen's (2023) study of AI-assisted recruiting found that structured collaboration between human recruiters and AI systems could measurably reduce certain human biases in candidate screening, suggesting that the </w:t>
      </w:r>
      <w:proofErr w:type="spellStart"/>
      <w:r>
        <w:rPr>
          <w:rFonts w:ascii="Calibri" w:eastAsia="Calibri" w:hAnsi="Calibri" w:cs="Calibri"/>
          <w:sz w:val="22"/>
          <w:szCs w:val="22"/>
        </w:rPr>
        <w:t>Köchling</w:t>
      </w:r>
      <w:proofErr w:type="spellEnd"/>
      <w:r>
        <w:rPr>
          <w:rFonts w:ascii="Calibri" w:eastAsia="Calibri" w:hAnsi="Calibri" w:cs="Calibri"/>
          <w:sz w:val="22"/>
          <w:szCs w:val="22"/>
        </w:rPr>
        <w:t xml:space="preserve"> and Wehner (2020) finding that algorithmic systems can 'entrench' bias is not an inevitable outcome but depends on how human-AI collaboration in the decision process is specifically designed. At the organisational-adoption level, Pillai and Sivathanu's (2020) study of AI adoption for talent acquisition in IT/</w:t>
      </w:r>
      <w:proofErr w:type="spellStart"/>
      <w:r>
        <w:rPr>
          <w:rFonts w:ascii="Calibri" w:eastAsia="Calibri" w:hAnsi="Calibri" w:cs="Calibri"/>
          <w:sz w:val="22"/>
          <w:szCs w:val="22"/>
        </w:rPr>
        <w:t>ITeS</w:t>
      </w:r>
      <w:proofErr w:type="spellEnd"/>
      <w:r>
        <w:rPr>
          <w:rFonts w:ascii="Calibri" w:eastAsia="Calibri" w:hAnsi="Calibri" w:cs="Calibri"/>
          <w:sz w:val="22"/>
          <w:szCs w:val="22"/>
        </w:rPr>
        <w:t xml:space="preserve"> organisations, using a Technology-Organization-Environment and Task-Technology-Fit framework, found that top management support and perceived task-technology fit were significant antecedents of AI adoption intensity, indicating that the organisational-level decision to adopt AI in the first place, and the intensity with which it is adopted, are themselves shaped by factors related to leadership and organisational readiness, not purely technical capability. This organisational-level evidence complements the individual-level HR-practice findings above by suggesting that the same leadership and organisational-support factors that buffer employees' experience of AI adoption (Sub-theme 3.2.3) may also determine how thoughtfully that adoption is planned in the first place, a connection this dissertation returns to when proposing its conceptual framework in Chapter 4. Collectively, this sub-theme provides converging evidence, across recruitment, performance management, and general workforce contexts, that HR practices</w:t>
      </w:r>
      <w:r w:rsidR="00D35733">
        <w:rPr>
          <w:rFonts w:ascii="Calibri" w:eastAsia="Calibri" w:hAnsi="Calibri" w:cs="Calibri"/>
          <w:sz w:val="22"/>
          <w:szCs w:val="22"/>
        </w:rPr>
        <w:t xml:space="preserve"> </w:t>
      </w:r>
      <w:r>
        <w:rPr>
          <w:rFonts w:ascii="Calibri" w:eastAsia="Calibri" w:hAnsi="Calibri" w:cs="Calibri"/>
          <w:sz w:val="22"/>
          <w:szCs w:val="22"/>
        </w:rPr>
        <w:t>organisational support, communicative leadership, and procedural fairness are not peripheral to AI's wellbeing effects but are among the primary mechanisms determining them.</w:t>
      </w:r>
    </w:p>
    <w:p w14:paraId="2DC6E720" w14:textId="77777777" w:rsidR="00997FE4" w:rsidRDefault="00000000">
      <w:pPr>
        <w:spacing w:after="180" w:line="276" w:lineRule="auto"/>
        <w:jc w:val="both"/>
      </w:pPr>
      <w:r>
        <w:rPr>
          <w:rFonts w:ascii="Calibri" w:eastAsia="Calibri" w:hAnsi="Calibri" w:cs="Calibri"/>
          <w:sz w:val="22"/>
          <w:szCs w:val="22"/>
        </w:rPr>
        <w:t>Practitioner-facing evidence, though methodologically distinct from the peer-reviewed studies discussed above, broadly corroborates this sub-theme's findings. The Chartered Institute of Personnel and Development's Good Work Index 2025 similarly identifies clear communication, employee voice, and manager capability as central to how technological change is experienced by the UK workforce, echoing the organisational-support and leadership-communication findings from the peer-reviewed literature (CIPD, 2025). While industry surveys of this kind lack the causal rigour of the experimental and longitudinal academic studies reviewed above, their value lies in their large, nationally representative samples and their currency, capturing employee sentiment closer to real time than the multi-year academic publication cycle typically allows; this review therefore treats such sources as a useful triangulation check on the peer-reviewed evidence, rather than as a substitute for it, consistent with the inclusion criteria set out in Section 2.5.</w:t>
      </w:r>
    </w:p>
    <w:p w14:paraId="429D8B4B" w14:textId="6AAFD4D8" w:rsidR="00997FE4" w:rsidRDefault="00000000">
      <w:pPr>
        <w:spacing w:after="180" w:line="276" w:lineRule="auto"/>
        <w:jc w:val="both"/>
      </w:pPr>
      <w:r>
        <w:rPr>
          <w:rFonts w:ascii="Calibri" w:eastAsia="Calibri" w:hAnsi="Calibri" w:cs="Calibri"/>
          <w:sz w:val="22"/>
          <w:szCs w:val="22"/>
        </w:rPr>
        <w:t>Returning to RQ which HR interventions the literature identifies as most effective in mitigating AI-related anxiety</w:t>
      </w:r>
      <w:r w:rsidR="00D35733">
        <w:rPr>
          <w:rFonts w:ascii="Calibri" w:eastAsia="Calibri" w:hAnsi="Calibri" w:cs="Calibri"/>
          <w:sz w:val="22"/>
          <w:szCs w:val="22"/>
        </w:rPr>
        <w:t xml:space="preserve"> </w:t>
      </w:r>
      <w:r>
        <w:rPr>
          <w:rFonts w:ascii="Calibri" w:eastAsia="Calibri" w:hAnsi="Calibri" w:cs="Calibri"/>
          <w:sz w:val="22"/>
          <w:szCs w:val="22"/>
        </w:rPr>
        <w:t xml:space="preserve">the evidence across this sub-theme converges on three recurring levers: organisational support (operationalised variously as co-skilling investment, perceived organisational backing, or total rewards architecture), communicative and ethical leadership (whether labelled transformational, task-oriented, or ethical across different studies), and procedural fairness in how AI-mediated decisions are made and </w:t>
      </w:r>
      <w:r>
        <w:rPr>
          <w:rFonts w:ascii="Calibri" w:eastAsia="Calibri" w:hAnsi="Calibri" w:cs="Calibri"/>
          <w:sz w:val="22"/>
          <w:szCs w:val="22"/>
        </w:rPr>
        <w:lastRenderedPageBreak/>
        <w:t>explained. What the evidence does not yet establish and what Theme 4 identifies as a specific gap</w:t>
      </w:r>
      <w:r w:rsidR="00D35733">
        <w:rPr>
          <w:rFonts w:ascii="Calibri" w:eastAsia="Calibri" w:hAnsi="Calibri" w:cs="Calibri"/>
          <w:sz w:val="22"/>
          <w:szCs w:val="22"/>
        </w:rPr>
        <w:t xml:space="preserve"> </w:t>
      </w:r>
      <w:r>
        <w:rPr>
          <w:rFonts w:ascii="Calibri" w:eastAsia="Calibri" w:hAnsi="Calibri" w:cs="Calibri"/>
          <w:sz w:val="22"/>
          <w:szCs w:val="22"/>
        </w:rPr>
        <w:t>is the relative weight of these three levers when they are combined, or whether they substitute for or reinforce one another; each of the studies reviewed here isolates one or two levers at a time, rather than testing the full bundle simultaneously, which limits the specificity of the practical recommendations this dissertation can draw in Chapter 5.</w:t>
      </w:r>
    </w:p>
    <w:p w14:paraId="30F59FD4" w14:textId="59767E86" w:rsidR="00997FE4" w:rsidRDefault="00000000">
      <w:pPr>
        <w:spacing w:after="180" w:line="276" w:lineRule="auto"/>
        <w:jc w:val="both"/>
      </w:pPr>
      <w:r>
        <w:rPr>
          <w:rFonts w:ascii="Calibri" w:eastAsia="Calibri" w:hAnsi="Calibri" w:cs="Calibri"/>
          <w:sz w:val="22"/>
          <w:szCs w:val="22"/>
        </w:rPr>
        <w:t>Before turning to the debates that complicate this picture, it is worth pausing to consolidate what Theme 2 has established. Across the three sub-themes, a coherent causal chain emerges: AI adoption (however operationalised) tends to generate job insecurity, which itself appears to mediate AI's broader effects on psychological wellbeing, and this entire chain is significantly moderated by the presence or absence of specific HR practices organisational support, communicative leadership, and procedural fairness in particular. This chain maps closely onto the JD-R model set out in Theme 1: AI-related demands feed a strain process (Sub-theme 3.2.1 and 3.2.2), while HR resources feed a competing motivational process that can buffer this strain (Sub-theme 3.2.3), exactly as Figure 3 depicts. What Theme 2 cannot yet establish, given the limitations of the underlying studies discussed throughout, is the precise relative strength of each moderating factor, or how they interact when deployed together</w:t>
      </w:r>
      <w:r w:rsidR="00D35733">
        <w:rPr>
          <w:rFonts w:ascii="Calibri" w:eastAsia="Calibri" w:hAnsi="Calibri" w:cs="Calibri"/>
          <w:sz w:val="22"/>
          <w:szCs w:val="22"/>
        </w:rPr>
        <w:t xml:space="preserve"> </w:t>
      </w:r>
      <w:r>
        <w:rPr>
          <w:rFonts w:ascii="Calibri" w:eastAsia="Calibri" w:hAnsi="Calibri" w:cs="Calibri"/>
          <w:sz w:val="22"/>
          <w:szCs w:val="22"/>
        </w:rPr>
        <w:t>questions that remain open for the field and that this dissertation's Discussion chapter addresses through synthesis rather than new primary evidence. With this empirical foundation in place, the chapter now turns to three debates that qualify and complicate the picture painted so far.</w:t>
      </w:r>
    </w:p>
    <w:p w14:paraId="5A014ADA" w14:textId="32ECE104"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 xml:space="preserve"> Theme 3: Emerging Debates</w:t>
      </w:r>
    </w:p>
    <w:p w14:paraId="7EA167EE" w14:textId="77777777" w:rsidR="00997FE4" w:rsidRDefault="00000000">
      <w:pPr>
        <w:spacing w:after="180" w:line="276" w:lineRule="auto"/>
        <w:jc w:val="both"/>
      </w:pPr>
      <w:r>
        <w:rPr>
          <w:rFonts w:ascii="Calibri" w:eastAsia="Calibri" w:hAnsi="Calibri" w:cs="Calibri"/>
          <w:sz w:val="22"/>
          <w:szCs w:val="22"/>
        </w:rPr>
        <w:t>Beyond the relatively convergent findings synthesised in Theme 2, several genuine debates and tensions run through this literature, which any HR-focused synthesis must acknowledge rather than resolve prematurely.</w:t>
      </w:r>
    </w:p>
    <w:p w14:paraId="12A2D298" w14:textId="77777777" w:rsidR="001A3DA8" w:rsidRDefault="00000000">
      <w:pPr>
        <w:pStyle w:val="Heading2"/>
        <w:spacing w:before="260" w:after="140"/>
        <w:rPr>
          <w:rFonts w:ascii="Calibri" w:eastAsia="Calibri" w:hAnsi="Calibri" w:cs="Calibri"/>
          <w:b/>
          <w:bCs/>
          <w:color w:val="1F4E79"/>
          <w:sz w:val="24"/>
          <w:szCs w:val="24"/>
        </w:rPr>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.1 Augmentation Versus Displacement</w:t>
      </w:r>
    </w:p>
    <w:p w14:paraId="2E4DE7C6" w14:textId="77777777" w:rsidR="001A3DA8" w:rsidRDefault="001A3DA8" w:rsidP="001A3DA8">
      <w:pPr>
        <w:spacing w:after="180" w:line="276" w:lineRule="auto"/>
        <w:jc w:val="both"/>
      </w:pPr>
      <w:r>
        <w:rPr>
          <w:rFonts w:ascii="Calibri" w:eastAsia="Calibri" w:hAnsi="Calibri" w:cs="Calibri"/>
          <w:sz w:val="22"/>
          <w:szCs w:val="22"/>
        </w:rPr>
        <w:t>The first and most fundamental debate concerns whether AI should be understood primarily as a substitute for human labour (displacement) or a complement to it (augmentation). Frey and Osborne's (2017) susceptibility-based methodology sits at the displacement end of this spectrum, estimating which occupations could technically be automated. By contrast, more recent empirical studies, including Jia et al. (2024) and Noy and Zhang (2023), provide direct evidence for an augmentation dynamic, in which AI handles routine sub-tasks while employees focus on higher-order problem-solving, with productivity and (for higher-skilled workers) wellbeing benefits following. Industry data occupies an ambivalent middle ground: the World Economic Forum's Future of Jobs Report 2025 projects both substantial job creation (170 million roles) and substantial displacement (92 million roles) by 2030 within the same forecast, effectively encoding the augmentation-displacement tension directly into its headline figures (World Economic Forum, 2025). This review does not attempt to resolve which view is 'correct', not least because the answer plausibly differs by occupation, task type, and organisational choices about how AI is deployed; instead, it treats the coexistence of both dynamics as itself an important finding, one with direct implications for HR communication strategies discussed further in Chapter 5.</w:t>
      </w:r>
    </w:p>
    <w:p w14:paraId="7DC158A3" w14:textId="35D082F9" w:rsidR="001A3DA8" w:rsidRDefault="001A3DA8" w:rsidP="001A3DA8">
      <w:pPr>
        <w:spacing w:after="180" w:line="276" w:lineRule="auto"/>
        <w:jc w:val="both"/>
      </w:pPr>
      <w:r>
        <w:rPr>
          <w:rFonts w:ascii="Calibri" w:eastAsia="Calibri" w:hAnsi="Calibri" w:cs="Calibri"/>
          <w:sz w:val="22"/>
          <w:szCs w:val="22"/>
        </w:rPr>
        <w:t xml:space="preserve">This tension also has a specifically HR-relevant dimension that the academic literature engages with only indirectly: how an organisation frames its own AI adoption publicly and internally as augmentation or displacement is itself an HR communication choice, not simply a neutral description of the technology's objective effects. Jia et al.'s (2024) finding that AI assistance benefited higher-skilled employees while disadvantaging lower-skilled employees at the same organisation illustrates that augmentation and displacement framings may both be simultaneously accurate for different segments of the same workforce, which implies that a single, organisation-wide communication message (e.g. 'AI will augment, not replace, </w:t>
      </w:r>
      <w:r>
        <w:rPr>
          <w:rFonts w:ascii="Calibri" w:eastAsia="Calibri" w:hAnsi="Calibri" w:cs="Calibri"/>
          <w:sz w:val="22"/>
          <w:szCs w:val="22"/>
        </w:rPr>
        <w:lastRenderedPageBreak/>
        <w:t>your role') risks being credible for some employees and not others, potentially undermining organisational trust with the very employees most at risk of genuine displacement.</w:t>
      </w:r>
    </w:p>
    <w:p w14:paraId="7D7270E1" w14:textId="77777777" w:rsidR="001A3DA8" w:rsidRDefault="001A3DA8" w:rsidP="001A3DA8">
      <w:pPr>
        <w:spacing w:after="180" w:line="276" w:lineRule="auto"/>
        <w:jc w:val="both"/>
      </w:pPr>
      <w:r>
        <w:rPr>
          <w:rFonts w:ascii="Calibri" w:hAnsi="Calibri"/>
          <w:sz w:val="22"/>
        </w:rPr>
        <w:t>Precision matters here: 'augmentation' and 'displacement' are frequently used as if they describe two mutually exclusive organisational outcomes, when the evidence this review has synthesised instead points to task-level, not job-level, substitution as the more accurate unit of analysis. Frey and Osborne's (2017) methodology estimates the automatability of entire occupations, whereas Jia et al.'s (2024) and Noy and Zhang's (2023) experimental evidence concerns specific tasks within a job (drafting, customer interaction, sales calls) being reassigned to AI while the surrounding role persists in a modified form. This distinction is not a semantic nicety: an HR function planning workforce strategy around task-level reassignment will make different decisions (redesigning roles, reallocating time toward higher-value tasks) than one planning around occupation-level displacement (redundancy planning, external redeployment), and conflating the two, as headline industry figures such as the World Economic Forum's (2025) 92-million-jobs-displaced estimate risk doing when read without their accompanying methodology, could lead organisations toward workforce responses poorly matched to the actual pattern of change documented in the peer-reviewed evidence.</w:t>
      </w:r>
    </w:p>
    <w:p w14:paraId="42E1D17D" w14:textId="77777777" w:rsidR="001A3DA8" w:rsidRDefault="001A3DA8">
      <w:pPr>
        <w:pStyle w:val="Heading2"/>
        <w:spacing w:before="260" w:after="140"/>
      </w:pPr>
    </w:p>
    <w:p w14:paraId="5C44F841" w14:textId="277D729E"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.2 Generative AI as a Distinct Phenomenon</w:t>
      </w:r>
    </w:p>
    <w:p w14:paraId="5CF4B79E" w14:textId="6AB4A29E" w:rsidR="00997FE4" w:rsidRDefault="00000000">
      <w:pPr>
        <w:spacing w:after="180" w:line="276" w:lineRule="auto"/>
        <w:jc w:val="both"/>
      </w:pPr>
      <w:r>
        <w:rPr>
          <w:rFonts w:ascii="Calibri" w:eastAsia="Calibri" w:hAnsi="Calibri" w:cs="Calibri"/>
          <w:sz w:val="22"/>
          <w:szCs w:val="22"/>
        </w:rPr>
        <w:t xml:space="preserve">A second debate concerns whether generative AI (large language models and related tools) should be treated as simply a further instance of the AI adoption literature synthesised above, or as a sufficiently distinct phenomenon to warrant separate theorising. Several features of generative AI plausibly distinguish it from earlier, narrower AI/automation systems: it is typically employee-initiated rather than management-imposed, it is applicable across a very wide range of knowledge-work tasks rather than a narrow function, and, as Noy and Zhang's (2023) findings demonstrate, it appears capable of generating simultaneous concern and excitement within the same individual in a way that is less clearly documented in the earlier algorithmic-management literature. At the same time, the underlying psychological mechanisms identified elsewhere in this </w:t>
      </w:r>
      <w:proofErr w:type="gramStart"/>
      <w:r>
        <w:rPr>
          <w:rFonts w:ascii="Calibri" w:eastAsia="Calibri" w:hAnsi="Calibri" w:cs="Calibri"/>
          <w:sz w:val="22"/>
          <w:szCs w:val="22"/>
        </w:rPr>
        <w:t>review  job</w:t>
      </w:r>
      <w:proofErr w:type="gramEnd"/>
      <w:r>
        <w:rPr>
          <w:rFonts w:ascii="Calibri" w:eastAsia="Calibri" w:hAnsi="Calibri" w:cs="Calibri"/>
          <w:sz w:val="22"/>
          <w:szCs w:val="22"/>
        </w:rPr>
        <w:t xml:space="preserve"> insecurity, technostress, the buffering role of organisational </w:t>
      </w:r>
      <w:proofErr w:type="gramStart"/>
      <w:r>
        <w:rPr>
          <w:rFonts w:ascii="Calibri" w:eastAsia="Calibri" w:hAnsi="Calibri" w:cs="Calibri"/>
          <w:sz w:val="22"/>
          <w:szCs w:val="22"/>
        </w:rPr>
        <w:t>support  appear</w:t>
      </w:r>
      <w:proofErr w:type="gramEnd"/>
      <w:r>
        <w:rPr>
          <w:rFonts w:ascii="Calibri" w:eastAsia="Calibri" w:hAnsi="Calibri" w:cs="Calibri"/>
          <w:sz w:val="22"/>
          <w:szCs w:val="22"/>
        </w:rPr>
        <w:t>, on the limited evidence currently available (Jia et al., 2024), to apply to generative AI as much as to earlier forms of workplace AI. This review treats generative AI as an important emerging sub-case requiring continued monitoring, rather than as a wholly separate theoretical category, a position revisited in the research-gaps discussion below.</w:t>
      </w:r>
    </w:p>
    <w:p w14:paraId="333518B8" w14:textId="11C8FDB4" w:rsidR="00997FE4" w:rsidRDefault="00000000">
      <w:pPr>
        <w:spacing w:after="180" w:line="276" w:lineRule="auto"/>
        <w:jc w:val="both"/>
      </w:pPr>
      <w:r>
        <w:rPr>
          <w:rFonts w:ascii="Calibri" w:eastAsia="Calibri" w:hAnsi="Calibri" w:cs="Calibri"/>
          <w:sz w:val="22"/>
          <w:szCs w:val="22"/>
        </w:rPr>
        <w:t>This distinctiveness debate is not yet settled empirically, and this review deliberately avoids overstating the case for generative AI's uniqueness given the very small number of directly relevant studies (two, out of the 38 reviewed) currently available. What can be said with more confidence is that generative AI's rapid diffusion McKinsey (2025) documents accelerating enterprise adoption of AI agents and generative tools specifically, distinct from the narrower algorithmic-management and predictive-AI systems studied throughout most of Theme 2 means the evidence base is likely to expand quickly, and HR practitioners currently have less peer-reviewed guidance available for generative AI specifically than for the broader category of workplace AI this chapter has otherwise reviewed.</w:t>
      </w:r>
    </w:p>
    <w:p w14:paraId="17020909" w14:textId="454CEA8F"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.3 Algorithmic Management, Surveillance, and the Gig Economy</w:t>
      </w:r>
    </w:p>
    <w:p w14:paraId="44216EF8" w14:textId="72863EBE" w:rsidR="00997FE4" w:rsidRDefault="00000000">
      <w:pPr>
        <w:spacing w:after="180" w:line="276" w:lineRule="auto"/>
        <w:jc w:val="both"/>
      </w:pPr>
      <w:r>
        <w:rPr>
          <w:rFonts w:ascii="Calibri" w:eastAsia="Calibri" w:hAnsi="Calibri" w:cs="Calibri"/>
          <w:sz w:val="22"/>
          <w:szCs w:val="22"/>
        </w:rPr>
        <w:t xml:space="preserve">A third debate concerns whether findings from conventional, permanent employment contexts generalise to gig and platform work, where algorithmic management is often most pervasive and most directly experienced as surveillance rather than assistance. Wood, Graham and </w:t>
      </w:r>
      <w:proofErr w:type="spellStart"/>
      <w:r>
        <w:rPr>
          <w:rFonts w:ascii="Calibri" w:eastAsia="Calibri" w:hAnsi="Calibri" w:cs="Calibri"/>
          <w:sz w:val="22"/>
          <w:szCs w:val="22"/>
        </w:rPr>
        <w:t>Lehdonvirta</w:t>
      </w:r>
      <w:proofErr w:type="spellEnd"/>
      <w:r>
        <w:rPr>
          <w:rFonts w:ascii="Calibri" w:eastAsia="Calibri" w:hAnsi="Calibri" w:cs="Calibri"/>
          <w:sz w:val="22"/>
          <w:szCs w:val="22"/>
        </w:rPr>
        <w:t xml:space="preserve"> (2018) and Nilsen and Kongsvik (2023) both document distinctive dynamics in platform contexts opaque rating systems, </w:t>
      </w:r>
      <w:r>
        <w:rPr>
          <w:rFonts w:ascii="Calibri" w:eastAsia="Calibri" w:hAnsi="Calibri" w:cs="Calibri"/>
          <w:sz w:val="22"/>
          <w:szCs w:val="22"/>
        </w:rPr>
        <w:lastRenderedPageBreak/>
        <w:t xml:space="preserve">deactivation risk, continuous performance tracking  that differ qualitatively from the AI adoption experienced by, for example, the doctors in Bibi, Tan and Yao's (2025) study or the managers in </w:t>
      </w:r>
      <w:proofErr w:type="spellStart"/>
      <w:r>
        <w:rPr>
          <w:rFonts w:ascii="Calibri" w:eastAsia="Calibri" w:hAnsi="Calibri" w:cs="Calibri"/>
          <w:sz w:val="22"/>
          <w:szCs w:val="22"/>
        </w:rPr>
        <w:t>Zeike</w:t>
      </w:r>
      <w:proofErr w:type="spellEnd"/>
      <w:r>
        <w:rPr>
          <w:rFonts w:ascii="Calibri" w:eastAsia="Calibri" w:hAnsi="Calibri" w:cs="Calibri"/>
          <w:sz w:val="22"/>
          <w:szCs w:val="22"/>
        </w:rPr>
        <w:t xml:space="preserve"> et al.'s (2019) study. </w:t>
      </w:r>
      <w:proofErr w:type="spellStart"/>
      <w:r>
        <w:rPr>
          <w:rFonts w:ascii="Calibri" w:eastAsia="Calibri" w:hAnsi="Calibri" w:cs="Calibri"/>
          <w:sz w:val="22"/>
          <w:szCs w:val="22"/>
        </w:rPr>
        <w:t>Kinowska</w:t>
      </w:r>
      <w:proofErr w:type="spellEnd"/>
      <w:r>
        <w:rPr>
          <w:rFonts w:ascii="Calibri" w:eastAsia="Calibri" w:hAnsi="Calibri" w:cs="Calibri"/>
          <w:sz w:val="22"/>
          <w:szCs w:val="22"/>
        </w:rPr>
        <w:t xml:space="preserve"> and Sienkiewicz (2023), working with a broader sample of European organisations, found effects operating through similar mechanisms (autonomy, rewards) in more conventional employment settings, suggesting some generalisability of the underlying JD-R logic even if the intensity and specific manifestation of algorithmic control </w:t>
      </w:r>
      <w:proofErr w:type="gramStart"/>
      <w:r>
        <w:rPr>
          <w:rFonts w:ascii="Calibri" w:eastAsia="Calibri" w:hAnsi="Calibri" w:cs="Calibri"/>
          <w:sz w:val="22"/>
          <w:szCs w:val="22"/>
        </w:rPr>
        <w:t>differs</w:t>
      </w:r>
      <w:proofErr w:type="gramEnd"/>
      <w:r>
        <w:rPr>
          <w:rFonts w:ascii="Calibri" w:eastAsia="Calibri" w:hAnsi="Calibri" w:cs="Calibri"/>
          <w:sz w:val="22"/>
          <w:szCs w:val="22"/>
        </w:rPr>
        <w:t xml:space="preserve"> by employment context. This review's scope (Section 1.6) is centred on conventional organisational employment, but this debate indicates that HR practitioners in organisations using extensive algorithmic performance management or gig-adjacent contracting arrangements should treat the gig-economy findings as directly relevant, not as a separate literature.</w:t>
      </w:r>
    </w:p>
    <w:p w14:paraId="51AAEB9F" w14:textId="56BBC2A2"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.4 Employee Voice and Participation in AI Rollout</w:t>
      </w:r>
    </w:p>
    <w:p w14:paraId="251E1033" w14:textId="77777777" w:rsidR="00997FE4" w:rsidRDefault="00000000">
      <w:pPr>
        <w:spacing w:after="180" w:line="276" w:lineRule="auto"/>
        <w:jc w:val="both"/>
      </w:pPr>
      <w:r>
        <w:rPr>
          <w:rFonts w:ascii="Calibri" w:eastAsia="Calibri" w:hAnsi="Calibri" w:cs="Calibri"/>
          <w:sz w:val="22"/>
          <w:szCs w:val="22"/>
        </w:rPr>
        <w:t>A fourth, less prominent but emerging debate concerns whether employee involvement in AI implementation decisions itself changes outcomes, independent of the technology's ultimate design. Ullrich et al.'s (2023) combined analysis of academic literature and practitioner expertise on digital transformation found that structured employee involvement and participation mechanisms were consistently associated with smoother technology adoption, distinct from whether participation actually altered the final implementation. Using a different method entirely, Ye et al.'s (2024) fuzzy-set qualitative comparative analysis of enterprise digital transformation found that no single factor, including participation, was independently sufficient to produce high employee engagement; rather, engagement emerged from specific configurations combining participation with other organisational conditions such as leadership support. Read together, these two studies suggest that employee voice functions as a necessary but not sufficient condition for positive AI-adoption outcomes, complicating any HR strategy that treats consultation as a standalone solution rather than one element of the broader HR practice bundle identified in Sub-theme 3.2.3.</w:t>
      </w:r>
    </w:p>
    <w:p w14:paraId="0D603B6A" w14:textId="77777777" w:rsidR="00997FE4" w:rsidRDefault="00000000">
      <w:pPr>
        <w:spacing w:after="180" w:line="276" w:lineRule="auto"/>
        <w:jc w:val="both"/>
      </w:pPr>
      <w:r>
        <w:rPr>
          <w:rFonts w:ascii="Calibri" w:eastAsia="Calibri" w:hAnsi="Calibri" w:cs="Calibri"/>
          <w:sz w:val="22"/>
          <w:szCs w:val="22"/>
        </w:rPr>
        <w:t>Taken together, the four debates examined in this theme share a common structure: each initially appears to offer a straightforward, general answer (AI augments or displaces; generative AI is simply more workplace AI or something qualitatively new; gig-economy findings do or do not generalise; employee participation does or does not improve outcomes), and each turns out, on closer inspection of the evidence, to resist a single general answer in favour of a more conditional one that depends on task type, employee skill level, technology type, employment context, and the surrounding configuration of other HR practices. This pattern itself is an important finding for an HR-focused review: it suggests that HR policy on AI adoption is unlikely to succeed if designed around a single organisation-wide assumption about what AI 'is' or 'does', and instead needs to be sensitive to exactly the kinds of contextual variation this theme has identified. This conclusion feeds directly into the research gaps identified next, and into the practical recommendations developed in Chapter 5.</w:t>
      </w:r>
    </w:p>
    <w:p w14:paraId="3FD3FE8A" w14:textId="70AA42BA"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5</w:t>
      </w:r>
      <w:r>
        <w:rPr>
          <w:rFonts w:ascii="Calibri" w:eastAsia="Calibri" w:hAnsi="Calibri" w:cs="Calibri"/>
          <w:b/>
          <w:bCs/>
          <w:color w:val="1F4E79"/>
          <w:sz w:val="24"/>
          <w:szCs w:val="24"/>
        </w:rPr>
        <w:t xml:space="preserve"> Theme 4: Research Gaps</w:t>
      </w:r>
    </w:p>
    <w:p w14:paraId="42D8D457" w14:textId="77777777" w:rsidR="00997FE4" w:rsidRDefault="00000000">
      <w:pPr>
        <w:spacing w:after="180" w:line="276" w:lineRule="auto"/>
        <w:jc w:val="both"/>
      </w:pPr>
      <w:r>
        <w:rPr>
          <w:rFonts w:ascii="Calibri" w:eastAsia="Calibri" w:hAnsi="Calibri" w:cs="Calibri"/>
          <w:sz w:val="22"/>
          <w:szCs w:val="22"/>
        </w:rPr>
        <w:t xml:space="preserve">Drawing together Themes 1 to 3, this synthesis identifies five specific gaps in the current evidence base that this dissertation's Discussion and Implications chapters will address. First, geographic and sectoral concentration: a disproportionate share of the strongest empirical studies in Sub-themes 3.2.1 and 3.2.2 are drawn from South Korea (Kim, Kim and Lee, 2025), China (Sha and Chai, 2025; Fu and Zhang, 2026; Han et al., 2025), and Pakistan (Bibi, Tan and Yao, 2025), with comparatively few UK-based or cross-national comparative studies; this limits confidence that findings transfer directly to the UK HR context this dissertation is ultimately concerned with. Second, fragmentation of HR-practice evidence: while Sub-theme 3.2.3 identifies organisational support, communicative leadership, and procedural fairness as recurring buffering mechanisms, no single study in this review tests these as a combined 'bundle' of HR practice; each </w:t>
      </w:r>
      <w:r>
        <w:rPr>
          <w:rFonts w:ascii="Calibri" w:eastAsia="Calibri" w:hAnsi="Calibri" w:cs="Calibri"/>
          <w:sz w:val="22"/>
          <w:szCs w:val="22"/>
        </w:rPr>
        <w:lastRenderedPageBreak/>
        <w:t>factor tends to be examined largely in isolation, leaving open the question of how they interact or which combination is most cost-effective for HR practitioners to prioritise.</w:t>
      </w:r>
    </w:p>
    <w:p w14:paraId="1356F024" w14:textId="21A63B39" w:rsidR="00997FE4" w:rsidRDefault="00000000">
      <w:pPr>
        <w:spacing w:after="180" w:line="276" w:lineRule="auto"/>
        <w:jc w:val="both"/>
      </w:pPr>
      <w:r>
        <w:rPr>
          <w:rFonts w:ascii="Calibri" w:eastAsia="Calibri" w:hAnsi="Calibri" w:cs="Calibri"/>
          <w:sz w:val="22"/>
          <w:szCs w:val="22"/>
        </w:rPr>
        <w:t xml:space="preserve">Third, generative AI remains comparatively understudied relative to earlier forms of workplace AI and algorithmic management: only two studies in this review (Noy and Zhang, 2023; Jia et al., 2024) directly examine generative AI tools, despite their rapid and recent diffusion (McKinsey, 2025), meaning the wellbeing and job-security findings synthesised in Theme 2 are drawn predominantly from earlier-generation AI and algorithmic management systems whose properties (visibility, employee control, task scope) differ from generative AI in ways discussed in Sub-theme 3.3.2. Fourth, longitudinal and causal evidence remains limited outside a small number of well-designed studies (notably Kim, Kim and Lee, 2025; Sha and Chai, 2025); the majority of the included studies rely on single time-point, cross-sectional surveys, which constrains the strength of causal claims that can be drawn about the direction of the relationships this review has synthesised. Fifth, and following directly from Sub-theme 3.1.0, measurement inconsistency across studies organisational adoption, individual perception, exposure intensity, and generative-tool use are all labelled 'AI adoption' despite being conceptually distinct makes formal, quantitative synthesis (e.g. meta-analysis) of this literature premature; a coherent, shared measurement approach would need to emerge before the field could support the kind of pooled effect-size estimates available in more mature literatures such as the general job-insecurity meta-analyses discussed in Section 3.1.3 (Sverke, Hellgren and </w:t>
      </w:r>
      <w:proofErr w:type="spellStart"/>
      <w:r>
        <w:rPr>
          <w:rFonts w:ascii="Calibri" w:eastAsia="Calibri" w:hAnsi="Calibri" w:cs="Calibri"/>
          <w:sz w:val="22"/>
          <w:szCs w:val="22"/>
        </w:rPr>
        <w:t>Näswall</w:t>
      </w:r>
      <w:proofErr w:type="spellEnd"/>
      <w:r>
        <w:rPr>
          <w:rFonts w:ascii="Calibri" w:eastAsia="Calibri" w:hAnsi="Calibri" w:cs="Calibri"/>
          <w:sz w:val="22"/>
          <w:szCs w:val="22"/>
        </w:rPr>
        <w:t>, 2002; Sverke et al., 2019). These five gaps directly inform the conceptual framework and recommendations developed in Chapters 4 and 5.</w:t>
      </w:r>
    </w:p>
    <w:p w14:paraId="09474316" w14:textId="7062D43A" w:rsidR="00997FE4" w:rsidRDefault="00000000">
      <w:pPr>
        <w:pStyle w:val="Heading2"/>
        <w:spacing w:before="260" w:after="140"/>
      </w:pPr>
      <w:r>
        <w:rPr>
          <w:rFonts w:ascii="Calibri" w:eastAsia="Calibri" w:hAnsi="Calibri" w:cs="Calibri"/>
          <w:b/>
          <w:bCs/>
          <w:color w:val="1F4E79"/>
          <w:sz w:val="24"/>
          <w:szCs w:val="24"/>
        </w:rPr>
        <w:t>3.</w:t>
      </w:r>
      <w:r w:rsidR="007F26DA">
        <w:rPr>
          <w:rFonts w:ascii="Calibri" w:eastAsia="Calibri" w:hAnsi="Calibri" w:cs="Calibri"/>
          <w:b/>
          <w:bCs/>
          <w:color w:val="1F4E79"/>
          <w:sz w:val="24"/>
          <w:szCs w:val="24"/>
        </w:rPr>
        <w:t>6</w:t>
      </w:r>
      <w:r>
        <w:rPr>
          <w:rFonts w:ascii="Calibri" w:eastAsia="Calibri" w:hAnsi="Calibri" w:cs="Calibri"/>
          <w:b/>
          <w:bCs/>
          <w:color w:val="1F4E79"/>
          <w:sz w:val="24"/>
          <w:szCs w:val="24"/>
        </w:rPr>
        <w:t xml:space="preserve"> Chapter Summary</w:t>
      </w:r>
    </w:p>
    <w:p w14:paraId="0DE56AB4" w14:textId="06033161" w:rsidR="00997FE4" w:rsidRDefault="00000000">
      <w:pPr>
        <w:spacing w:after="180" w:line="276" w:lineRule="auto"/>
        <w:jc w:val="both"/>
        <w:rPr>
          <w:rFonts w:ascii="Calibri" w:eastAsia="Calibri" w:hAnsi="Calibri" w:cs="Calibri"/>
          <w:sz w:val="22"/>
          <w:szCs w:val="22"/>
        </w:rPr>
      </w:pPr>
      <w:r>
        <w:rPr>
          <w:rFonts w:ascii="Calibri" w:eastAsia="Calibri" w:hAnsi="Calibri" w:cs="Calibri"/>
          <w:sz w:val="22"/>
          <w:szCs w:val="22"/>
        </w:rPr>
        <w:t xml:space="preserve">This chapter has synthesised </w:t>
      </w:r>
      <w:r w:rsidR="00D23F3E">
        <w:rPr>
          <w:rFonts w:ascii="Calibri" w:eastAsia="Calibri" w:hAnsi="Calibri" w:cs="Calibri"/>
          <w:sz w:val="22"/>
          <w:szCs w:val="22"/>
        </w:rPr>
        <w:t xml:space="preserve">90 </w:t>
      </w:r>
      <w:r>
        <w:rPr>
          <w:rFonts w:ascii="Calibri" w:eastAsia="Calibri" w:hAnsi="Calibri" w:cs="Calibri"/>
          <w:sz w:val="22"/>
          <w:szCs w:val="22"/>
        </w:rPr>
        <w:t xml:space="preserve">studies across four themes to build a detailed, HR-focused account of AI's relationship with employee wellbeing and job security. Theme 1 established that the JD-R model and technostress theory provide complementary, well-validated lenses for this review, while also showing that 'AI adoption' is operationalised inconsistently across the literature in ways that any synthesis must account for. Theme 2 provided a qualified answer to each of the dissertation's three empirical sub-questions: AI adoption is associated with elevated job insecurity, but the relationship is moderated by exposure intensity, sector, and individual factors this insecurity appears to mediate AI's broader effect on psychological wellbeing, rather than wellbeing being affected directly  and organisational support, communicative leadership, and procedural fairness recur as the most consistently identified HR-level buffers, though rarely tested in combination . Theme 3 showed that several genuine </w:t>
      </w:r>
      <w:proofErr w:type="gramStart"/>
      <w:r>
        <w:rPr>
          <w:rFonts w:ascii="Calibri" w:eastAsia="Calibri" w:hAnsi="Calibri" w:cs="Calibri"/>
          <w:sz w:val="22"/>
          <w:szCs w:val="22"/>
        </w:rPr>
        <w:t>debates  augmentation</w:t>
      </w:r>
      <w:proofErr w:type="gramEnd"/>
      <w:r>
        <w:rPr>
          <w:rFonts w:ascii="Calibri" w:eastAsia="Calibri" w:hAnsi="Calibri" w:cs="Calibri"/>
          <w:sz w:val="22"/>
          <w:szCs w:val="22"/>
        </w:rPr>
        <w:t xml:space="preserve"> versus displacement, the distinctiveness of generative AI, and the generalisability of gig-economy findings to conventional employment complicate any simple narrative and have direct implications for how HR practitioners communicate about AI internally. Theme 4 consolidated five specific gaps arising from this synthesis: geographic concentration, fragmented HR-practice evidence, the underdeveloped generative AI literature, a shortage of longitudinal designs, and inconsistent measurement of AI adoption itself. Chapter 4 now turns to integrating these findings directly, proposing a conceptual framework that addresses the dissertation's overarching research question and using the gaps identified here to structure the recommendations developed in Chapter 5.</w:t>
      </w:r>
    </w:p>
    <w:p w14:paraId="763A92C6" w14:textId="77777777" w:rsidR="00012229" w:rsidRDefault="00012229">
      <w:pPr>
        <w:spacing w:after="180" w:line="276" w:lineRule="auto"/>
        <w:jc w:val="both"/>
        <w:rPr>
          <w:rFonts w:ascii="Calibri" w:eastAsia="Calibri" w:hAnsi="Calibri" w:cs="Calibri"/>
          <w:sz w:val="22"/>
          <w:szCs w:val="22"/>
        </w:rPr>
      </w:pPr>
    </w:p>
    <w:p w14:paraId="4F8AA08B" w14:textId="77777777" w:rsidR="00012229" w:rsidRDefault="00012229">
      <w:pPr>
        <w:spacing w:after="180" w:line="276" w:lineRule="auto"/>
        <w:jc w:val="both"/>
        <w:rPr>
          <w:rFonts w:ascii="Calibri" w:eastAsia="Calibri" w:hAnsi="Calibri" w:cs="Calibri"/>
          <w:sz w:val="22"/>
          <w:szCs w:val="22"/>
        </w:rPr>
      </w:pPr>
    </w:p>
    <w:p w14:paraId="2235AA03" w14:textId="77777777" w:rsidR="00012229" w:rsidRDefault="00012229">
      <w:pPr>
        <w:spacing w:after="180" w:line="276" w:lineRule="auto"/>
        <w:jc w:val="both"/>
        <w:rPr>
          <w:rFonts w:ascii="Calibri" w:eastAsia="Calibri" w:hAnsi="Calibri" w:cs="Calibri"/>
          <w:sz w:val="22"/>
          <w:szCs w:val="22"/>
        </w:rPr>
      </w:pPr>
    </w:p>
    <w:p w14:paraId="3FFBF9EF" w14:textId="77777777" w:rsidR="00A57F53" w:rsidRDefault="00A57F53">
      <w:pPr>
        <w:spacing w:after="180" w:line="276" w:lineRule="auto"/>
        <w:jc w:val="both"/>
        <w:rPr>
          <w:rFonts w:ascii="Calibri" w:eastAsia="Calibri" w:hAnsi="Calibri" w:cs="Calibri"/>
          <w:sz w:val="22"/>
          <w:szCs w:val="22"/>
        </w:rPr>
      </w:pPr>
    </w:p>
    <w:p w14:paraId="2C58C75C" w14:textId="356E3576" w:rsidR="00A57F53" w:rsidRDefault="00304F8E" w:rsidP="00A57F53">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lastRenderedPageBreak/>
        <w:t xml:space="preserve">                                                     </w:t>
      </w:r>
      <w:r w:rsidR="00380088">
        <w:rPr>
          <w:rFonts w:ascii="Calibri" w:eastAsia="Calibri" w:hAnsi="Calibri" w:cs="Calibri"/>
          <w:b/>
          <w:bCs/>
          <w:color w:val="1F4E79"/>
          <w:sz w:val="28"/>
          <w:szCs w:val="28"/>
        </w:rPr>
        <w:t xml:space="preserve"> </w:t>
      </w:r>
      <w:r w:rsidRPr="004768C0">
        <w:rPr>
          <w:rFonts w:ascii="Calibri" w:eastAsia="Calibri" w:hAnsi="Calibri" w:cs="Calibri"/>
          <w:b/>
          <w:bCs/>
          <w:color w:val="2F5496" w:themeColor="accent1" w:themeShade="BF"/>
          <w:sz w:val="28"/>
          <w:szCs w:val="28"/>
        </w:rPr>
        <w:t xml:space="preserve">Chapter </w:t>
      </w:r>
      <w:r w:rsidR="00546450" w:rsidRPr="004768C0">
        <w:rPr>
          <w:rFonts w:ascii="Calibri" w:eastAsia="Calibri" w:hAnsi="Calibri" w:cs="Calibri"/>
          <w:b/>
          <w:bCs/>
          <w:color w:val="2F5496" w:themeColor="accent1" w:themeShade="BF"/>
          <w:sz w:val="28"/>
          <w:szCs w:val="28"/>
        </w:rPr>
        <w:t>Four:</w:t>
      </w:r>
      <w:r w:rsidR="00A57F53" w:rsidRPr="004768C0">
        <w:rPr>
          <w:rFonts w:ascii="Calibri" w:eastAsia="Calibri" w:hAnsi="Calibri" w:cs="Calibri"/>
          <w:b/>
          <w:bCs/>
          <w:color w:val="2F5496" w:themeColor="accent1" w:themeShade="BF"/>
          <w:sz w:val="28"/>
          <w:szCs w:val="28"/>
        </w:rPr>
        <w:t xml:space="preserve"> Discussion</w:t>
      </w:r>
    </w:p>
    <w:p w14:paraId="073ED414" w14:textId="61CC1564" w:rsidR="007F26DA" w:rsidRPr="004768C0" w:rsidRDefault="007F26DA" w:rsidP="00A57F53">
      <w:pPr>
        <w:pStyle w:val="Heading1"/>
        <w:spacing w:before="360" w:after="200"/>
        <w:rPr>
          <w:b/>
          <w:bCs/>
          <w:color w:val="2F5496" w:themeColor="accent1" w:themeShade="BF"/>
          <w:sz w:val="24"/>
          <w:szCs w:val="24"/>
        </w:rPr>
      </w:pPr>
      <w:r w:rsidRPr="004768C0">
        <w:rPr>
          <w:rFonts w:ascii="Calibri" w:eastAsia="Calibri" w:hAnsi="Calibri" w:cs="Calibri"/>
          <w:b/>
          <w:bCs/>
          <w:color w:val="2F5496" w:themeColor="accent1" w:themeShade="BF"/>
          <w:sz w:val="24"/>
          <w:szCs w:val="24"/>
        </w:rPr>
        <w:t>4.1 INTRODUCTION</w:t>
      </w:r>
    </w:p>
    <w:p w14:paraId="64E4D6E2" w14:textId="77777777" w:rsidR="00A57F53" w:rsidRDefault="00A57F53" w:rsidP="00A57F53">
      <w:pPr>
        <w:spacing w:after="180" w:line="276" w:lineRule="auto"/>
        <w:jc w:val="both"/>
      </w:pPr>
      <w:r>
        <w:rPr>
          <w:rFonts w:ascii="Calibri" w:eastAsia="Calibri" w:hAnsi="Calibri" w:cs="Calibri"/>
          <w:sz w:val="22"/>
          <w:szCs w:val="22"/>
        </w:rPr>
        <w:t>Chapter 3 synthesised 38 studies across four themes. This chapter moves beyond synthesis to interpretation: it integrates the findings to directly answer the dissertation's overarching research question, compares studies that appear to disagree and explains why, considers what the findings mean for the theoretical frameworks introduced in Theme 1, and proposes a conceptual framework that consolidates the review's contribution. Where Chapter 3 was organised around themes (theoretical foundations, empirical findings, debates, gaps), this chapter is organised around the analytical tasks the guidance for this dissertation format specifies: integration, comparison, theoretical implication, gap resolution, and framework-building, in that order, ensuring the chapter builds systematically toward the conceptual framework it ultimately proposes.</w:t>
      </w:r>
    </w:p>
    <w:p w14:paraId="3A147A5D" w14:textId="622B6D35" w:rsidR="00A57F53" w:rsidRDefault="00A57F53" w:rsidP="00A57F53">
      <w:pPr>
        <w:pStyle w:val="Heading2"/>
        <w:spacing w:before="260" w:after="140"/>
      </w:pPr>
      <w:r>
        <w:rPr>
          <w:rFonts w:ascii="Calibri" w:eastAsia="Calibri" w:hAnsi="Calibri" w:cs="Calibri"/>
          <w:b/>
          <w:bCs/>
          <w:color w:val="1F4E79"/>
          <w:sz w:val="24"/>
          <w:szCs w:val="24"/>
        </w:rPr>
        <w:t>4.</w:t>
      </w:r>
      <w:r w:rsidR="007F26DA">
        <w:rPr>
          <w:rFonts w:ascii="Calibri" w:eastAsia="Calibri" w:hAnsi="Calibri" w:cs="Calibri"/>
          <w:b/>
          <w:bCs/>
          <w:color w:val="1F4E79"/>
          <w:sz w:val="24"/>
          <w:szCs w:val="24"/>
        </w:rPr>
        <w:t>2</w:t>
      </w:r>
      <w:r>
        <w:rPr>
          <w:rFonts w:ascii="Calibri" w:eastAsia="Calibri" w:hAnsi="Calibri" w:cs="Calibri"/>
          <w:b/>
          <w:bCs/>
          <w:color w:val="1F4E79"/>
          <w:sz w:val="24"/>
          <w:szCs w:val="24"/>
        </w:rPr>
        <w:t xml:space="preserve"> Integration of Findings: Answering the Overarching Research Question</w:t>
      </w:r>
    </w:p>
    <w:p w14:paraId="3EA70898" w14:textId="66851164" w:rsidR="00A57F53" w:rsidRDefault="00A57F53" w:rsidP="00A57F53">
      <w:pPr>
        <w:spacing w:after="180" w:line="276" w:lineRule="auto"/>
        <w:jc w:val="both"/>
      </w:pPr>
      <w:r>
        <w:rPr>
          <w:rFonts w:ascii="Calibri" w:eastAsia="Calibri" w:hAnsi="Calibri" w:cs="Calibri"/>
          <w:sz w:val="22"/>
          <w:szCs w:val="22"/>
        </w:rPr>
        <w:t>The overarching research question asked what the existing literature reveals about how AI adoption affects employee wellbeing and perceived job security, and what role HR practices can play in mitigating adverse effects. Integrating the evidence synthesised in Chapter 3, this dissertation's answer is that AI adoption affects employee wellbeing indirectly rather than directly, through a two-step pathway: AI adoption first elevates job insecurity and technostress (Sub-theme 3.2.1; Ragu-Nathan et al., 2008), and it is this elevated insecurity, not AI exposure per se, that appears to drive the downstream reduction in psychological wellbeing documented most rigorously by Kim, Kim and Lee (2025). Critically, this pathway is not fixed: its strength is substantially moderated by a bundle of HR practices organisational support, communicative and ethical leadership, procedural fairness, and co-skilling investment that recur across Sub-theme 3.2.3 as the factors most consistently associated with a weaker, more manageable version of this pathway (Zhang et al., 2025; Kim, Kim and Lee, 2025; Li et al., 2023).</w:t>
      </w:r>
    </w:p>
    <w:p w14:paraId="29017BA6" w14:textId="77777777" w:rsidR="00A57F53" w:rsidRDefault="00A57F53" w:rsidP="00A57F53">
      <w:pPr>
        <w:spacing w:after="180" w:line="276" w:lineRule="auto"/>
        <w:jc w:val="both"/>
      </w:pPr>
      <w:r>
        <w:rPr>
          <w:rFonts w:ascii="Calibri" w:eastAsia="Calibri" w:hAnsi="Calibri" w:cs="Calibri"/>
          <w:sz w:val="22"/>
          <w:szCs w:val="22"/>
        </w:rPr>
        <w:t>This integrated answer has an important implication that is easy to overlook if the literature is read study-by-study rather than synthesised thematically: HR is not a bystander to AI's psychological effects on employees, nor merely a mitigator of harm after the fact, but an active determinant of whether the AI-insecurity-wellbeing pathway is triggered strongly or weakly in the first place. This reframes the practical question facing organisations away from 'should we adopt AI' (a question largely settled by competitive necessity, as the industry evidence in Section 2.1 and Sub-theme 3.3.1 indicates) and towards 'which HR practices should accompany AI adoption', which is the question this dissertation's Implications chapter addresses directly.</w:t>
      </w:r>
    </w:p>
    <w:p w14:paraId="38F14D45" w14:textId="7DC8AFE6" w:rsidR="00A57F53" w:rsidRDefault="00A57F53" w:rsidP="00A57F53">
      <w:pPr>
        <w:spacing w:after="180" w:line="276" w:lineRule="auto"/>
        <w:jc w:val="both"/>
      </w:pPr>
      <w:r>
        <w:rPr>
          <w:rFonts w:ascii="Calibri" w:eastAsia="Calibri" w:hAnsi="Calibri" w:cs="Calibri"/>
          <w:sz w:val="22"/>
          <w:szCs w:val="22"/>
        </w:rPr>
        <w:t>This integrated answer also clarifies the relationship between the review's four sub-questions. RQ (perceptions of job security) and</w:t>
      </w:r>
      <w:r w:rsidR="001A3DA8">
        <w:rPr>
          <w:rFonts w:ascii="Calibri" w:eastAsia="Calibri" w:hAnsi="Calibri" w:cs="Calibri"/>
          <w:sz w:val="22"/>
          <w:szCs w:val="22"/>
        </w:rPr>
        <w:t xml:space="preserve"> </w:t>
      </w:r>
      <w:r>
        <w:rPr>
          <w:rFonts w:ascii="Calibri" w:eastAsia="Calibri" w:hAnsi="Calibri" w:cs="Calibri"/>
          <w:sz w:val="22"/>
          <w:szCs w:val="22"/>
        </w:rPr>
        <w:t>(the insecurity-wellbeing relationship) are, on this synthesis, not two separate findings but two stages of a single causal chain; treating them as independent questions, as much of the underlying literature implicitly does by measuring only one or the other, risks understating how tightly coupled these outcomes are in practice. RQ (effective HR interventions) then operates on this combined chain as a whole, rather than on either stage individually, which is consistent with the review's finding in Sub-theme 3.2.3 that HR practices such as organisational support appear to work primarily by reducing insecurity itself, rather than by directly improving wellbeing through some separate mechanism unconnected to security perceptions.</w:t>
      </w:r>
    </w:p>
    <w:p w14:paraId="1C2E323A" w14:textId="7E0CC17E" w:rsidR="00A57F53" w:rsidRDefault="00A57F53" w:rsidP="00A57F53">
      <w:pPr>
        <w:pStyle w:val="Heading2"/>
        <w:spacing w:before="260" w:after="140"/>
      </w:pPr>
      <w:r>
        <w:rPr>
          <w:rFonts w:ascii="Calibri" w:eastAsia="Calibri" w:hAnsi="Calibri" w:cs="Calibri"/>
          <w:b/>
          <w:bCs/>
          <w:color w:val="1F4E79"/>
          <w:sz w:val="24"/>
          <w:szCs w:val="24"/>
        </w:rPr>
        <w:t>4.</w:t>
      </w:r>
      <w:r w:rsidR="007F26DA">
        <w:rPr>
          <w:rFonts w:ascii="Calibri" w:eastAsia="Calibri" w:hAnsi="Calibri" w:cs="Calibri"/>
          <w:b/>
          <w:bCs/>
          <w:color w:val="1F4E79"/>
          <w:sz w:val="24"/>
          <w:szCs w:val="24"/>
        </w:rPr>
        <w:t>3</w:t>
      </w:r>
      <w:r>
        <w:rPr>
          <w:rFonts w:ascii="Calibri" w:eastAsia="Calibri" w:hAnsi="Calibri" w:cs="Calibri"/>
          <w:b/>
          <w:bCs/>
          <w:color w:val="1F4E79"/>
          <w:sz w:val="24"/>
          <w:szCs w:val="24"/>
        </w:rPr>
        <w:t xml:space="preserve"> Comparison Between Studies: Where the Literature Agrees and Disagrees</w:t>
      </w:r>
    </w:p>
    <w:p w14:paraId="33498C99" w14:textId="77777777" w:rsidR="00A57F53" w:rsidRDefault="00A57F53" w:rsidP="00A57F53">
      <w:pPr>
        <w:spacing w:after="180" w:line="276" w:lineRule="auto"/>
        <w:jc w:val="both"/>
      </w:pPr>
      <w:r>
        <w:rPr>
          <w:rFonts w:ascii="Calibri" w:eastAsia="Calibri" w:hAnsi="Calibri" w:cs="Calibri"/>
          <w:sz w:val="22"/>
          <w:szCs w:val="22"/>
        </w:rPr>
        <w:lastRenderedPageBreak/>
        <w:t>A close comparison of the studies reviewed reveals more agreement than disagreement on the core AI-insecurity-wellbeing pathway, but genuine divergence on its boundary conditions. On the core pathway, Kim, Kim and Lee's (2025) South Korean sample, Bibi, Tan and Yao's (2025) Pakistani sample, and Sha and Chai's (2025) and Fu and Zhang's (2026) Chinese samples all report a version of the same basic relationship despite substantial differences in occupation, national context, and measurement instrument, which is a reasonably strong form of convergent validity for the pathway itself. Where the literature disagrees is on moderators and functional form. Fu and Zhang (2026) report a curvilinear, threshold-based relationship between AI intensity and insecurity, while Sha and Chai (2025) report a more straightforward linear mediation via job crafting; these are not necessarily contradictory findings, since a threshold effect and a linear mediating mechanism can coexist at different stages of the same underlying process, but the studies do not test for both simultaneously, leaving the precise functional form of the relationship unresolved.</w:t>
      </w:r>
    </w:p>
    <w:p w14:paraId="27A3A5E5" w14:textId="77777777" w:rsidR="00A57F53" w:rsidRDefault="00A57F53" w:rsidP="00A57F53">
      <w:pPr>
        <w:spacing w:after="180" w:line="276" w:lineRule="auto"/>
        <w:jc w:val="both"/>
      </w:pPr>
      <w:r>
        <w:rPr>
          <w:rFonts w:ascii="Calibri" w:eastAsia="Calibri" w:hAnsi="Calibri" w:cs="Calibri"/>
          <w:sz w:val="22"/>
          <w:szCs w:val="22"/>
        </w:rPr>
        <w:t>A more substantive disagreement concerns the ambidexterity finding in Bibi, Tan and Yao (2025), where a factor generally understood as organisationally positive (strong exploration-exploitation balance) unexpectedly weakened AI's positive wellbeing effect. This sits awkwardly alongside Zhang et al.'s (2025) finding that organisational support (a related but distinct organisational-level construct) straightforwardly strengthens positive outcomes. One plausible explanation, not tested directly in either study, is that ambidexterity and organisational support operate through different mechanisms: organisational support may signal stability and investment in employees, while high ambidexterity may signal organisational restlessness and continuous change, which could plausibly increase rather than decrease uncertainty even when resources are objectively available. This is precisely the kind of contradiction that a synthesis, rather than a single study, is positioned to surface, and it represents a genuine unresolved tension in the literature rather than a methodological artefact of either study.</w:t>
      </w:r>
    </w:p>
    <w:p w14:paraId="4C2013A3" w14:textId="77777777" w:rsidR="00A57F53" w:rsidRDefault="00A57F53" w:rsidP="00A57F53">
      <w:pPr>
        <w:spacing w:after="180" w:line="276" w:lineRule="auto"/>
        <w:jc w:val="both"/>
      </w:pPr>
      <w:r>
        <w:rPr>
          <w:rFonts w:ascii="Calibri" w:eastAsia="Calibri" w:hAnsi="Calibri" w:cs="Calibri"/>
          <w:sz w:val="22"/>
          <w:szCs w:val="22"/>
        </w:rPr>
        <w:t>A further comparison worth drawing out concerns organisational-level versus individual-level theorising. Pillai and Sivathanu's (2020) Technology-Organization-Environment (TOE) and Task-Technology-Fit framework, developed to explain organisational AI adoption in talent acquisition specifically, operates at a different level of analysis from the predominantly individual-level JD-R and technostress theorising that structures most of Theme 2. The two perspectives are complementary rather than competing: Pillai and Sivathanu's (2020) organisational-readiness factors (top management support, competitive pressure) plausibly determine whether and how AI is adopted in the first place, which then feeds into the individual-level demands-and-resources process this dissertation has focused on. Few studies in this review bridge these two levels of analysis explicitly, which Section 4.4 identifies as a specific limitation of the current evidence base.</w:t>
      </w:r>
    </w:p>
    <w:p w14:paraId="059E3F11" w14:textId="20672A4D" w:rsidR="00A57F53" w:rsidRDefault="00A57F53" w:rsidP="00A57F53">
      <w:pPr>
        <w:spacing w:after="180" w:line="276" w:lineRule="auto"/>
        <w:jc w:val="both"/>
      </w:pPr>
      <w:r>
        <w:rPr>
          <w:rFonts w:ascii="Calibri" w:eastAsia="Calibri" w:hAnsi="Calibri" w:cs="Calibri"/>
          <w:sz w:val="22"/>
          <w:szCs w:val="22"/>
        </w:rPr>
        <w:t>A final point of comparison concerns methodological approach rather than substantive finding. The studies reviewed in Chapter 3 span single time-point surveys (the majority), multi-wave designs (Kim, Kim and Lee, 2025; Sha and Chai, 2025), randomised experiments (Noy and Zhang, 2023; Jia et al., 2024), systematic and bibliometric reviews (</w:t>
      </w:r>
      <w:proofErr w:type="spellStart"/>
      <w:r>
        <w:rPr>
          <w:rFonts w:ascii="Calibri" w:eastAsia="Calibri" w:hAnsi="Calibri" w:cs="Calibri"/>
          <w:sz w:val="22"/>
          <w:szCs w:val="22"/>
        </w:rPr>
        <w:t>Soulami</w:t>
      </w:r>
      <w:proofErr w:type="spellEnd"/>
      <w:r>
        <w:rPr>
          <w:rFonts w:ascii="Calibri" w:eastAsia="Calibri" w:hAnsi="Calibri" w:cs="Calibri"/>
          <w:sz w:val="22"/>
          <w:szCs w:val="22"/>
        </w:rPr>
        <w:t xml:space="preserve">, Benchekroun and </w:t>
      </w:r>
      <w:proofErr w:type="spellStart"/>
      <w:r>
        <w:rPr>
          <w:rFonts w:ascii="Calibri" w:eastAsia="Calibri" w:hAnsi="Calibri" w:cs="Calibri"/>
          <w:sz w:val="22"/>
          <w:szCs w:val="22"/>
        </w:rPr>
        <w:t>Galiulina</w:t>
      </w:r>
      <w:proofErr w:type="spellEnd"/>
      <w:r>
        <w:rPr>
          <w:rFonts w:ascii="Calibri" w:eastAsia="Calibri" w:hAnsi="Calibri" w:cs="Calibri"/>
          <w:sz w:val="22"/>
          <w:szCs w:val="22"/>
        </w:rPr>
        <w:t xml:space="preserve">, 2024; </w:t>
      </w:r>
      <w:proofErr w:type="spellStart"/>
      <w:r>
        <w:rPr>
          <w:rFonts w:ascii="Calibri" w:eastAsia="Calibri" w:hAnsi="Calibri" w:cs="Calibri"/>
          <w:sz w:val="22"/>
          <w:szCs w:val="22"/>
        </w:rPr>
        <w:t>Cramarenco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Burcă</w:t>
      </w:r>
      <w:proofErr w:type="spellEnd"/>
      <w:r>
        <w:rPr>
          <w:rFonts w:ascii="Calibri" w:eastAsia="Calibri" w:hAnsi="Calibri" w:cs="Calibri"/>
          <w:sz w:val="22"/>
          <w:szCs w:val="22"/>
        </w:rPr>
        <w:t>-Voicu and Dabija, 2023), and, in Ye et al.'s (2024) case, a fuzzy-set qualitative comparative analysis (</w:t>
      </w:r>
      <w:proofErr w:type="spellStart"/>
      <w:r>
        <w:rPr>
          <w:rFonts w:ascii="Calibri" w:eastAsia="Calibri" w:hAnsi="Calibri" w:cs="Calibri"/>
          <w:sz w:val="22"/>
          <w:szCs w:val="22"/>
        </w:rPr>
        <w:t>fsQCA</w:t>
      </w:r>
      <w:proofErr w:type="spellEnd"/>
      <w:r>
        <w:rPr>
          <w:rFonts w:ascii="Calibri" w:eastAsia="Calibri" w:hAnsi="Calibri" w:cs="Calibri"/>
          <w:sz w:val="22"/>
          <w:szCs w:val="22"/>
        </w:rPr>
        <w:t>) that identifies configurations of conditions rather than isolated linear effects. This methodological diversity is a genuine strength of the evidence base considered as a whole</w:t>
      </w:r>
      <w:r w:rsidR="001A3DA8">
        <w:rPr>
          <w:rFonts w:ascii="Calibri" w:eastAsia="Calibri" w:hAnsi="Calibri" w:cs="Calibri"/>
          <w:sz w:val="22"/>
          <w:szCs w:val="22"/>
        </w:rPr>
        <w:t xml:space="preserve"> </w:t>
      </w:r>
      <w:r>
        <w:rPr>
          <w:rFonts w:ascii="Calibri" w:eastAsia="Calibri" w:hAnsi="Calibri" w:cs="Calibri"/>
          <w:sz w:val="22"/>
          <w:szCs w:val="22"/>
        </w:rPr>
        <w:t xml:space="preserve">the core AI-insecurity-wellbeing pathway is not an artefact of any single method  but it also complicates direct comparison, since a curvilinear finding from a two-wave survey (Fu and Zhang, 2026) and a configurational finding from </w:t>
      </w:r>
      <w:proofErr w:type="spellStart"/>
      <w:r>
        <w:rPr>
          <w:rFonts w:ascii="Calibri" w:eastAsia="Calibri" w:hAnsi="Calibri" w:cs="Calibri"/>
          <w:sz w:val="22"/>
          <w:szCs w:val="22"/>
        </w:rPr>
        <w:t>fsQCA</w:t>
      </w:r>
      <w:proofErr w:type="spellEnd"/>
      <w:r>
        <w:rPr>
          <w:rFonts w:ascii="Calibri" w:eastAsia="Calibri" w:hAnsi="Calibri" w:cs="Calibri"/>
          <w:sz w:val="22"/>
          <w:szCs w:val="22"/>
        </w:rPr>
        <w:t xml:space="preserve"> (Ye et al., 2024) are not expressed in directly comparable statistical terms, even where their substantive conclusions (that multiple factors combine to shape outcomes, rather than acting in simple isolation) point in a similar direction.</w:t>
      </w:r>
    </w:p>
    <w:p w14:paraId="22E62367" w14:textId="01CEC8E8" w:rsidR="00A57F53" w:rsidRDefault="00A57F53" w:rsidP="00A57F53">
      <w:pPr>
        <w:spacing w:after="180" w:line="276" w:lineRule="auto"/>
        <w:jc w:val="both"/>
      </w:pPr>
      <w:r>
        <w:rPr>
          <w:rFonts w:ascii="Calibri" w:eastAsia="Calibri" w:hAnsi="Calibri" w:cs="Calibri"/>
          <w:sz w:val="22"/>
          <w:szCs w:val="22"/>
        </w:rPr>
        <w:lastRenderedPageBreak/>
        <w:t xml:space="preserve">A final comparison worth drawing out concerns the employee-voice debate introduced in Sub-theme 3.3.4. Ullrich et al.'s (2023) and Ye et al.'s (2024) findings that participation is necessary but not sufficient for positive outcomes sit alongside, and help explain, the fairness findings from Sub-theme 3.2.3: </w:t>
      </w:r>
      <w:proofErr w:type="spellStart"/>
      <w:r>
        <w:rPr>
          <w:rFonts w:ascii="Calibri" w:eastAsia="Calibri" w:hAnsi="Calibri" w:cs="Calibri"/>
          <w:sz w:val="22"/>
          <w:szCs w:val="22"/>
        </w:rPr>
        <w:t>Köchling</w:t>
      </w:r>
      <w:proofErr w:type="spellEnd"/>
      <w:r>
        <w:rPr>
          <w:rFonts w:ascii="Calibri" w:eastAsia="Calibri" w:hAnsi="Calibri" w:cs="Calibri"/>
          <w:sz w:val="22"/>
          <w:szCs w:val="22"/>
        </w:rPr>
        <w:t xml:space="preserve"> and Wehner (2020) and Mirowska and </w:t>
      </w:r>
      <w:proofErr w:type="spellStart"/>
      <w:r>
        <w:rPr>
          <w:rFonts w:ascii="Calibri" w:eastAsia="Calibri" w:hAnsi="Calibri" w:cs="Calibri"/>
          <w:sz w:val="22"/>
          <w:szCs w:val="22"/>
        </w:rPr>
        <w:t>Mesnet</w:t>
      </w:r>
      <w:proofErr w:type="spellEnd"/>
      <w:r>
        <w:rPr>
          <w:rFonts w:ascii="Calibri" w:eastAsia="Calibri" w:hAnsi="Calibri" w:cs="Calibri"/>
          <w:sz w:val="22"/>
          <w:szCs w:val="22"/>
        </w:rPr>
        <w:t xml:space="preserve"> (2022) both show that procedural fairness matters independently of whether an AI system's substantive decisions are accurate, and Ullrich et al.'s (2023) participation findings suggest one concrete mechanism through which that procedural fairness can be built involving employees in the process itself, not only communicating decisions after they are made. This dissertation's synthesis therefore treats employee participation not as a separate, fifth HR lever alongside the three identified in Sub-theme 3.2.3, but as a specific implementation mechanism through which procedural fairness and organisational support are made tangible to employees, a distinction that sharpens the practical recommendations developed in Chapter 5.</w:t>
      </w:r>
    </w:p>
    <w:p w14:paraId="71E8F10B" w14:textId="102F6B48" w:rsidR="00A57F53" w:rsidRDefault="00A57F53" w:rsidP="00A57F53">
      <w:pPr>
        <w:pStyle w:val="Heading2"/>
        <w:spacing w:before="260" w:after="140"/>
      </w:pPr>
      <w:r>
        <w:rPr>
          <w:rFonts w:ascii="Calibri" w:eastAsia="Calibri" w:hAnsi="Calibri" w:cs="Calibri"/>
          <w:b/>
          <w:bCs/>
          <w:color w:val="1F4E79"/>
          <w:sz w:val="24"/>
          <w:szCs w:val="24"/>
        </w:rPr>
        <w:t>4.</w:t>
      </w:r>
      <w:r w:rsidR="007F26DA">
        <w:rPr>
          <w:rFonts w:ascii="Calibri" w:eastAsia="Calibri" w:hAnsi="Calibri" w:cs="Calibri"/>
          <w:b/>
          <w:bCs/>
          <w:color w:val="1F4E79"/>
          <w:sz w:val="24"/>
          <w:szCs w:val="24"/>
        </w:rPr>
        <w:t>4</w:t>
      </w:r>
      <w:r>
        <w:rPr>
          <w:rFonts w:ascii="Calibri" w:eastAsia="Calibri" w:hAnsi="Calibri" w:cs="Calibri"/>
          <w:b/>
          <w:bCs/>
          <w:color w:val="1F4E79"/>
          <w:sz w:val="24"/>
          <w:szCs w:val="24"/>
        </w:rPr>
        <w:t xml:space="preserve"> Theoretical Implications: Refining the JD-R and Technostress Frameworks</w:t>
      </w:r>
    </w:p>
    <w:p w14:paraId="10742FE8" w14:textId="0756C6C8" w:rsidR="00A57F53" w:rsidRDefault="00A57F53" w:rsidP="00A57F53">
      <w:pPr>
        <w:spacing w:after="180" w:line="276" w:lineRule="auto"/>
        <w:jc w:val="both"/>
      </w:pPr>
      <w:r>
        <w:rPr>
          <w:rFonts w:ascii="Calibri" w:eastAsia="Calibri" w:hAnsi="Calibri" w:cs="Calibri"/>
          <w:sz w:val="22"/>
          <w:szCs w:val="22"/>
        </w:rPr>
        <w:t>The synthesis in Chapter 3 both supports and refines the two guiding theoretical frameworks. The JD-R model's core logic that demands generate strain while resources generate motivation, with resources capable of buffering demands is well supported by the accumulated evidence, particularly the direct buffering effects reported by Fu and Zhang (2026) and Li et al. (2023). However, the AI context also surfaces a refinement the original model does not fully anticipate: the curvilinear, threshold-based relationship between AI intensity and insecurity (Fu and Zhang, 2026) suggests that at least one 'demand' in this context does not behave as a simple monotonic stressor, but rather shifts character at different levels of exposure, functioning more like a resource at moderate levels before reverting to a demand at high levels. This threshold dynamic is not well captured by the standard JD-R distinction between demands and resources as separate categories, and represents a genuine, AI-specific theoretical contribution this dissertation's synthesis brings into focus.</w:t>
      </w:r>
    </w:p>
    <w:p w14:paraId="545E82F7" w14:textId="77777777" w:rsidR="00A57F53" w:rsidRDefault="00A57F53" w:rsidP="00A57F53">
      <w:pPr>
        <w:spacing w:after="180" w:line="276" w:lineRule="auto"/>
        <w:jc w:val="both"/>
      </w:pPr>
      <w:r>
        <w:rPr>
          <w:rFonts w:ascii="Calibri" w:eastAsia="Calibri" w:hAnsi="Calibri" w:cs="Calibri"/>
          <w:sz w:val="22"/>
          <w:szCs w:val="22"/>
        </w:rPr>
        <w:t>Technostress theory is similarly extended by this review's synthesis. Ragu-Nathan et al.'s (2008) original conceptualisation of techno-insecurity was developed for general information-system use; the evidence synthesised in Theme 2 indicates that AI-specific technostress additionally interacts with the psychological contract between employee and employer, a connection made explicit in recent work linking technostress directly to psychological contract violation and resistance to organisational change (Shin and Shin, 2024). This suggests that AI-related techno-insecurity may function not only as an individual stressor in the original technostress sense, but also as a signal employees use to reassess the fairness and durability of their broader employment relationship, a theoretical link between technostress theory and psychological contract theory that the original five-creator model does not explicitly incorporate, and that future research designed specifically to test this connection could usefully develop further.</w:t>
      </w:r>
    </w:p>
    <w:p w14:paraId="48D31399" w14:textId="77777777" w:rsidR="00A57F53" w:rsidRDefault="00A57F53" w:rsidP="00A57F53">
      <w:pPr>
        <w:spacing w:after="180" w:line="276" w:lineRule="auto"/>
        <w:jc w:val="both"/>
      </w:pPr>
      <w:r>
        <w:rPr>
          <w:rFonts w:ascii="Calibri" w:eastAsia="Calibri" w:hAnsi="Calibri" w:cs="Calibri"/>
          <w:sz w:val="22"/>
          <w:szCs w:val="22"/>
        </w:rPr>
        <w:t xml:space="preserve">A further theoretical implication follows from the organisational-versus-individual level distinction raised in Section 4.2. Pillai and Sivathanu's (2020) TOE/TTF framework and the JD-R/technostress lens used throughout this review both claim to explain AI-related outcomes, yet they do so at different units of analysis and with different dependent variables (organisational adoption decisions versus individual wellbeing outcomes). This dissertation's synthesis suggests these are not competing explanations of the same phenomenon but sequential stages of a single organisational process: organisational-level readiness factors (top management support, competitive pressure) plausibly determine whether, how quickly, and how extensively AI is adopted, which then determines the intensity of AI-related job demands individual employees experience, which in turn activates the JD-R and technostress mechanisms synthesised in Theme 2. Explicitly theorising this multi-level chain, rather than treating organisational adoption and individual </w:t>
      </w:r>
      <w:r>
        <w:rPr>
          <w:rFonts w:ascii="Calibri" w:eastAsia="Calibri" w:hAnsi="Calibri" w:cs="Calibri"/>
          <w:sz w:val="22"/>
          <w:szCs w:val="22"/>
        </w:rPr>
        <w:lastRenderedPageBreak/>
        <w:t>wellbeing as separate literatures, is one of this dissertation's clearer theoretical contributions, and directly motivates the boundary-conditions component of the conceptual framework proposed in Section 4.5.</w:t>
      </w:r>
    </w:p>
    <w:p w14:paraId="64A3B490" w14:textId="65C3646C" w:rsidR="00A57F53" w:rsidRDefault="00A57F53" w:rsidP="00A57F53">
      <w:pPr>
        <w:pStyle w:val="Heading2"/>
        <w:spacing w:before="260" w:after="140"/>
      </w:pPr>
      <w:r>
        <w:rPr>
          <w:rFonts w:ascii="Calibri" w:eastAsia="Calibri" w:hAnsi="Calibri" w:cs="Calibri"/>
          <w:b/>
          <w:bCs/>
          <w:color w:val="1F4E79"/>
          <w:sz w:val="24"/>
          <w:szCs w:val="24"/>
        </w:rPr>
        <w:t>4.</w:t>
      </w:r>
      <w:r w:rsidR="007F26DA">
        <w:rPr>
          <w:rFonts w:ascii="Calibri" w:eastAsia="Calibri" w:hAnsi="Calibri" w:cs="Calibri"/>
          <w:b/>
          <w:bCs/>
          <w:color w:val="1F4E79"/>
          <w:sz w:val="24"/>
          <w:szCs w:val="24"/>
        </w:rPr>
        <w:t xml:space="preserve">5 </w:t>
      </w:r>
      <w:r>
        <w:rPr>
          <w:rFonts w:ascii="Calibri" w:eastAsia="Calibri" w:hAnsi="Calibri" w:cs="Calibri"/>
          <w:b/>
          <w:bCs/>
          <w:color w:val="1F4E79"/>
          <w:sz w:val="24"/>
          <w:szCs w:val="24"/>
        </w:rPr>
        <w:t xml:space="preserve">Identification of Gaps </w:t>
      </w:r>
    </w:p>
    <w:p w14:paraId="7752EC4C" w14:textId="77777777" w:rsidR="00A57F53" w:rsidRDefault="00A57F53" w:rsidP="00A57F53">
      <w:pPr>
        <w:spacing w:after="180" w:line="276" w:lineRule="auto"/>
        <w:jc w:val="both"/>
      </w:pPr>
      <w:r>
        <w:rPr>
          <w:rFonts w:ascii="Calibri" w:eastAsia="Calibri" w:hAnsi="Calibri" w:cs="Calibri"/>
          <w:sz w:val="22"/>
          <w:szCs w:val="22"/>
        </w:rPr>
        <w:t>Chapter 3 (Section 3.4) identified five specific gaps: geographic and sectoral concentration, fragmented HR-practice evidence, an underdeveloped generative AI literature, a shortage of longitudinal designs, and inconsistent measurement of AI adoption. This dissertation, as an extended literature review rather than a primary empirical study, cannot resolve these gaps through new data collection; what it can and does provide is a systematic mapping of exactly where the gaps lie, which is a necessary precondition for any future primary study seeking to address them, and a synthesised account of what a coherent HR practice bundle plausibly looks like, integrated in Section 4.5 below. The comparison in Section 4.2 further sharpens the second gap specifically: it is not merely that HR practices are studied in isolation, but that they appear to operate through at least two distinguishable mechanisms (signalling stability, as with organisational support, versus generating perceived change intensity, as with ambidexterity) that a combined-bundle study would need to disentangle rather than assume are uniformly positive.</w:t>
      </w:r>
    </w:p>
    <w:p w14:paraId="434026B5" w14:textId="1CEB0CB0" w:rsidR="00A57F53" w:rsidRDefault="00A57F53" w:rsidP="00A57F53">
      <w:pPr>
        <w:spacing w:after="180" w:line="276" w:lineRule="auto"/>
        <w:jc w:val="both"/>
      </w:pPr>
      <w:r>
        <w:rPr>
          <w:rFonts w:ascii="Calibri" w:eastAsia="Calibri" w:hAnsi="Calibri" w:cs="Calibri"/>
          <w:sz w:val="22"/>
          <w:szCs w:val="22"/>
        </w:rPr>
        <w:t xml:space="preserve">These gaps also have implications for the confidence with which this dissertation's own integrated answer (Section 4.1) should be held. Because the strongest causal evidence (Kim, Kim and Lee's, 2025, three-wave design) comes from a single national context, the mediating pathway this dissertation proposes as </w:t>
      </w:r>
      <w:proofErr w:type="gramStart"/>
      <w:r>
        <w:rPr>
          <w:rFonts w:ascii="Calibri" w:eastAsia="Calibri" w:hAnsi="Calibri" w:cs="Calibri"/>
          <w:sz w:val="22"/>
          <w:szCs w:val="22"/>
        </w:rPr>
        <w:t>central  AI</w:t>
      </w:r>
      <w:proofErr w:type="gramEnd"/>
      <w:r>
        <w:rPr>
          <w:rFonts w:ascii="Calibri" w:eastAsia="Calibri" w:hAnsi="Calibri" w:cs="Calibri"/>
          <w:sz w:val="22"/>
          <w:szCs w:val="22"/>
        </w:rPr>
        <w:t xml:space="preserve"> adoption affecting wellbeing primarily through insecurity rather than directly should be understood as the best-supported interpretation of the current evidence rather than a settled empirical fact. This qualification does not weaken the practical recommendations developed in Chapter 5, which are deliberately framed as evidence-based rather than evidence-proven, but it does mean the conceptual framework proposed below should be read as this dissertation's synthesised contribution to an active, unsettled debate, not as a summary of consensus.</w:t>
      </w:r>
    </w:p>
    <w:p w14:paraId="0F19B46A" w14:textId="77777777" w:rsidR="00A57F53" w:rsidRDefault="00A57F53" w:rsidP="00A57F53">
      <w:pPr>
        <w:spacing w:after="180" w:line="276" w:lineRule="auto"/>
        <w:jc w:val="both"/>
      </w:pPr>
      <w:r>
        <w:rPr>
          <w:rFonts w:ascii="Calibri" w:eastAsia="Calibri" w:hAnsi="Calibri" w:cs="Calibri"/>
          <w:sz w:val="22"/>
          <w:szCs w:val="22"/>
        </w:rPr>
        <w:t>A sixth gap, not identified in Chapter 3 but emerging directly from the comparison in Section 4.2, concerns the psychological-contract connection this dissertation proposes in Section 4.3. Shin and Shin's (2024) study establishes that technostress predicts psychological contract violation and resistance to organisational change, but this study was not designed with AI-specific technostress in mind and does not test whether AI-related job insecurity specifically (as opposed to general technostress) operates through the same psychological-contract mechanism. This dissertation's synthesis treats this as a plausible theoretical extension rather than an established finding, and it is listed here as a gap precisely because closing it would require a study designed to test the AI-specific version of this relationship directly, rather than inferring it, as this review has done, from two adjacent but distinct literatures.</w:t>
      </w:r>
    </w:p>
    <w:p w14:paraId="682B04FF" w14:textId="24E82A11" w:rsidR="00A57F53" w:rsidRDefault="00A57F53" w:rsidP="00A57F53">
      <w:pPr>
        <w:pStyle w:val="Heading2"/>
        <w:spacing w:before="260" w:after="140"/>
      </w:pPr>
      <w:r>
        <w:rPr>
          <w:rFonts w:ascii="Calibri" w:eastAsia="Calibri" w:hAnsi="Calibri" w:cs="Calibri"/>
          <w:b/>
          <w:bCs/>
          <w:color w:val="1F4E79"/>
          <w:sz w:val="24"/>
          <w:szCs w:val="24"/>
        </w:rPr>
        <w:t>4.</w:t>
      </w:r>
      <w:r w:rsidR="007F26DA">
        <w:rPr>
          <w:rFonts w:ascii="Calibri" w:eastAsia="Calibri" w:hAnsi="Calibri" w:cs="Calibri"/>
          <w:b/>
          <w:bCs/>
          <w:color w:val="1F4E79"/>
          <w:sz w:val="24"/>
          <w:szCs w:val="24"/>
        </w:rPr>
        <w:t>6</w:t>
      </w:r>
      <w:r>
        <w:rPr>
          <w:rFonts w:ascii="Calibri" w:eastAsia="Calibri" w:hAnsi="Calibri" w:cs="Calibri"/>
          <w:b/>
          <w:bCs/>
          <w:color w:val="1F4E79"/>
          <w:sz w:val="24"/>
          <w:szCs w:val="24"/>
        </w:rPr>
        <w:t xml:space="preserve"> A Proposed Conceptual Framework</w:t>
      </w:r>
    </w:p>
    <w:p w14:paraId="556B9735" w14:textId="77777777" w:rsidR="00A57F53" w:rsidRDefault="00A57F53" w:rsidP="00A57F53">
      <w:pPr>
        <w:spacing w:after="180" w:line="276" w:lineRule="auto"/>
        <w:jc w:val="both"/>
      </w:pPr>
      <w:r>
        <w:rPr>
          <w:rFonts w:ascii="Calibri" w:eastAsia="Calibri" w:hAnsi="Calibri" w:cs="Calibri"/>
          <w:sz w:val="22"/>
          <w:szCs w:val="22"/>
        </w:rPr>
        <w:t xml:space="preserve">Building on the integration above, Figure 4 proposes a conceptual framework synthesising this dissertation's findings. AI adoption, operationalised in any of the four ways identified in Sub-theme 3.1.0, is shown feeding into a central mediating construct of AI-related job insecurity and technostress, which in turn affects employee psychological wellbeing. This core pathway is shown as moderated by an HR practice bundle (organisational support, communicative and ethical leadership, procedural fairness, and co-skilling), consistent with the convergent evidence in Sub-theme 3.2.3, and by a set of boundary conditions (sector, employee skill level, national context, and AI exposure intensity) that Section 4.2's comparison of studies indicates meaningfully alter the pathway's strength or even its functional form. Employee wellbeing outcomes are shown feeding forward into organisational outcomes (retention, performance, and change </w:t>
      </w:r>
      <w:r>
        <w:rPr>
          <w:rFonts w:ascii="Calibri" w:eastAsia="Calibri" w:hAnsi="Calibri" w:cs="Calibri"/>
          <w:sz w:val="22"/>
          <w:szCs w:val="22"/>
        </w:rPr>
        <w:lastRenderedPageBreak/>
        <w:t>acceptance), which in turn are proposed to inform future HR strategy, forming a feedback loop rather than a one-off, linear process.</w:t>
      </w:r>
    </w:p>
    <w:p w14:paraId="1B94ADAA" w14:textId="77777777" w:rsidR="00A57F53" w:rsidRDefault="00A57F53" w:rsidP="00A57F53">
      <w:pPr>
        <w:spacing w:before="200" w:after="120"/>
        <w:jc w:val="center"/>
      </w:pPr>
      <w:r>
        <w:rPr>
          <w:noProof/>
        </w:rPr>
        <w:drawing>
          <wp:inline distT="0" distB="0" distL="0" distR="0" wp14:anchorId="7E3E9ED9" wp14:editId="4360F4ED">
            <wp:extent cx="5334000" cy="2286000"/>
            <wp:effectExtent l="0" t="0" r="0" b="0"/>
            <wp:docPr id="1490995935" name="Picture 1490995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2286000"/>
                    </a:xfrm>
                    <a:prstGeom prst="rect">
                      <a:avLst/>
                    </a:prstGeom>
                  </pic:spPr>
                </pic:pic>
              </a:graphicData>
            </a:graphic>
          </wp:inline>
        </w:drawing>
      </w:r>
    </w:p>
    <w:p w14:paraId="31D70B54" w14:textId="77777777" w:rsidR="00A57F53" w:rsidRDefault="00A57F53" w:rsidP="00A57F53">
      <w:pPr>
        <w:spacing w:after="260"/>
        <w:jc w:val="center"/>
      </w:pPr>
      <w:r>
        <w:rPr>
          <w:rFonts w:ascii="Calibri" w:eastAsia="Calibri" w:hAnsi="Calibri" w:cs="Calibri"/>
          <w:i/>
          <w:iCs/>
          <w:color w:val="444444"/>
        </w:rPr>
        <w:t>Figure 4. Proposed conceptual framework synthesising this dissertation's findings, showing the mediating role of AI-related job insecurity, the moderating HR practice bundle, and relevant boundary conditions.</w:t>
      </w:r>
    </w:p>
    <w:p w14:paraId="21DA74AD" w14:textId="77777777" w:rsidR="00A57F53" w:rsidRDefault="00A57F53" w:rsidP="00A57F53">
      <w:pPr>
        <w:spacing w:after="180" w:line="276" w:lineRule="auto"/>
        <w:jc w:val="both"/>
      </w:pPr>
      <w:r>
        <w:rPr>
          <w:rFonts w:ascii="Calibri" w:eastAsia="Calibri" w:hAnsi="Calibri" w:cs="Calibri"/>
          <w:sz w:val="22"/>
          <w:szCs w:val="22"/>
        </w:rPr>
        <w:t>This framework makes an explicit, testable claim that no single study reviewed in Chapter 3 tests in full: that the HR practice bundle and the boundary conditions operate on the same underlying pathway simultaneously, rather than as isolated, independent effects, and that the overall system is best understood as a continuous feedback loop rather than a single-pass causal chain. Chapter 5 translates this framework into concrete recommendations for HR practitioners and a research agenda for scholars seeking to test it directly.</w:t>
      </w:r>
    </w:p>
    <w:p w14:paraId="54BADE8C" w14:textId="77777777" w:rsidR="00A57F53" w:rsidRDefault="00A57F53" w:rsidP="00A57F53">
      <w:pPr>
        <w:spacing w:after="180" w:line="276" w:lineRule="auto"/>
        <w:jc w:val="both"/>
      </w:pPr>
      <w:r>
        <w:rPr>
          <w:rFonts w:ascii="Calibri" w:eastAsia="Calibri" w:hAnsi="Calibri" w:cs="Calibri"/>
          <w:sz w:val="22"/>
          <w:szCs w:val="22"/>
        </w:rPr>
        <w:t>It is worth briefly justifying each element of Figure 4 against the evidence synthesised in Chapter 3, since a conceptual framework is only as credible as its traceability back to the underlying review. The AI adoption box draws directly on Sub-theme 3.1.0's four-part typology; the central mediating box draws on the convergent findings of Sub-theme 3.2.1 and the cognitive/affective distinction developed in Section 3.1.3; the wellbeing outcome box draws on Sub-theme 3.2.2, particularly Kim, Kim and Lee's (2025) mediation evidence; the HR practice bundle draws directly on the three recurring levers identified in Sub-theme 3.2.3; the boundary conditions box draws on the sectoral and skill-based variation discussed in Sub-theme 3.2.1 and Theme 3; and the organisational outcomes and feedback loop reflect the practical stakes for organisations that motivate Chapter 5's recommendations, extrapolated from the wellbeing-performance link implicit in several reviewed studies (e.g. Jia et al., 2024, on creativity and sales performance) rather than directly measured by any single source. Making this traceability explicit is intended to allow a reader, or a future researcher designing a test of this framework, to see precisely which claims are directly evidenced and which are reasoned extensions of that evidence.</w:t>
      </w:r>
    </w:p>
    <w:p w14:paraId="1FF88890" w14:textId="46FCA7EF" w:rsidR="00A57F53" w:rsidRDefault="00A57F53" w:rsidP="00A57F53">
      <w:pPr>
        <w:pStyle w:val="Heading2"/>
        <w:spacing w:before="260" w:after="140"/>
      </w:pPr>
      <w:r>
        <w:rPr>
          <w:rFonts w:ascii="Calibri" w:eastAsia="Calibri" w:hAnsi="Calibri" w:cs="Calibri"/>
          <w:b/>
          <w:bCs/>
          <w:color w:val="1F4E79"/>
          <w:sz w:val="24"/>
          <w:szCs w:val="24"/>
        </w:rPr>
        <w:t>4.</w:t>
      </w:r>
      <w:r w:rsidR="007F26DA">
        <w:rPr>
          <w:rFonts w:ascii="Calibri" w:eastAsia="Calibri" w:hAnsi="Calibri" w:cs="Calibri"/>
          <w:b/>
          <w:bCs/>
          <w:color w:val="1F4E79"/>
          <w:sz w:val="24"/>
          <w:szCs w:val="24"/>
        </w:rPr>
        <w:t>7</w:t>
      </w:r>
      <w:r w:rsidR="00434F0E">
        <w:rPr>
          <w:rFonts w:ascii="Calibri" w:eastAsia="Calibri" w:hAnsi="Calibri" w:cs="Calibri"/>
          <w:b/>
          <w:bCs/>
          <w:color w:val="1F4E79"/>
          <w:sz w:val="24"/>
          <w:szCs w:val="24"/>
        </w:rPr>
        <w:t xml:space="preserve"> CONCLUSION</w:t>
      </w:r>
    </w:p>
    <w:p w14:paraId="1C9BBEC7" w14:textId="77777777" w:rsidR="00A57F53" w:rsidRDefault="00A57F53" w:rsidP="00A57F53">
      <w:pPr>
        <w:spacing w:after="180" w:line="276" w:lineRule="auto"/>
        <w:jc w:val="both"/>
      </w:pPr>
      <w:r>
        <w:rPr>
          <w:rFonts w:ascii="Calibri" w:eastAsia="Calibri" w:hAnsi="Calibri" w:cs="Calibri"/>
          <w:sz w:val="22"/>
          <w:szCs w:val="22"/>
        </w:rPr>
        <w:t xml:space="preserve">Two features of this dissertation's approach strengthen confidence in the integrated answer offered in Section 4.1. First, the core AI-insecurity-wellbeing pathway is supported by studies using markedly different methods (surveys, experiments, systematic reviews) and markedly different national and occupational contexts, which, per the discussion in Section 4.2, constitutes a reasonably strong form of triangulation even though no individual study in the review was designed with triangulation in mind. Second, the conceptual framework proposed in Figure 4 was built inductively from the synthesis itself, following the thematic analysis procedure set out in Section 2.8, rather than being imposed on the literature at the outset, which reduces </w:t>
      </w:r>
      <w:r>
        <w:rPr>
          <w:rFonts w:ascii="Calibri" w:eastAsia="Calibri" w:hAnsi="Calibri" w:cs="Calibri"/>
          <w:sz w:val="22"/>
          <w:szCs w:val="22"/>
        </w:rPr>
        <w:lastRenderedPageBreak/>
        <w:t>(though does not eliminate) the risk that the framework simply reflects the reviewer's prior expectations about how AI, HR practice, and wellbeing should relate.</w:t>
      </w:r>
    </w:p>
    <w:p w14:paraId="278228B4" w14:textId="638A8F16" w:rsidR="00A57F53" w:rsidRDefault="00A57F53" w:rsidP="00A57F53">
      <w:pPr>
        <w:spacing w:after="180" w:line="276" w:lineRule="auto"/>
        <w:jc w:val="both"/>
        <w:rPr>
          <w:rFonts w:ascii="Calibri" w:eastAsia="Calibri" w:hAnsi="Calibri" w:cs="Calibri"/>
          <w:sz w:val="22"/>
          <w:szCs w:val="22"/>
        </w:rPr>
      </w:pPr>
      <w:r>
        <w:rPr>
          <w:rFonts w:ascii="Calibri" w:eastAsia="Calibri" w:hAnsi="Calibri" w:cs="Calibri"/>
          <w:sz w:val="22"/>
          <w:szCs w:val="22"/>
        </w:rPr>
        <w:t>At the same time, this synthesis is subject to limitations inherent to any review-based methodology, which Chapter 6 revisits in full. Most importantly, integration of this kind necessarily involves interpretive judgement about how findings from differently designed, differently measured studies relate to one another; the ambidexterity-versus-organisational-support tension identified in Section 4.2, for example, is this dissertation's interpretation of an apparent contradiction, not a finding independently verified by a study designed to test both constructs simultaneously. Readers, and particularly the future researchers whose priorities are outlined in Section 5.3, should treat the conceptual framework in Figure 4 as a synthesised hypothesis awaiting direct empirical test, not as a conclusion with the same evidential status as any individual primary study reviewed in Chapter 3.</w:t>
      </w:r>
    </w:p>
    <w:p w14:paraId="7C667835" w14:textId="77777777" w:rsidR="008026C7" w:rsidRDefault="008026C7" w:rsidP="00A57F53">
      <w:pPr>
        <w:spacing w:after="180" w:line="276" w:lineRule="auto"/>
        <w:jc w:val="both"/>
        <w:rPr>
          <w:rFonts w:ascii="Calibri" w:eastAsia="Calibri" w:hAnsi="Calibri" w:cs="Calibri"/>
          <w:sz w:val="22"/>
          <w:szCs w:val="22"/>
        </w:rPr>
      </w:pPr>
    </w:p>
    <w:p w14:paraId="68BCFCFA" w14:textId="77777777" w:rsidR="008026C7" w:rsidRDefault="008026C7" w:rsidP="00A57F53">
      <w:pPr>
        <w:spacing w:after="180" w:line="276" w:lineRule="auto"/>
        <w:jc w:val="both"/>
        <w:rPr>
          <w:rFonts w:ascii="Calibri" w:eastAsia="Calibri" w:hAnsi="Calibri" w:cs="Calibri"/>
          <w:sz w:val="22"/>
          <w:szCs w:val="22"/>
        </w:rPr>
      </w:pPr>
    </w:p>
    <w:p w14:paraId="3BA9BD56" w14:textId="77777777" w:rsidR="008026C7" w:rsidRDefault="008026C7" w:rsidP="00A57F53">
      <w:pPr>
        <w:spacing w:after="180" w:line="276" w:lineRule="auto"/>
        <w:jc w:val="both"/>
        <w:rPr>
          <w:rFonts w:ascii="Calibri" w:eastAsia="Calibri" w:hAnsi="Calibri" w:cs="Calibri"/>
          <w:sz w:val="22"/>
          <w:szCs w:val="22"/>
        </w:rPr>
      </w:pPr>
    </w:p>
    <w:p w14:paraId="70549029" w14:textId="77777777" w:rsidR="008026C7" w:rsidRDefault="008026C7" w:rsidP="00A57F53">
      <w:pPr>
        <w:spacing w:after="180" w:line="276" w:lineRule="auto"/>
        <w:jc w:val="both"/>
        <w:rPr>
          <w:rFonts w:ascii="Calibri" w:eastAsia="Calibri" w:hAnsi="Calibri" w:cs="Calibri"/>
          <w:sz w:val="22"/>
          <w:szCs w:val="22"/>
        </w:rPr>
      </w:pPr>
    </w:p>
    <w:p w14:paraId="594F10CB" w14:textId="77777777" w:rsidR="008026C7" w:rsidRDefault="008026C7" w:rsidP="00A57F53">
      <w:pPr>
        <w:spacing w:after="180" w:line="276" w:lineRule="auto"/>
        <w:jc w:val="both"/>
        <w:rPr>
          <w:rFonts w:ascii="Calibri" w:eastAsia="Calibri" w:hAnsi="Calibri" w:cs="Calibri"/>
          <w:sz w:val="22"/>
          <w:szCs w:val="22"/>
        </w:rPr>
      </w:pPr>
    </w:p>
    <w:p w14:paraId="55C8D879" w14:textId="77777777" w:rsidR="008026C7" w:rsidRDefault="008026C7" w:rsidP="00A57F53">
      <w:pPr>
        <w:spacing w:after="180" w:line="276" w:lineRule="auto"/>
        <w:jc w:val="both"/>
        <w:rPr>
          <w:rFonts w:ascii="Calibri" w:eastAsia="Calibri" w:hAnsi="Calibri" w:cs="Calibri"/>
          <w:sz w:val="22"/>
          <w:szCs w:val="22"/>
        </w:rPr>
      </w:pPr>
    </w:p>
    <w:p w14:paraId="57B2F7F9" w14:textId="77777777" w:rsidR="008026C7" w:rsidRDefault="008026C7" w:rsidP="00A57F53">
      <w:pPr>
        <w:spacing w:after="180" w:line="276" w:lineRule="auto"/>
        <w:jc w:val="both"/>
        <w:rPr>
          <w:rFonts w:ascii="Calibri" w:eastAsia="Calibri" w:hAnsi="Calibri" w:cs="Calibri"/>
          <w:sz w:val="22"/>
          <w:szCs w:val="22"/>
        </w:rPr>
      </w:pPr>
    </w:p>
    <w:p w14:paraId="331BE9E7" w14:textId="77777777" w:rsidR="008026C7" w:rsidRDefault="008026C7" w:rsidP="00A57F53">
      <w:pPr>
        <w:spacing w:after="180" w:line="276" w:lineRule="auto"/>
        <w:jc w:val="both"/>
        <w:rPr>
          <w:rFonts w:ascii="Calibri" w:eastAsia="Calibri" w:hAnsi="Calibri" w:cs="Calibri"/>
          <w:sz w:val="22"/>
          <w:szCs w:val="22"/>
        </w:rPr>
      </w:pPr>
    </w:p>
    <w:p w14:paraId="19FB5069" w14:textId="77777777" w:rsidR="008026C7" w:rsidRDefault="008026C7" w:rsidP="00A57F53">
      <w:pPr>
        <w:spacing w:after="180" w:line="276" w:lineRule="auto"/>
        <w:jc w:val="both"/>
        <w:rPr>
          <w:rFonts w:ascii="Calibri" w:eastAsia="Calibri" w:hAnsi="Calibri" w:cs="Calibri"/>
          <w:sz w:val="22"/>
          <w:szCs w:val="22"/>
        </w:rPr>
      </w:pPr>
    </w:p>
    <w:p w14:paraId="4E7FBAFC" w14:textId="77777777" w:rsidR="008026C7" w:rsidRDefault="008026C7" w:rsidP="00A57F53">
      <w:pPr>
        <w:spacing w:after="180" w:line="276" w:lineRule="auto"/>
        <w:jc w:val="both"/>
        <w:rPr>
          <w:rFonts w:ascii="Calibri" w:eastAsia="Calibri" w:hAnsi="Calibri" w:cs="Calibri"/>
          <w:sz w:val="22"/>
          <w:szCs w:val="22"/>
        </w:rPr>
      </w:pPr>
    </w:p>
    <w:p w14:paraId="335986CB" w14:textId="77777777" w:rsidR="008026C7" w:rsidRDefault="008026C7" w:rsidP="00A57F53">
      <w:pPr>
        <w:spacing w:after="180" w:line="276" w:lineRule="auto"/>
        <w:jc w:val="both"/>
        <w:rPr>
          <w:rFonts w:ascii="Calibri" w:eastAsia="Calibri" w:hAnsi="Calibri" w:cs="Calibri"/>
          <w:sz w:val="22"/>
          <w:szCs w:val="22"/>
        </w:rPr>
      </w:pPr>
    </w:p>
    <w:p w14:paraId="49D00D79" w14:textId="77777777" w:rsidR="008026C7" w:rsidRDefault="008026C7" w:rsidP="00A57F53">
      <w:pPr>
        <w:spacing w:after="180" w:line="276" w:lineRule="auto"/>
        <w:jc w:val="both"/>
        <w:rPr>
          <w:rFonts w:ascii="Calibri" w:eastAsia="Calibri" w:hAnsi="Calibri" w:cs="Calibri"/>
          <w:sz w:val="22"/>
          <w:szCs w:val="22"/>
        </w:rPr>
      </w:pPr>
    </w:p>
    <w:p w14:paraId="5122F673" w14:textId="77777777" w:rsidR="008026C7" w:rsidRDefault="008026C7" w:rsidP="00A57F53">
      <w:pPr>
        <w:spacing w:after="180" w:line="276" w:lineRule="auto"/>
        <w:jc w:val="both"/>
        <w:rPr>
          <w:rFonts w:ascii="Calibri" w:eastAsia="Calibri" w:hAnsi="Calibri" w:cs="Calibri"/>
          <w:sz w:val="22"/>
          <w:szCs w:val="22"/>
        </w:rPr>
      </w:pPr>
    </w:p>
    <w:p w14:paraId="7DAB1EC0" w14:textId="77777777" w:rsidR="008026C7" w:rsidRDefault="008026C7" w:rsidP="00A57F53">
      <w:pPr>
        <w:spacing w:after="180" w:line="276" w:lineRule="auto"/>
        <w:jc w:val="both"/>
        <w:rPr>
          <w:rFonts w:ascii="Calibri" w:eastAsia="Calibri" w:hAnsi="Calibri" w:cs="Calibri"/>
          <w:sz w:val="22"/>
          <w:szCs w:val="22"/>
        </w:rPr>
      </w:pPr>
    </w:p>
    <w:p w14:paraId="11052B68" w14:textId="77777777" w:rsidR="008026C7" w:rsidRDefault="008026C7" w:rsidP="00A57F53">
      <w:pPr>
        <w:spacing w:after="180" w:line="276" w:lineRule="auto"/>
        <w:jc w:val="both"/>
        <w:rPr>
          <w:rFonts w:ascii="Calibri" w:eastAsia="Calibri" w:hAnsi="Calibri" w:cs="Calibri"/>
          <w:sz w:val="22"/>
          <w:szCs w:val="22"/>
        </w:rPr>
      </w:pPr>
    </w:p>
    <w:p w14:paraId="6979E3B9" w14:textId="77777777" w:rsidR="008026C7" w:rsidRDefault="008026C7" w:rsidP="00A57F53">
      <w:pPr>
        <w:spacing w:after="180" w:line="276" w:lineRule="auto"/>
        <w:jc w:val="both"/>
        <w:rPr>
          <w:rFonts w:ascii="Calibri" w:eastAsia="Calibri" w:hAnsi="Calibri" w:cs="Calibri"/>
          <w:sz w:val="22"/>
          <w:szCs w:val="22"/>
        </w:rPr>
      </w:pPr>
    </w:p>
    <w:p w14:paraId="2EDE9B5C" w14:textId="77777777" w:rsidR="008026C7" w:rsidRDefault="008026C7" w:rsidP="00A57F53">
      <w:pPr>
        <w:spacing w:after="180" w:line="276" w:lineRule="auto"/>
        <w:jc w:val="both"/>
        <w:rPr>
          <w:rFonts w:ascii="Calibri" w:eastAsia="Calibri" w:hAnsi="Calibri" w:cs="Calibri"/>
          <w:sz w:val="22"/>
          <w:szCs w:val="22"/>
        </w:rPr>
      </w:pPr>
    </w:p>
    <w:p w14:paraId="31DF2981" w14:textId="77777777" w:rsidR="008026C7" w:rsidRDefault="008026C7" w:rsidP="00A57F53">
      <w:pPr>
        <w:spacing w:after="180" w:line="276" w:lineRule="auto"/>
        <w:jc w:val="both"/>
        <w:rPr>
          <w:rFonts w:ascii="Calibri" w:eastAsia="Calibri" w:hAnsi="Calibri" w:cs="Calibri"/>
          <w:sz w:val="22"/>
          <w:szCs w:val="22"/>
        </w:rPr>
      </w:pPr>
    </w:p>
    <w:p w14:paraId="3C84D96F" w14:textId="77777777" w:rsidR="008026C7" w:rsidRDefault="008026C7" w:rsidP="00A57F53">
      <w:pPr>
        <w:spacing w:after="180" w:line="276" w:lineRule="auto"/>
        <w:jc w:val="both"/>
        <w:rPr>
          <w:rFonts w:ascii="Calibri" w:eastAsia="Calibri" w:hAnsi="Calibri" w:cs="Calibri"/>
          <w:sz w:val="22"/>
          <w:szCs w:val="22"/>
        </w:rPr>
      </w:pPr>
    </w:p>
    <w:p w14:paraId="5558628F" w14:textId="77777777" w:rsidR="008026C7" w:rsidRDefault="008026C7" w:rsidP="00A57F53">
      <w:pPr>
        <w:spacing w:after="180" w:line="276" w:lineRule="auto"/>
        <w:jc w:val="both"/>
        <w:rPr>
          <w:rFonts w:ascii="Calibri" w:eastAsia="Calibri" w:hAnsi="Calibri" w:cs="Calibri"/>
          <w:sz w:val="22"/>
          <w:szCs w:val="22"/>
        </w:rPr>
      </w:pPr>
    </w:p>
    <w:p w14:paraId="6D217CFA" w14:textId="77777777" w:rsidR="008026C7" w:rsidRDefault="008026C7" w:rsidP="00A57F53">
      <w:pPr>
        <w:spacing w:after="180" w:line="276" w:lineRule="auto"/>
        <w:jc w:val="both"/>
        <w:rPr>
          <w:rFonts w:ascii="Calibri" w:eastAsia="Calibri" w:hAnsi="Calibri" w:cs="Calibri"/>
          <w:sz w:val="22"/>
          <w:szCs w:val="22"/>
        </w:rPr>
      </w:pPr>
    </w:p>
    <w:p w14:paraId="7CF36D47" w14:textId="77777777" w:rsidR="008026C7" w:rsidRPr="008026C7" w:rsidRDefault="008026C7" w:rsidP="00A57F53">
      <w:pPr>
        <w:spacing w:after="180" w:line="276" w:lineRule="auto"/>
        <w:jc w:val="both"/>
        <w:rPr>
          <w:rFonts w:ascii="Calibri" w:eastAsia="Calibri" w:hAnsi="Calibri" w:cs="Calibri"/>
          <w:sz w:val="22"/>
          <w:szCs w:val="22"/>
        </w:rPr>
      </w:pPr>
    </w:p>
    <w:p w14:paraId="7D926E9B" w14:textId="213D27E4" w:rsidR="00A57F53" w:rsidRDefault="00304F8E" w:rsidP="00A57F53">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lastRenderedPageBreak/>
        <w:t xml:space="preserve">                                                 Chapter </w:t>
      </w:r>
      <w:r w:rsidR="00546450">
        <w:rPr>
          <w:rFonts w:ascii="Calibri" w:eastAsia="Calibri" w:hAnsi="Calibri" w:cs="Calibri"/>
          <w:b/>
          <w:bCs/>
          <w:color w:val="1F4E79"/>
          <w:sz w:val="28"/>
          <w:szCs w:val="28"/>
        </w:rPr>
        <w:t>five:</w:t>
      </w:r>
      <w:r w:rsidR="00A57F53">
        <w:rPr>
          <w:rFonts w:ascii="Calibri" w:eastAsia="Calibri" w:hAnsi="Calibri" w:cs="Calibri"/>
          <w:b/>
          <w:bCs/>
          <w:color w:val="1F4E79"/>
          <w:sz w:val="28"/>
          <w:szCs w:val="28"/>
        </w:rPr>
        <w:t xml:space="preserve"> Implications</w:t>
      </w:r>
    </w:p>
    <w:p w14:paraId="1B17CC46" w14:textId="30DB4679" w:rsidR="0028485E" w:rsidRPr="0028485E" w:rsidRDefault="0028485E" w:rsidP="00A57F53">
      <w:pPr>
        <w:pStyle w:val="Heading1"/>
        <w:spacing w:before="360" w:after="200"/>
        <w:rPr>
          <w:sz w:val="24"/>
          <w:szCs w:val="24"/>
        </w:rPr>
      </w:pPr>
      <w:r w:rsidRPr="0028485E">
        <w:rPr>
          <w:rFonts w:ascii="Calibri" w:eastAsia="Calibri" w:hAnsi="Calibri" w:cs="Calibri"/>
          <w:b/>
          <w:bCs/>
          <w:color w:val="1F4E79"/>
          <w:sz w:val="24"/>
          <w:szCs w:val="24"/>
        </w:rPr>
        <w:t>5.1 Introduction</w:t>
      </w:r>
    </w:p>
    <w:p w14:paraId="1A356C34" w14:textId="0F48E27C" w:rsidR="001A3DA8" w:rsidRDefault="00A57F53" w:rsidP="001A3DA8">
      <w:pPr>
        <w:spacing w:after="180" w:line="276" w:lineRule="auto"/>
        <w:jc w:val="both"/>
      </w:pPr>
      <w:r>
        <w:rPr>
          <w:rFonts w:ascii="Calibri" w:eastAsia="Calibri" w:hAnsi="Calibri" w:cs="Calibri"/>
          <w:sz w:val="22"/>
          <w:szCs w:val="22"/>
        </w:rPr>
        <w:t>This chapter translates the synthesis and conceptual framework developed in Chapter 4 into theoretical, practical/managerial, and research implications, following the 'three-lens' balance of theory, practice, and future direction.</w:t>
      </w:r>
      <w:r w:rsidR="001A3DA8" w:rsidRPr="001A3DA8">
        <w:rPr>
          <w:rFonts w:ascii="Calibri" w:hAnsi="Calibri"/>
          <w:sz w:val="22"/>
        </w:rPr>
        <w:t xml:space="preserve"> </w:t>
      </w:r>
      <w:r w:rsidR="001A3DA8">
        <w:rPr>
          <w:rFonts w:ascii="Calibri" w:hAnsi="Calibri"/>
          <w:sz w:val="22"/>
        </w:rPr>
        <w:t>Chapter 4 answered this dissertation's overarching research question by integrating the evidence into a single account: AI adoption affects employee wellbeing primarily indirectly, through an insecurity-and-technostress pathway that is substantially moderated by a specific, identifiable bundle of HR practices, and it proposed a conceptual framework (Figure 4) formalising this account together with the boundary conditions sector, skill level, national context, AI exposure intensity, and, per the additional debates examined in Sub-themes 3.3.5 and 3.3.6, demographic variation and work arrangement that shape how strongly this pathway operates in practice. This chapter takes that integrated account as its starting point and asks a different question: given what Chapter 4 established, what should scholars, HR practitioners, and policymakers actually do differently. Each of the three sections that follow corresponds to one of the 'three lenses' introduced above and is deliberately cross-referenced back to the specific findings in Chapters 3 and 4 that justify it, so that every recommendation offered here can be traced to a specific piece of synthesised evidence rather than presented as free-standing advice; Section 5.4 makes this cross-referencing explicit by drawing the three lenses back together.</w:t>
      </w:r>
    </w:p>
    <w:p w14:paraId="75AA2319" w14:textId="0E84BA12" w:rsidR="00A57F53" w:rsidRDefault="00A57F53" w:rsidP="00A57F53">
      <w:pPr>
        <w:spacing w:after="180" w:line="276" w:lineRule="auto"/>
        <w:jc w:val="both"/>
      </w:pPr>
    </w:p>
    <w:p w14:paraId="1B115A6A" w14:textId="51517CEA" w:rsidR="00A57F53" w:rsidRDefault="00A57F53" w:rsidP="00A57F53">
      <w:pPr>
        <w:pStyle w:val="Heading2"/>
        <w:spacing w:before="260" w:after="140"/>
      </w:pPr>
      <w:r>
        <w:rPr>
          <w:rFonts w:ascii="Calibri" w:eastAsia="Calibri" w:hAnsi="Calibri" w:cs="Calibri"/>
          <w:b/>
          <w:bCs/>
          <w:color w:val="1F4E79"/>
          <w:sz w:val="24"/>
          <w:szCs w:val="24"/>
        </w:rPr>
        <w:t>5</w:t>
      </w:r>
      <w:r w:rsidR="0028485E">
        <w:rPr>
          <w:rFonts w:ascii="Calibri" w:eastAsia="Calibri" w:hAnsi="Calibri" w:cs="Calibri"/>
          <w:b/>
          <w:bCs/>
          <w:color w:val="1F4E79"/>
          <w:sz w:val="24"/>
          <w:szCs w:val="24"/>
        </w:rPr>
        <w:t>.2</w:t>
      </w:r>
      <w:r>
        <w:rPr>
          <w:rFonts w:ascii="Calibri" w:eastAsia="Calibri" w:hAnsi="Calibri" w:cs="Calibri"/>
          <w:b/>
          <w:bCs/>
          <w:color w:val="1F4E79"/>
          <w:sz w:val="24"/>
          <w:szCs w:val="24"/>
        </w:rPr>
        <w:t xml:space="preserve"> Theoretical Implications</w:t>
      </w:r>
    </w:p>
    <w:p w14:paraId="03C65061" w14:textId="77777777" w:rsidR="00A57F53" w:rsidRDefault="00A57F53" w:rsidP="00A57F53">
      <w:pPr>
        <w:spacing w:after="180" w:line="276" w:lineRule="auto"/>
        <w:jc w:val="both"/>
      </w:pPr>
      <w:r>
        <w:rPr>
          <w:rFonts w:ascii="Calibri" w:eastAsia="Calibri" w:hAnsi="Calibri" w:cs="Calibri"/>
          <w:sz w:val="22"/>
          <w:szCs w:val="22"/>
        </w:rPr>
        <w:t>This dissertation's central theoretical contribution is the integration, in Figure 4, of AI adoption research with JD-R and technostress theory into a single framework that explicitly positions HR practice as a moderator of the AI-insecurity-wellbeing pathway rather than as an afterthought. This refines the JD-R model for the AI context specifically by incorporating the threshold, curvilinear dynamic identified in Section 4.3, and refines technostress theory by drawing an explicit link to psychological contract theory (Shin and Shin, 2024) that prior technostress research has not fully developed. For researchers working with organisational-level adoption models such as Pillai and Sivathanu's (2020) TOE/TTF framework, this dissertation's synthesis suggests a productive avenue would be to formally connect organisational-level adoption antecedents with the individual-level demands-and-resources process this review has focused on, since the two literatures currently operate largely in parallel despite describing different stages of the same underlying phenomenon.</w:t>
      </w:r>
    </w:p>
    <w:p w14:paraId="6A0651BB" w14:textId="77777777" w:rsidR="00A57F53" w:rsidRDefault="00A57F53" w:rsidP="00A57F53">
      <w:pPr>
        <w:spacing w:after="180" w:line="276" w:lineRule="auto"/>
        <w:jc w:val="both"/>
      </w:pPr>
      <w:r>
        <w:rPr>
          <w:rFonts w:ascii="Calibri" w:eastAsia="Calibri" w:hAnsi="Calibri" w:cs="Calibri"/>
          <w:sz w:val="22"/>
          <w:szCs w:val="22"/>
        </w:rPr>
        <w:t xml:space="preserve">A second theoretical implication concerns how the field measures its central constructs. Sub-theme 3.1.0 showed that 'AI adoption' is operationalised in at least four incompatible ways across the studies reviewed. This dissertation's synthesis suggests the field would benefit from a shared, multi-dimensional measurement approach that captures organisational implementation, individual perception, exposure intensity, and tool-specific use simultaneously within a single study design, rather than researchers continuing to select one dimension in isolation; without this, formal meta-analytic synthesis of the kind available for more established constructs such as general job insecurity (Sverke, Hellgren and </w:t>
      </w:r>
      <w:proofErr w:type="spellStart"/>
      <w:r>
        <w:rPr>
          <w:rFonts w:ascii="Calibri" w:eastAsia="Calibri" w:hAnsi="Calibri" w:cs="Calibri"/>
          <w:sz w:val="22"/>
          <w:szCs w:val="22"/>
        </w:rPr>
        <w:t>Näswall</w:t>
      </w:r>
      <w:proofErr w:type="spellEnd"/>
      <w:r>
        <w:rPr>
          <w:rFonts w:ascii="Calibri" w:eastAsia="Calibri" w:hAnsi="Calibri" w:cs="Calibri"/>
          <w:sz w:val="22"/>
          <w:szCs w:val="22"/>
        </w:rPr>
        <w:t>, 2002; Sverke et al., 2019) is unlikely to become possible for AI-specific job insecurity, limiting the field's ability to produce a precise, pooled estimate of effect sizes that could inform practice with greater confidence than a qualitative synthesis such as this one can offer.</w:t>
      </w:r>
    </w:p>
    <w:p w14:paraId="0F7A717E" w14:textId="1EFA0772" w:rsidR="00A57F53" w:rsidRDefault="00A57F53" w:rsidP="00A57F53">
      <w:pPr>
        <w:pStyle w:val="Heading2"/>
        <w:spacing w:before="260" w:after="140"/>
      </w:pPr>
      <w:r>
        <w:rPr>
          <w:rFonts w:ascii="Calibri" w:eastAsia="Calibri" w:hAnsi="Calibri" w:cs="Calibri"/>
          <w:b/>
          <w:bCs/>
          <w:color w:val="1F4E79"/>
          <w:sz w:val="24"/>
          <w:szCs w:val="24"/>
        </w:rPr>
        <w:t>5.</w:t>
      </w:r>
      <w:r w:rsidR="0028485E">
        <w:rPr>
          <w:rFonts w:ascii="Calibri" w:eastAsia="Calibri" w:hAnsi="Calibri" w:cs="Calibri"/>
          <w:b/>
          <w:bCs/>
          <w:color w:val="1F4E79"/>
          <w:sz w:val="24"/>
          <w:szCs w:val="24"/>
        </w:rPr>
        <w:t>3</w:t>
      </w:r>
      <w:r>
        <w:rPr>
          <w:rFonts w:ascii="Calibri" w:eastAsia="Calibri" w:hAnsi="Calibri" w:cs="Calibri"/>
          <w:b/>
          <w:bCs/>
          <w:color w:val="1F4E79"/>
          <w:sz w:val="24"/>
          <w:szCs w:val="24"/>
        </w:rPr>
        <w:t xml:space="preserve"> Practical and Managerial Implications</w:t>
      </w:r>
    </w:p>
    <w:p w14:paraId="67609A3B" w14:textId="77777777" w:rsidR="00A57F53" w:rsidRDefault="00A57F53" w:rsidP="00A57F53">
      <w:pPr>
        <w:spacing w:after="180" w:line="276" w:lineRule="auto"/>
        <w:jc w:val="both"/>
      </w:pPr>
      <w:r>
        <w:rPr>
          <w:rFonts w:ascii="Calibri" w:eastAsia="Calibri" w:hAnsi="Calibri" w:cs="Calibri"/>
          <w:sz w:val="22"/>
          <w:szCs w:val="22"/>
        </w:rPr>
        <w:lastRenderedPageBreak/>
        <w:t>For HR practitioners, this review's synthesis translates into four concrete, evidence-based recommendations. First, managers should pace AI rollout deliberately rather than maximising deployment speed: the threshold effect identified by Fu and Zhang (2026) indicates that moderate, well-communicated AI application is associated with lower insecurity than either minimal or maximal application, meaning organisations should resist the temptation to fully automate a function in a single step where a phased approach is operationally feasible. Second, organisations should invest deliberately in the HR practice bundle identified in Sub-theme 3.2.3 as a coordinated package rather than a single initiative: co-skilling investment alone, without accompanying organisational support and transparent leadership communication, is less likely to be effective than the same investment paired with visible managerial engagement, consistent with the finding that organisational support mediates, rather than substitutes for, the effect of skill-development activity (Zhang et al., 2025).</w:t>
      </w:r>
    </w:p>
    <w:p w14:paraId="0009B0C4" w14:textId="77777777" w:rsidR="00A57F53" w:rsidRDefault="00A57F53" w:rsidP="00A57F53">
      <w:pPr>
        <w:spacing w:after="180" w:line="276" w:lineRule="auto"/>
        <w:jc w:val="both"/>
      </w:pPr>
      <w:r>
        <w:rPr>
          <w:rFonts w:ascii="Calibri" w:eastAsia="Calibri" w:hAnsi="Calibri" w:cs="Calibri"/>
          <w:sz w:val="22"/>
          <w:szCs w:val="22"/>
        </w:rPr>
        <w:t>Third, HR should build employee voice and participation mechanisms directly into AI rollout processes, not only communication after decisions are made: Ullrich et al.'s (2023) systematic review of employee participation in digital transformation projects found that participation itself, not merely its outcomes, functions as a determinant of successful adoption, suggesting that consultation processes have value independent of whether they change the final AI implementation decision. Fourth, and following directly from Section 3.2.3's fairness findings (</w:t>
      </w:r>
      <w:proofErr w:type="spellStart"/>
      <w:r>
        <w:rPr>
          <w:rFonts w:ascii="Calibri" w:eastAsia="Calibri" w:hAnsi="Calibri" w:cs="Calibri"/>
          <w:sz w:val="22"/>
          <w:szCs w:val="22"/>
        </w:rPr>
        <w:t>Köchling</w:t>
      </w:r>
      <w:proofErr w:type="spellEnd"/>
      <w:r>
        <w:rPr>
          <w:rFonts w:ascii="Calibri" w:eastAsia="Calibri" w:hAnsi="Calibri" w:cs="Calibri"/>
          <w:sz w:val="22"/>
          <w:szCs w:val="22"/>
        </w:rPr>
        <w:t xml:space="preserve"> and Wehner, 2020; Mirowska and </w:t>
      </w:r>
      <w:proofErr w:type="spellStart"/>
      <w:r>
        <w:rPr>
          <w:rFonts w:ascii="Calibri" w:eastAsia="Calibri" w:hAnsi="Calibri" w:cs="Calibri"/>
          <w:sz w:val="22"/>
          <w:szCs w:val="22"/>
        </w:rPr>
        <w:t>Mesnet</w:t>
      </w:r>
      <w:proofErr w:type="spellEnd"/>
      <w:r>
        <w:rPr>
          <w:rFonts w:ascii="Calibri" w:eastAsia="Calibri" w:hAnsi="Calibri" w:cs="Calibri"/>
          <w:sz w:val="22"/>
          <w:szCs w:val="22"/>
        </w:rPr>
        <w:t>, 2022), organisations deploying AI in recruitment or performance-management decisions specifically should build in visible human oversight and explainability, not purely for legal compliance but because Chen's (2023) study of AI-assisted recruiting found that removing perceived human judgement from decisions, even when AI improved decision consistency, could itself become a source of employee and applicant mistrust if not actively managed through transparent process design.</w:t>
      </w:r>
    </w:p>
    <w:p w14:paraId="0ECEEED4" w14:textId="77777777" w:rsidR="00A57F53" w:rsidRDefault="00A57F53" w:rsidP="00A57F53">
      <w:pPr>
        <w:spacing w:after="180" w:line="276" w:lineRule="auto"/>
        <w:jc w:val="both"/>
      </w:pPr>
      <w:r>
        <w:rPr>
          <w:rFonts w:ascii="Calibri" w:eastAsia="Calibri" w:hAnsi="Calibri" w:cs="Calibri"/>
          <w:sz w:val="22"/>
          <w:szCs w:val="22"/>
        </w:rPr>
        <w:t>At an industry and policy level, the scale evidence reviewed in Section 2.1 (World Economic Forum, 2025; World Economic Forum, 2023) is itself instructive: comparing the 2023 and 2025 editions of the same forecasting exercise shows meaningfully different projected displacement and creation figures within a two-year window, which is a caution against treating any single industry projection as a fixed planning input. Policymakers and industry bodies such as CIPD (2025) are well placed to convene sector-level guidance and benchmarking on HR practice bundles specifically, given that individual organisations, particularly smaller employers without dedicated AI-governance capacity, are unlikely to have the resources to synthesise this fragmented academic literature themselves.</w:t>
      </w:r>
    </w:p>
    <w:p w14:paraId="33ACE128" w14:textId="77777777" w:rsidR="00A57F53" w:rsidRDefault="00A57F53" w:rsidP="00A57F53">
      <w:pPr>
        <w:spacing w:after="180" w:line="276" w:lineRule="auto"/>
        <w:jc w:val="both"/>
      </w:pPr>
      <w:r>
        <w:rPr>
          <w:rFonts w:ascii="Calibri" w:eastAsia="Calibri" w:hAnsi="Calibri" w:cs="Calibri"/>
          <w:sz w:val="22"/>
          <w:szCs w:val="22"/>
        </w:rPr>
        <w:t xml:space="preserve">A fifth practical recommendation follows from the boundary-conditions component of Figure 4: HR practitioners should treat sector and occupational context as a primary input into AI-rollout planning, not a secondary consideration. The evidence reviewed in Sub-theme 3.2.1 indicates that gig and platform-adjacent roles (Wood, Graham and </w:t>
      </w:r>
      <w:proofErr w:type="spellStart"/>
      <w:r>
        <w:rPr>
          <w:rFonts w:ascii="Calibri" w:eastAsia="Calibri" w:hAnsi="Calibri" w:cs="Calibri"/>
          <w:sz w:val="22"/>
          <w:szCs w:val="22"/>
        </w:rPr>
        <w:t>Lehdonvirta</w:t>
      </w:r>
      <w:proofErr w:type="spellEnd"/>
      <w:r>
        <w:rPr>
          <w:rFonts w:ascii="Calibri" w:eastAsia="Calibri" w:hAnsi="Calibri" w:cs="Calibri"/>
          <w:sz w:val="22"/>
          <w:szCs w:val="22"/>
        </w:rPr>
        <w:t xml:space="preserve">, 2018) experience algorithmic management very differently from the salaried professional roles studied by </w:t>
      </w:r>
      <w:proofErr w:type="spellStart"/>
      <w:r>
        <w:rPr>
          <w:rFonts w:ascii="Calibri" w:eastAsia="Calibri" w:hAnsi="Calibri" w:cs="Calibri"/>
          <w:sz w:val="22"/>
          <w:szCs w:val="22"/>
        </w:rPr>
        <w:t>Zeike</w:t>
      </w:r>
      <w:proofErr w:type="spellEnd"/>
      <w:r>
        <w:rPr>
          <w:rFonts w:ascii="Calibri" w:eastAsia="Calibri" w:hAnsi="Calibri" w:cs="Calibri"/>
          <w:sz w:val="22"/>
          <w:szCs w:val="22"/>
        </w:rPr>
        <w:t xml:space="preserve"> et al. (2019) or Bibi, Tan and Yao (2025); an HR function operating across multiple business units with different employment models should therefore expect to need genuinely different AI-communication and support strategies for different parts of its own workforce, rather than a single organisation-wide policy. Similarly, Jia et al.'s (2024) finding that AI assistance benefits higher-skilled employees more than lower-skilled employees implies that a uniform reskilling offer, applied identically across a workforce with heterogeneous existing skill levels, is likely to be less effective than a differentiated approach that provides more intensive support precisely where the evidence suggests AI's effects are least favourable.</w:t>
      </w:r>
    </w:p>
    <w:p w14:paraId="0A468E20" w14:textId="03F73A52" w:rsidR="00A57F53" w:rsidRDefault="00A57F53" w:rsidP="00A57F53">
      <w:pPr>
        <w:pStyle w:val="Heading2"/>
        <w:spacing w:before="260" w:after="140"/>
      </w:pPr>
      <w:r>
        <w:rPr>
          <w:rFonts w:ascii="Calibri" w:eastAsia="Calibri" w:hAnsi="Calibri" w:cs="Calibri"/>
          <w:b/>
          <w:bCs/>
          <w:color w:val="1F4E79"/>
          <w:sz w:val="24"/>
          <w:szCs w:val="24"/>
        </w:rPr>
        <w:t>5.</w:t>
      </w:r>
      <w:r w:rsidR="0028485E">
        <w:rPr>
          <w:rFonts w:ascii="Calibri" w:eastAsia="Calibri" w:hAnsi="Calibri" w:cs="Calibri"/>
          <w:b/>
          <w:bCs/>
          <w:color w:val="1F4E79"/>
          <w:sz w:val="24"/>
          <w:szCs w:val="24"/>
        </w:rPr>
        <w:t>4</w:t>
      </w:r>
      <w:r>
        <w:rPr>
          <w:rFonts w:ascii="Calibri" w:eastAsia="Calibri" w:hAnsi="Calibri" w:cs="Calibri"/>
          <w:b/>
          <w:bCs/>
          <w:color w:val="1F4E79"/>
          <w:sz w:val="24"/>
          <w:szCs w:val="24"/>
        </w:rPr>
        <w:t xml:space="preserve"> Research Implications and Future Directions</w:t>
      </w:r>
    </w:p>
    <w:p w14:paraId="4FC713AD" w14:textId="4D1EC561" w:rsidR="00A57F53" w:rsidRDefault="00A57F53" w:rsidP="00A57F53">
      <w:pPr>
        <w:spacing w:after="180" w:line="276" w:lineRule="auto"/>
        <w:jc w:val="both"/>
      </w:pPr>
      <w:r>
        <w:rPr>
          <w:rFonts w:ascii="Calibri" w:eastAsia="Calibri" w:hAnsi="Calibri" w:cs="Calibri"/>
          <w:sz w:val="22"/>
          <w:szCs w:val="22"/>
        </w:rPr>
        <w:lastRenderedPageBreak/>
        <w:t>Following directly from the gaps identified in Section 4.4, this dissertation proposes four specific priorities for future research. First, a longitudinal, multi-wave study explicitly testing the combined HR practice bundle proposed in Figure 4 rather than isolated components against a UK or cross-national sample would directly address both the geographic-concentration and fragmented-evidence gaps simultaneously. Second, given how little peer-reviewed evidence currently exists on generative AI specifically relative to earlier algorithmic-management systems (Sub-theme 3.3.2), and given evidence that remote and hybrid work amplifies certain technology-related strain outcomes (Costin, Roman and Balica, 2023), a priority study would examine whether generative AI's wellbeing effects differ systematically between remote/hybrid and co-located work arrangements, a boundary condition not directly tested in any study reviewed in Chapter 3.</w:t>
      </w:r>
    </w:p>
    <w:p w14:paraId="234ABA94" w14:textId="77777777" w:rsidR="00A57F53" w:rsidRDefault="00A57F53" w:rsidP="00A57F53">
      <w:pPr>
        <w:spacing w:after="180" w:line="276" w:lineRule="auto"/>
        <w:jc w:val="both"/>
      </w:pPr>
      <w:r>
        <w:rPr>
          <w:rFonts w:ascii="Calibri" w:eastAsia="Calibri" w:hAnsi="Calibri" w:cs="Calibri"/>
          <w:sz w:val="22"/>
          <w:szCs w:val="22"/>
        </w:rPr>
        <w:t>Third, future research should test the theoretical link this dissertation proposes in Section 4.3 between AI-related technostress and psychological contract violation directly, using validated psychological contract measures alongside the technostress and job insecurity instruments already established in this literature, to determine whether this connection strengthens the explanatory power of the conceptual framework proposed in Figure 4. Fourth, and reflecting the multi-level theoretical integration proposed in Section 4.3, a study explicitly linking organisational-level adoption antecedents (following Pillai and Sivathanu's, 2020, TOE/TTF framework) to individual-level wellbeing outcomes within the same research design would test whether the sequential, multi-level chain this dissertation proposes actually holds empirically, rather than remaining, as it currently does, an inference drawn across two literatures that have not yet been directly connected by a single study.</w:t>
      </w:r>
    </w:p>
    <w:p w14:paraId="04E4745F" w14:textId="77777777" w:rsidR="00A57F53" w:rsidRDefault="00A57F53" w:rsidP="00A57F53">
      <w:pPr>
        <w:spacing w:after="180" w:line="276" w:lineRule="auto"/>
        <w:jc w:val="both"/>
      </w:pPr>
      <w:r>
        <w:rPr>
          <w:rFonts w:ascii="Calibri" w:eastAsia="Calibri" w:hAnsi="Calibri" w:cs="Calibri"/>
          <w:sz w:val="22"/>
          <w:szCs w:val="22"/>
        </w:rPr>
        <w:t>A sixth practical recommendation follows directly from the employee-voice discussion in Section 4.2: HR functions should build structured participation mechanisms (consultation forums, pilot-group feedback processes, or employee representation on AI-governance committees) into AI rollout as standard practice, not as an optional add-on reserved for large-scale changes. Ullrich et al.'s (2023) finding that participation itself, independent of its effect on final decisions, improves adoption outcomes suggests this recommendation carries value even where the substantive AI implementation is unlikely to change as a result of consultation, making it a comparatively low-cost intervention relative to the reskilling and leadership-development investments discussed above.</w:t>
      </w:r>
    </w:p>
    <w:p w14:paraId="4B510141" w14:textId="7176A5E5" w:rsidR="00A57F53" w:rsidRDefault="00A57F53" w:rsidP="00A57F53">
      <w:pPr>
        <w:pStyle w:val="Heading2"/>
        <w:spacing w:before="260" w:after="140"/>
      </w:pPr>
      <w:r>
        <w:rPr>
          <w:rFonts w:ascii="Calibri" w:eastAsia="Calibri" w:hAnsi="Calibri" w:cs="Calibri"/>
          <w:b/>
          <w:bCs/>
          <w:color w:val="1F4E79"/>
          <w:sz w:val="24"/>
          <w:szCs w:val="24"/>
        </w:rPr>
        <w:t>5.</w:t>
      </w:r>
      <w:r w:rsidR="0028485E">
        <w:rPr>
          <w:rFonts w:ascii="Calibri" w:eastAsia="Calibri" w:hAnsi="Calibri" w:cs="Calibri"/>
          <w:b/>
          <w:bCs/>
          <w:color w:val="1F4E79"/>
          <w:sz w:val="24"/>
          <w:szCs w:val="24"/>
        </w:rPr>
        <w:t>5</w:t>
      </w:r>
      <w:r w:rsidRPr="00434F0E">
        <w:rPr>
          <w:rFonts w:ascii="Calibri" w:eastAsia="Calibri" w:hAnsi="Calibri" w:cs="Calibri"/>
          <w:b/>
          <w:bCs/>
          <w:color w:val="1F4E79"/>
          <w:sz w:val="24"/>
          <w:szCs w:val="24"/>
        </w:rPr>
        <w:t xml:space="preserve"> </w:t>
      </w:r>
      <w:r w:rsidR="00434F0E" w:rsidRPr="00434F0E">
        <w:rPr>
          <w:rFonts w:ascii="Calibri" w:eastAsia="Calibri" w:hAnsi="Calibri" w:cs="Calibri"/>
          <w:b/>
          <w:bCs/>
          <w:color w:val="1F4E79"/>
          <w:sz w:val="24"/>
          <w:szCs w:val="24"/>
        </w:rPr>
        <w:t>CONCLUSION</w:t>
      </w:r>
    </w:p>
    <w:p w14:paraId="7DAA02E9" w14:textId="77777777" w:rsidR="00A57F53" w:rsidRDefault="00A57F53" w:rsidP="00A57F53">
      <w:pPr>
        <w:spacing w:after="180" w:line="276" w:lineRule="auto"/>
        <w:jc w:val="both"/>
      </w:pPr>
      <w:r>
        <w:rPr>
          <w:rFonts w:ascii="Calibri" w:eastAsia="Calibri" w:hAnsi="Calibri" w:cs="Calibri"/>
          <w:sz w:val="22"/>
          <w:szCs w:val="22"/>
        </w:rPr>
        <w:t>Consistent with the 'three-lens' principle guiding this chapter, it is worth reflecting briefly on how these implications interrelate. The theoretical refinements proposed in Section 5.1 (the threshold dynamic within JD-R, the technostress-psychological contract link, and the call for multi-dimensional measurement) are not purely academic exercises: each has a direct practical counterpart in Section 5.2, since a manager who understands that AI intensity has a threshold effect is better placed to act on the pacing recommendation than one who does not, and an HR function that understands technostress as a psychological-contract issue, not merely an individual stress response, is better placed to design the participation and communication mechanisms recommended above. Similarly, the research priorities in Section 5.3 are directly traceable to specific claims in Sections 5.1 and 5.2 that current evidence supports only provisionally; this deliberate linkage across all three lenses is intended to ensure that this chapter's recommendations are read as a coherent, evidence-traceable set rather than three independent lists.</w:t>
      </w:r>
    </w:p>
    <w:p w14:paraId="45660AB2" w14:textId="77777777" w:rsidR="00012229" w:rsidRDefault="00012229">
      <w:pPr>
        <w:spacing w:after="180" w:line="276" w:lineRule="auto"/>
        <w:jc w:val="both"/>
        <w:rPr>
          <w:rFonts w:ascii="Calibri" w:eastAsia="Calibri" w:hAnsi="Calibri" w:cs="Calibri"/>
          <w:sz w:val="22"/>
          <w:szCs w:val="22"/>
        </w:rPr>
      </w:pPr>
    </w:p>
    <w:p w14:paraId="20B2C97C" w14:textId="77777777" w:rsidR="00012229" w:rsidRDefault="00012229">
      <w:pPr>
        <w:spacing w:after="180" w:line="276" w:lineRule="auto"/>
        <w:jc w:val="both"/>
        <w:rPr>
          <w:rFonts w:ascii="Calibri" w:eastAsia="Calibri" w:hAnsi="Calibri" w:cs="Calibri"/>
          <w:sz w:val="22"/>
          <w:szCs w:val="22"/>
        </w:rPr>
      </w:pPr>
    </w:p>
    <w:p w14:paraId="0ECE9FF6" w14:textId="77777777" w:rsidR="00A57F53" w:rsidRDefault="00A57F53">
      <w:pPr>
        <w:spacing w:after="180" w:line="276" w:lineRule="auto"/>
        <w:jc w:val="both"/>
        <w:rPr>
          <w:rFonts w:ascii="Calibri" w:eastAsia="Calibri" w:hAnsi="Calibri" w:cs="Calibri"/>
          <w:sz w:val="22"/>
          <w:szCs w:val="22"/>
        </w:rPr>
      </w:pPr>
    </w:p>
    <w:p w14:paraId="7405A5E1" w14:textId="3CB66A70" w:rsidR="00E01E85" w:rsidRPr="00434F0E" w:rsidRDefault="00546450" w:rsidP="00E01E85">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lastRenderedPageBreak/>
        <w:t xml:space="preserve">                                                      </w:t>
      </w:r>
      <w:r w:rsidRPr="00434F0E">
        <w:rPr>
          <w:rFonts w:ascii="Calibri" w:eastAsia="Calibri" w:hAnsi="Calibri" w:cs="Calibri"/>
          <w:b/>
          <w:bCs/>
          <w:color w:val="1F4E79"/>
          <w:sz w:val="28"/>
          <w:szCs w:val="28"/>
        </w:rPr>
        <w:t xml:space="preserve">Chapter Six: </w:t>
      </w:r>
      <w:r w:rsidR="00E01E85" w:rsidRPr="00434F0E">
        <w:rPr>
          <w:rFonts w:ascii="Calibri" w:eastAsia="Calibri" w:hAnsi="Calibri" w:cs="Calibri"/>
          <w:b/>
          <w:bCs/>
          <w:color w:val="1F4E79"/>
          <w:sz w:val="28"/>
          <w:szCs w:val="28"/>
        </w:rPr>
        <w:t>Conclusion</w:t>
      </w:r>
    </w:p>
    <w:p w14:paraId="356D49D6" w14:textId="77777777" w:rsidR="00434F0E" w:rsidRDefault="00434F0E" w:rsidP="00E01E85">
      <w:pPr>
        <w:pStyle w:val="Heading1"/>
        <w:spacing w:before="360" w:after="200"/>
      </w:pPr>
    </w:p>
    <w:p w14:paraId="5ADBF805" w14:textId="77777777" w:rsidR="00ED6A26" w:rsidRDefault="00ED6A26" w:rsidP="00ED6A26">
      <w:pPr>
        <w:spacing w:before="260" w:after="140"/>
      </w:pPr>
      <w:r>
        <w:rPr>
          <w:rFonts w:ascii="Calibri" w:hAnsi="Calibri"/>
          <w:b/>
          <w:color w:val="1F4E79"/>
          <w:sz w:val="24"/>
        </w:rPr>
        <w:t>6.1 Answering the Research Questions</w:t>
      </w:r>
    </w:p>
    <w:p w14:paraId="43C6B8C6" w14:textId="77777777" w:rsidR="00ED6A26" w:rsidRDefault="00ED6A26" w:rsidP="00ED6A26">
      <w:pPr>
        <w:spacing w:after="180" w:line="276" w:lineRule="auto"/>
        <w:jc w:val="both"/>
      </w:pPr>
      <w:r>
        <w:rPr>
          <w:rFonts w:ascii="Calibri" w:eastAsia="Calibri" w:hAnsi="Calibri" w:cs="Calibri"/>
          <w:sz w:val="22"/>
          <w:szCs w:val="22"/>
        </w:rPr>
        <w:t xml:space="preserve">This dissertation set out to answer one overarching question, examined through three supporting research questions: what the existing literature reveals about how AI adoption affects employee wellbeing and perceived job security, and what role HR practices can play in mitigating adverse effects. Drawing on a systematic review of 90 studies, synthesised thematically and integrated in Chapter 4, the answer this dissertation provides is that AI adoption affects wellbeing primarily indirectly, through an insecurity-and-technostress pathway rather than a direct mechanism, and that this pathway is substantially moderated, though not eliminated, by a specific, identifiable bundle of HR practices: organisational support, communicative and ethical leadership, procedural fairness, and co-skilling investment. Four findings stand out as the review's most significant discoveries. First, the curvilinear, threshold-based relationship between AI application intensity and job insecurity identified by Fu and Zhang (2026), which complicates any simple 'more AI equals more harm' narrative and instead points HR practitioners toward deliberate pacing rather than either resistance to or maximal speed of AI rollout. Second, the consistent, cross-national convergence on organisational support and leadership communication as buffering mechanisms, replicated across markedly different occupational and cultural contexts from South Korean office workers to Pakistani doctors to hospitality employees. Third, the genuine tension this review surfaced between organisational ambidexterity and organisational support as ostensibly related but empirically divergent moderators of AI's wellbeing effects, </w:t>
      </w:r>
      <w:proofErr w:type="gramStart"/>
      <w:r>
        <w:rPr>
          <w:rFonts w:ascii="Calibri" w:eastAsia="Calibri" w:hAnsi="Calibri" w:cs="Calibri"/>
          <w:sz w:val="22"/>
          <w:szCs w:val="22"/>
        </w:rPr>
        <w:t>an unresolved contradiction future research</w:t>
      </w:r>
      <w:proofErr w:type="gramEnd"/>
      <w:r>
        <w:rPr>
          <w:rFonts w:ascii="Calibri" w:eastAsia="Calibri" w:hAnsi="Calibri" w:cs="Calibri"/>
          <w:sz w:val="22"/>
          <w:szCs w:val="22"/>
        </w:rPr>
        <w:t xml:space="preserve"> should prioritise. Fourth, the finding that AI's benefits are skill-biased even within the same organisation (Jia et al., 2024), meaning uniform, one-size-fits-all HR responses to AI adoption are unlikely to serve a full workforce equally well.</w:t>
      </w:r>
    </w:p>
    <w:p w14:paraId="39AB5F6B" w14:textId="77777777" w:rsidR="00ED6A26" w:rsidRDefault="00ED6A26" w:rsidP="00ED6A26">
      <w:pPr>
        <w:spacing w:before="260" w:after="140"/>
      </w:pPr>
      <w:r>
        <w:rPr>
          <w:rFonts w:ascii="Calibri" w:hAnsi="Calibri"/>
          <w:b/>
          <w:color w:val="1F4E79"/>
          <w:sz w:val="24"/>
        </w:rPr>
        <w:t>6.2 Contributions to Knowledge and Practice</w:t>
      </w:r>
    </w:p>
    <w:p w14:paraId="7E785D64" w14:textId="77777777" w:rsidR="00ED6A26" w:rsidRDefault="00ED6A26" w:rsidP="00ED6A26">
      <w:pPr>
        <w:spacing w:after="180" w:line="276" w:lineRule="auto"/>
        <w:jc w:val="both"/>
      </w:pPr>
      <w:r>
        <w:rPr>
          <w:rFonts w:ascii="Calibri" w:eastAsia="Calibri" w:hAnsi="Calibri" w:cs="Calibri"/>
          <w:sz w:val="22"/>
          <w:szCs w:val="22"/>
        </w:rPr>
        <w:t xml:space="preserve">This dissertation's principal contribution is the integration of a fragmented, rapidly growing, and interdisciplinary literature into a single HR-focused conceptual framework (Figure 4), something no single study reviewed in Chapter 3 attempts, since each </w:t>
      </w:r>
      <w:proofErr w:type="gramStart"/>
      <w:r>
        <w:rPr>
          <w:rFonts w:ascii="Calibri" w:eastAsia="Calibri" w:hAnsi="Calibri" w:cs="Calibri"/>
          <w:sz w:val="22"/>
          <w:szCs w:val="22"/>
        </w:rPr>
        <w:t>isolates</w:t>
      </w:r>
      <w:proofErr w:type="gramEnd"/>
      <w:r>
        <w:rPr>
          <w:rFonts w:ascii="Calibri" w:eastAsia="Calibri" w:hAnsi="Calibri" w:cs="Calibri"/>
          <w:sz w:val="22"/>
          <w:szCs w:val="22"/>
        </w:rPr>
        <w:t xml:space="preserve"> one or two variables within this broader system. For academic audiences, this contributes a synthesised, testable model connecting AI adoption research to established occupational psychology theory, and a specific set of refinements to the JD-R model (the threshold dynamic identified in Section 4.3) and technostress theory (the proposed link to psychological contract violation) that prior single-study research had not brought together. For HR practitioners, this dissertation contributes an evidence-based rationale for treating HR practice not as a reactive mitigation of AI's effects but as an active, upstream determinant of whether those effects are harmful or manageable in the first place, along with five specific, evidence-linked recommendations set out in Section 5.2 that translate this rationale into practice.</w:t>
      </w:r>
    </w:p>
    <w:p w14:paraId="6AA3B724" w14:textId="77777777" w:rsidR="00ED6A26" w:rsidRDefault="00ED6A26" w:rsidP="00ED6A26">
      <w:pPr>
        <w:spacing w:before="260" w:after="140"/>
      </w:pPr>
      <w:r>
        <w:rPr>
          <w:rFonts w:ascii="Calibri" w:hAnsi="Calibri"/>
          <w:b/>
          <w:color w:val="1F4E79"/>
          <w:sz w:val="24"/>
        </w:rPr>
        <w:t>6.3 Limitations of the Review</w:t>
      </w:r>
    </w:p>
    <w:p w14:paraId="25B5DCFC" w14:textId="51ED949A" w:rsidR="00ED6A26" w:rsidRDefault="00ED6A26" w:rsidP="00ED6A26">
      <w:pPr>
        <w:spacing w:after="180" w:line="276" w:lineRule="auto"/>
        <w:jc w:val="both"/>
      </w:pPr>
      <w:r>
        <w:rPr>
          <w:rFonts w:ascii="Calibri" w:eastAsia="Calibri" w:hAnsi="Calibri" w:cs="Calibri"/>
          <w:sz w:val="22"/>
          <w:szCs w:val="22"/>
        </w:rPr>
        <w:t xml:space="preserve">Several limitations bound these conclusions. As an extended literature review rather than a primary empirical study, this dissertation's findings are only as strong as the underlying literature synthesised, which, as Section 3.4 detailed, is concentrated in a small number of national contexts, weighted towards cross-sectional designs, and only beginning to address generative AI specifically. The reference base, while covering 160 sources drawn from rigorous, largely peer-reviewed and predominantly management and psychology-focused journals, is necessarily selective relative to the fullest possible evidence base on a topic this broad, and readers should treat the conceptual framework in Figure 4 as a synthesised, plausible model requiring </w:t>
      </w:r>
      <w:r>
        <w:rPr>
          <w:rFonts w:ascii="Calibri" w:eastAsia="Calibri" w:hAnsi="Calibri" w:cs="Calibri"/>
          <w:sz w:val="22"/>
          <w:szCs w:val="22"/>
        </w:rPr>
        <w:lastRenderedPageBreak/>
        <w:t>direct empirical testing, not as an established, validated theory. The review is further limited by its English-language, primarily database-driven search strategy (Section 2.2), which may have under-represented relevant scholarship published in other languages or disseminated through channels outside the five databases searched.</w:t>
      </w:r>
    </w:p>
    <w:p w14:paraId="4CEB8185" w14:textId="77777777" w:rsidR="00ED6A26" w:rsidRDefault="00ED6A26" w:rsidP="00ED6A26">
      <w:pPr>
        <w:spacing w:before="260" w:after="140"/>
      </w:pPr>
      <w:r>
        <w:rPr>
          <w:rFonts w:ascii="Calibri" w:hAnsi="Calibri"/>
          <w:b/>
          <w:color w:val="1F4E79"/>
          <w:sz w:val="24"/>
        </w:rPr>
        <w:t>6.4 Recommendations for Future Research and Closing Remarks</w:t>
      </w:r>
    </w:p>
    <w:p w14:paraId="01D49A38" w14:textId="77777777" w:rsidR="00ED6A26" w:rsidRDefault="00ED6A26" w:rsidP="00ED6A26">
      <w:pPr>
        <w:spacing w:after="180" w:line="276" w:lineRule="auto"/>
        <w:jc w:val="both"/>
      </w:pPr>
      <w:r>
        <w:rPr>
          <w:rFonts w:ascii="Calibri" w:eastAsia="Calibri" w:hAnsi="Calibri" w:cs="Calibri"/>
          <w:sz w:val="22"/>
          <w:szCs w:val="22"/>
        </w:rPr>
        <w:t>Building on the gaps identified throughout this review, three next steps for the academic community stand out as particularly high-value: a combined-bundle longitudinal test of the HR practices identified in Sub-theme 3.2.3; a dedicated research stream on generative AI's wellbeing effects specifically, given how much organisational AI adoption has already shifted toward generative tools since most of the studies reviewed here were conducted; and a direct empirical test of the multi-level chain connecting organisational adoption antecedents to individual wellbeing outcomes proposed in Section 4.3. As AI continues to reshape the employment relationship at a pace few HR functions have previously had to manage, the central message of this dissertation is that the technology itself is not destiny: how organisations choose to support, communicate with, and involve their employees through that change remains, on the evidence reviewed here, the more decisive factor in whether AI adoption ultimately strengthens or undermines the workforce it is meant to serve.</w:t>
      </w:r>
    </w:p>
    <w:p w14:paraId="542D1415" w14:textId="31CCAED2" w:rsidR="00ED6A26" w:rsidRDefault="00ED6A26" w:rsidP="00ED6A26">
      <w:pPr>
        <w:spacing w:after="180" w:line="276" w:lineRule="auto"/>
        <w:jc w:val="both"/>
      </w:pPr>
      <w:r>
        <w:rPr>
          <w:rFonts w:ascii="Calibri" w:eastAsia="Calibri" w:hAnsi="Calibri" w:cs="Calibri"/>
          <w:sz w:val="22"/>
          <w:szCs w:val="22"/>
        </w:rPr>
        <w:t>Reflecting on the dissertation as a whole, the choice of an extended literature review methodology, rather than primary data collection, proved well suited to a field this fast-moving: many of the studies underpinning this dissertation's central findings (Fu and Zhang, 2026; Sha and Chai, 2025) were published within the final year of this project, and a primary survey or interview study designed at the project's outset would likely have been fielded and analysed before this newer evidence became available. This is itself a modest methodological finding worth stating plainly: for genuinely fast-moving topics, a rigorous, systematically updated literature review can, at least for a period, offer HR practitioners more current guidance than a single primary study fixed in time, provided as this dissertation has aimed to demonstrate throughout that the review's search, appraisal, and synthesis processes are conducted with the same transparency and rigour that would be expected of primary research. On that basis, the dissertation closes not with a claim that AI's relationship with employee wellbeing and job security is now fully understood, but with a defensible, evidence-traceable account of what is currently known, clearly bounded by the limitations set out above, and a concrete agenda the combined-bundle test, the generative-AI research stream, and the multi-level empirical test proposed above for closing the gaps that remain.</w:t>
      </w:r>
    </w:p>
    <w:p w14:paraId="259966B8" w14:textId="77777777" w:rsidR="00A57F53" w:rsidRDefault="00A57F53">
      <w:pPr>
        <w:spacing w:after="180" w:line="276" w:lineRule="auto"/>
        <w:jc w:val="both"/>
        <w:rPr>
          <w:rFonts w:ascii="Calibri" w:eastAsia="Calibri" w:hAnsi="Calibri" w:cs="Calibri"/>
          <w:sz w:val="22"/>
          <w:szCs w:val="22"/>
        </w:rPr>
      </w:pPr>
    </w:p>
    <w:p w14:paraId="54DA6892" w14:textId="77777777" w:rsidR="00A57F53" w:rsidRDefault="00A57F53">
      <w:pPr>
        <w:spacing w:after="180" w:line="276" w:lineRule="auto"/>
        <w:jc w:val="both"/>
        <w:rPr>
          <w:rFonts w:ascii="Calibri" w:eastAsia="Calibri" w:hAnsi="Calibri" w:cs="Calibri"/>
          <w:sz w:val="22"/>
          <w:szCs w:val="22"/>
        </w:rPr>
      </w:pPr>
    </w:p>
    <w:p w14:paraId="3E8241DE" w14:textId="77777777" w:rsidR="00012229" w:rsidRDefault="00012229">
      <w:pPr>
        <w:spacing w:after="180" w:line="276" w:lineRule="auto"/>
        <w:jc w:val="both"/>
        <w:rPr>
          <w:rFonts w:ascii="Calibri" w:eastAsia="Calibri" w:hAnsi="Calibri" w:cs="Calibri"/>
          <w:sz w:val="22"/>
          <w:szCs w:val="22"/>
        </w:rPr>
      </w:pPr>
    </w:p>
    <w:p w14:paraId="0DB0DD74" w14:textId="77777777" w:rsidR="00012229" w:rsidRDefault="00012229">
      <w:pPr>
        <w:spacing w:after="180" w:line="276" w:lineRule="auto"/>
        <w:jc w:val="both"/>
      </w:pPr>
    </w:p>
    <w:p w14:paraId="2D31EDA5" w14:textId="77777777" w:rsidR="0028485E" w:rsidRDefault="0028485E">
      <w:pPr>
        <w:spacing w:after="180" w:line="276" w:lineRule="auto"/>
        <w:jc w:val="both"/>
      </w:pPr>
    </w:p>
    <w:p w14:paraId="344B634C" w14:textId="77777777" w:rsidR="0028485E" w:rsidRDefault="0028485E">
      <w:pPr>
        <w:spacing w:after="180" w:line="276" w:lineRule="auto"/>
        <w:jc w:val="both"/>
      </w:pPr>
    </w:p>
    <w:p w14:paraId="20926DD5" w14:textId="77777777" w:rsidR="0028485E" w:rsidRDefault="0028485E">
      <w:pPr>
        <w:spacing w:after="180" w:line="276" w:lineRule="auto"/>
        <w:jc w:val="both"/>
      </w:pPr>
    </w:p>
    <w:p w14:paraId="1A2ADF87" w14:textId="77777777" w:rsidR="0028485E" w:rsidRDefault="0028485E">
      <w:pPr>
        <w:spacing w:after="180" w:line="276" w:lineRule="auto"/>
        <w:jc w:val="both"/>
      </w:pPr>
    </w:p>
    <w:p w14:paraId="6D1348D9" w14:textId="77777777" w:rsidR="0028485E" w:rsidRDefault="0028485E">
      <w:pPr>
        <w:spacing w:after="180" w:line="276" w:lineRule="auto"/>
        <w:jc w:val="both"/>
      </w:pPr>
    </w:p>
    <w:p w14:paraId="5211A180" w14:textId="77777777" w:rsidR="0028485E" w:rsidRDefault="0028485E">
      <w:pPr>
        <w:spacing w:after="180" w:line="276" w:lineRule="auto"/>
        <w:jc w:val="both"/>
      </w:pPr>
    </w:p>
    <w:p w14:paraId="4C40B518" w14:textId="77777777" w:rsidR="004768C0" w:rsidRDefault="0028485E">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lastRenderedPageBreak/>
        <w:t xml:space="preserve">                                                           </w:t>
      </w:r>
    </w:p>
    <w:p w14:paraId="1342866C" w14:textId="77777777" w:rsidR="004768C0" w:rsidRDefault="004768C0">
      <w:pPr>
        <w:pStyle w:val="Heading1"/>
        <w:spacing w:before="360" w:after="200"/>
        <w:rPr>
          <w:rFonts w:ascii="Calibri" w:eastAsia="Calibri" w:hAnsi="Calibri" w:cs="Calibri"/>
          <w:b/>
          <w:bCs/>
          <w:color w:val="1F4E79"/>
          <w:sz w:val="28"/>
          <w:szCs w:val="28"/>
        </w:rPr>
      </w:pPr>
    </w:p>
    <w:p w14:paraId="75BCF7E1" w14:textId="77777777" w:rsidR="004768C0" w:rsidRDefault="004768C0">
      <w:pPr>
        <w:pStyle w:val="Heading1"/>
        <w:spacing w:before="360" w:after="200"/>
        <w:rPr>
          <w:rFonts w:ascii="Calibri" w:eastAsia="Calibri" w:hAnsi="Calibri" w:cs="Calibri"/>
          <w:b/>
          <w:bCs/>
          <w:color w:val="1F4E79"/>
          <w:sz w:val="28"/>
          <w:szCs w:val="28"/>
        </w:rPr>
      </w:pPr>
    </w:p>
    <w:p w14:paraId="4EEEA9C1" w14:textId="1237AD15" w:rsidR="00997FE4" w:rsidRDefault="004768C0">
      <w:pPr>
        <w:pStyle w:val="Heading1"/>
        <w:spacing w:before="360" w:after="200"/>
        <w:rPr>
          <w:rFonts w:ascii="Calibri" w:eastAsia="Calibri" w:hAnsi="Calibri" w:cs="Calibri"/>
          <w:b/>
          <w:bCs/>
          <w:color w:val="1F4E79"/>
          <w:sz w:val="28"/>
          <w:szCs w:val="28"/>
        </w:rPr>
      </w:pPr>
      <w:r>
        <w:rPr>
          <w:rFonts w:ascii="Calibri" w:eastAsia="Calibri" w:hAnsi="Calibri" w:cs="Calibri"/>
          <w:b/>
          <w:bCs/>
          <w:color w:val="1F4E79"/>
          <w:sz w:val="28"/>
          <w:szCs w:val="28"/>
        </w:rPr>
        <w:t xml:space="preserve">                                                          </w:t>
      </w:r>
      <w:r w:rsidR="0028485E">
        <w:rPr>
          <w:rFonts w:ascii="Calibri" w:eastAsia="Calibri" w:hAnsi="Calibri" w:cs="Calibri"/>
          <w:b/>
          <w:bCs/>
          <w:color w:val="1F4E79"/>
          <w:sz w:val="28"/>
          <w:szCs w:val="28"/>
        </w:rPr>
        <w:t xml:space="preserve"> References</w:t>
      </w:r>
    </w:p>
    <w:p w14:paraId="4F0EC28C" w14:textId="77777777" w:rsidR="00ED6A26" w:rsidRDefault="00ED6A26" w:rsidP="00ED6A26">
      <w:pPr>
        <w:spacing w:after="160" w:line="276" w:lineRule="auto"/>
        <w:ind w:left="720" w:hanging="720"/>
      </w:pPr>
      <w:r>
        <w:rPr>
          <w:rFonts w:ascii="Calibri" w:hAnsi="Calibri"/>
          <w:sz w:val="22"/>
        </w:rPr>
        <w:t>Bakker, A.B. and Demerouti, E. (2007) 'The Job Demands-Resources Model: State of the Art', Journal of Managerial Psychology.</w:t>
      </w:r>
    </w:p>
    <w:p w14:paraId="044A622F" w14:textId="77777777" w:rsidR="00ED6A26" w:rsidRDefault="00ED6A26" w:rsidP="00ED6A26">
      <w:pPr>
        <w:spacing w:after="160" w:line="276" w:lineRule="auto"/>
        <w:ind w:left="720" w:hanging="720"/>
      </w:pPr>
      <w:r>
        <w:rPr>
          <w:rFonts w:ascii="Calibri" w:hAnsi="Calibri"/>
          <w:sz w:val="22"/>
        </w:rPr>
        <w:t>Bakker, A.B. and Demerouti, E. (2017) 'Job Demands–Resources Theory: Taking Stock and Looking Forward', Journal of Occupational Health Psychology.</w:t>
      </w:r>
    </w:p>
    <w:p w14:paraId="34A55913" w14:textId="77777777" w:rsidR="00ED6A26" w:rsidRDefault="00ED6A26" w:rsidP="00ED6A26">
      <w:pPr>
        <w:spacing w:after="160" w:line="276" w:lineRule="auto"/>
        <w:ind w:left="720" w:hanging="720"/>
      </w:pPr>
      <w:r>
        <w:rPr>
          <w:rFonts w:ascii="Calibri" w:hAnsi="Calibri"/>
          <w:sz w:val="22"/>
        </w:rPr>
        <w:t>Bhave, D.P., Teo, L.H. and Dalal, R.S. (2020) 'Privacy at Work: A Review and a Research Agenda for a Contested Terrain', Journal of Management.</w:t>
      </w:r>
    </w:p>
    <w:p w14:paraId="465709FD" w14:textId="77777777" w:rsidR="00ED6A26" w:rsidRDefault="00ED6A26" w:rsidP="00ED6A26">
      <w:pPr>
        <w:spacing w:after="160" w:line="276" w:lineRule="auto"/>
        <w:ind w:left="720" w:hanging="720"/>
      </w:pPr>
      <w:r>
        <w:rPr>
          <w:rFonts w:ascii="Calibri" w:hAnsi="Calibri"/>
          <w:sz w:val="22"/>
        </w:rPr>
        <w:t>Bibi, M., Tan, T.G. and Yao, H. (2025) 'Exploring the Impact of AI Capabilities on Employee Well-Being: A Mediated Moderation Analysis', SAGE Open.</w:t>
      </w:r>
    </w:p>
    <w:p w14:paraId="142711D2" w14:textId="77777777" w:rsidR="00ED6A26" w:rsidRDefault="00ED6A26" w:rsidP="00ED6A26">
      <w:pPr>
        <w:spacing w:after="160" w:line="276" w:lineRule="auto"/>
        <w:ind w:left="720" w:hanging="720"/>
      </w:pPr>
      <w:r>
        <w:rPr>
          <w:rFonts w:ascii="Calibri" w:hAnsi="Calibri"/>
          <w:sz w:val="22"/>
        </w:rPr>
        <w:t>Braun, V. and Clarke, V. (2006) 'Using Thematic Analysis in Psychology', Qualitative Research in Psychology.</w:t>
      </w:r>
    </w:p>
    <w:p w14:paraId="39E34FC6" w14:textId="77777777" w:rsidR="00ED6A26" w:rsidRDefault="00ED6A26" w:rsidP="00ED6A26">
      <w:pPr>
        <w:spacing w:after="160" w:line="276" w:lineRule="auto"/>
        <w:ind w:left="720" w:hanging="720"/>
      </w:pPr>
      <w:r>
        <w:rPr>
          <w:rFonts w:ascii="Calibri" w:hAnsi="Calibri"/>
          <w:sz w:val="22"/>
        </w:rPr>
        <w:t>Brougham, D. and Haar, J. (2018) 'Smart Technology, Artificial Intelligence, Robotics, and Algorithms (STARA): Employees' Perceptions of Our Future Workplace', Journal of Management and Organization.</w:t>
      </w:r>
    </w:p>
    <w:p w14:paraId="60783864" w14:textId="77777777" w:rsidR="00ED6A26" w:rsidRDefault="00ED6A26" w:rsidP="00ED6A26">
      <w:pPr>
        <w:spacing w:after="160" w:line="276" w:lineRule="auto"/>
        <w:ind w:left="720" w:hanging="720"/>
      </w:pPr>
      <w:proofErr w:type="spellStart"/>
      <w:r>
        <w:rPr>
          <w:rFonts w:ascii="Calibri" w:hAnsi="Calibri"/>
          <w:sz w:val="22"/>
        </w:rPr>
        <w:t>Budhwar</w:t>
      </w:r>
      <w:proofErr w:type="spellEnd"/>
      <w:r>
        <w:rPr>
          <w:rFonts w:ascii="Calibri" w:hAnsi="Calibri"/>
          <w:sz w:val="22"/>
        </w:rPr>
        <w:t>, P., Chowdhury, S., Wood, G., Aguinis, H., Bamber, G.J., Beltran, J.R., et al. (2023) 'Human Resource Management in the Age of Generative Artificial Intelligence: Perspectives and Research Directions on ChatGPT', Human Resource Management Journal.</w:t>
      </w:r>
    </w:p>
    <w:p w14:paraId="7F184FE2" w14:textId="77777777" w:rsidR="00ED6A26" w:rsidRDefault="00ED6A26" w:rsidP="00ED6A26">
      <w:pPr>
        <w:spacing w:after="160" w:line="276" w:lineRule="auto"/>
        <w:ind w:left="720" w:hanging="720"/>
      </w:pPr>
      <w:proofErr w:type="spellStart"/>
      <w:r>
        <w:rPr>
          <w:rFonts w:ascii="Calibri" w:hAnsi="Calibri"/>
          <w:sz w:val="22"/>
        </w:rPr>
        <w:t>Budhwar</w:t>
      </w:r>
      <w:proofErr w:type="spellEnd"/>
      <w:r>
        <w:rPr>
          <w:rFonts w:ascii="Calibri" w:hAnsi="Calibri"/>
          <w:sz w:val="22"/>
        </w:rPr>
        <w:t xml:space="preserve">, P., Malik, A., De Silva, M.T.T. and </w:t>
      </w:r>
      <w:proofErr w:type="spellStart"/>
      <w:r>
        <w:rPr>
          <w:rFonts w:ascii="Calibri" w:hAnsi="Calibri"/>
          <w:sz w:val="22"/>
        </w:rPr>
        <w:t>Thevisuthan</w:t>
      </w:r>
      <w:proofErr w:type="spellEnd"/>
      <w:r>
        <w:rPr>
          <w:rFonts w:ascii="Calibri" w:hAnsi="Calibri"/>
          <w:sz w:val="22"/>
        </w:rPr>
        <w:t>, P. (2022) 'Artificial Intelligence Challenges and Opportunities for International HRM: A Review and Research Agenda', International Journal of Human Resource Management.</w:t>
      </w:r>
    </w:p>
    <w:p w14:paraId="62BD7F18" w14:textId="77777777" w:rsidR="00ED6A26" w:rsidRDefault="00ED6A26" w:rsidP="00ED6A26">
      <w:pPr>
        <w:spacing w:after="160" w:line="276" w:lineRule="auto"/>
        <w:ind w:left="720" w:hanging="720"/>
      </w:pPr>
      <w:r>
        <w:rPr>
          <w:rFonts w:ascii="Calibri" w:hAnsi="Calibri"/>
          <w:sz w:val="22"/>
        </w:rPr>
        <w:t xml:space="preserve">Cascio, W.F. and Montealegre, R. (2016) 'How Technology Is Changing Work and Organizations', Annual Review of Organizational Psychology and Organizational </w:t>
      </w:r>
      <w:proofErr w:type="spellStart"/>
      <w:r>
        <w:rPr>
          <w:rFonts w:ascii="Calibri" w:hAnsi="Calibri"/>
          <w:sz w:val="22"/>
        </w:rPr>
        <w:t>Behavior</w:t>
      </w:r>
      <w:proofErr w:type="spellEnd"/>
      <w:r>
        <w:rPr>
          <w:rFonts w:ascii="Calibri" w:hAnsi="Calibri"/>
          <w:sz w:val="22"/>
        </w:rPr>
        <w:t>.</w:t>
      </w:r>
    </w:p>
    <w:p w14:paraId="1AC1AE70" w14:textId="77777777" w:rsidR="00ED6A26" w:rsidRDefault="00ED6A26" w:rsidP="00ED6A26">
      <w:pPr>
        <w:spacing w:after="160" w:line="276" w:lineRule="auto"/>
        <w:ind w:left="720" w:hanging="720"/>
      </w:pPr>
      <w:r>
        <w:rPr>
          <w:rFonts w:ascii="Calibri" w:hAnsi="Calibri"/>
          <w:sz w:val="22"/>
        </w:rPr>
        <w:t>Castelo, N., Bos, M.W. and Lehmann, D.R. (2019) 'Task-Dependent Algorithm Aversion', Journal of Marketing Research.</w:t>
      </w:r>
    </w:p>
    <w:p w14:paraId="134DB5B0" w14:textId="77777777" w:rsidR="00ED6A26" w:rsidRDefault="00ED6A26" w:rsidP="00ED6A26">
      <w:pPr>
        <w:spacing w:after="160" w:line="276" w:lineRule="auto"/>
        <w:ind w:left="720" w:hanging="720"/>
      </w:pPr>
      <w:r>
        <w:rPr>
          <w:rFonts w:ascii="Calibri" w:hAnsi="Calibri"/>
          <w:sz w:val="22"/>
        </w:rPr>
        <w:t>Chen, Z. (2023) 'Collaboration Among Recruiters and Artificial Intelligence: Removing Human Prejudices in Employment', Cognition, Technology &amp; Work.</w:t>
      </w:r>
    </w:p>
    <w:p w14:paraId="273FE0DA" w14:textId="77777777" w:rsidR="00ED6A26" w:rsidRDefault="00ED6A26" w:rsidP="00ED6A26">
      <w:pPr>
        <w:spacing w:after="160" w:line="276" w:lineRule="auto"/>
        <w:ind w:left="720" w:hanging="720"/>
      </w:pPr>
      <w:r>
        <w:rPr>
          <w:rFonts w:ascii="Calibri" w:hAnsi="Calibri"/>
          <w:sz w:val="22"/>
        </w:rPr>
        <w:t xml:space="preserve">Cheng, G.H.L. and Chan, D.K.S. (2008) 'Who Suffers More </w:t>
      </w:r>
      <w:proofErr w:type="gramStart"/>
      <w:r>
        <w:rPr>
          <w:rFonts w:ascii="Calibri" w:hAnsi="Calibri"/>
          <w:sz w:val="22"/>
        </w:rPr>
        <w:t>From</w:t>
      </w:r>
      <w:proofErr w:type="gramEnd"/>
      <w:r>
        <w:rPr>
          <w:rFonts w:ascii="Calibri" w:hAnsi="Calibri"/>
          <w:sz w:val="22"/>
        </w:rPr>
        <w:t xml:space="preserve"> Job Insecurity? A Meta-Analytic Review', Applied Psychology: An International Review.</w:t>
      </w:r>
    </w:p>
    <w:p w14:paraId="58A1E2B6" w14:textId="77777777" w:rsidR="00ED6A26" w:rsidRDefault="00ED6A26" w:rsidP="00ED6A26">
      <w:pPr>
        <w:spacing w:after="160" w:line="276" w:lineRule="auto"/>
        <w:ind w:left="720" w:hanging="720"/>
      </w:pPr>
      <w:r>
        <w:rPr>
          <w:rFonts w:ascii="Calibri" w:hAnsi="Calibri"/>
          <w:sz w:val="22"/>
        </w:rPr>
        <w:t>Cheng, M.M. and Hackett, R.D. (2021) 'A Critical Review of Algorithms in HRM: Definition, Theory, and Practice', Human Resource Management Review.</w:t>
      </w:r>
    </w:p>
    <w:p w14:paraId="55833FF3" w14:textId="77777777" w:rsidR="00ED6A26" w:rsidRDefault="00ED6A26" w:rsidP="00ED6A26">
      <w:pPr>
        <w:spacing w:after="160" w:line="276" w:lineRule="auto"/>
        <w:ind w:left="720" w:hanging="720"/>
      </w:pPr>
      <w:r>
        <w:rPr>
          <w:rFonts w:ascii="Calibri" w:hAnsi="Calibri"/>
          <w:sz w:val="22"/>
        </w:rPr>
        <w:t>Colquitt, J.A., Conlon, D.E., Wesson, M.J., Porter, C.O.L.H. and Ng, K.Y. (2001) 'Justice at the Millennium: A Meta-Analytic Review of 25 Years of Organizational Justice Research', Journal of Applied Psychology.</w:t>
      </w:r>
    </w:p>
    <w:p w14:paraId="27393355" w14:textId="77777777" w:rsidR="00ED6A26" w:rsidRDefault="00ED6A26" w:rsidP="00ED6A26">
      <w:pPr>
        <w:spacing w:after="160" w:line="276" w:lineRule="auto"/>
        <w:ind w:left="720" w:hanging="720"/>
      </w:pPr>
      <w:r>
        <w:rPr>
          <w:rFonts w:ascii="Calibri" w:hAnsi="Calibri"/>
          <w:sz w:val="22"/>
        </w:rPr>
        <w:lastRenderedPageBreak/>
        <w:t>Costin, A., Roman, A.F. and Balica, R.S. (2023) 'Remote Work Burnout, Professional Job Stress, and Employee Emotional Exhaustion During the COVID-19 Pandemic', Frontiers in Psychology.</w:t>
      </w:r>
    </w:p>
    <w:p w14:paraId="5873067D" w14:textId="77777777" w:rsidR="00ED6A26" w:rsidRDefault="00ED6A26" w:rsidP="00ED6A26">
      <w:pPr>
        <w:spacing w:after="160" w:line="276" w:lineRule="auto"/>
        <w:ind w:left="720" w:hanging="720"/>
      </w:pPr>
      <w:proofErr w:type="spellStart"/>
      <w:r>
        <w:rPr>
          <w:rFonts w:ascii="Calibri" w:hAnsi="Calibri"/>
          <w:sz w:val="22"/>
        </w:rPr>
        <w:t>Cramarenco</w:t>
      </w:r>
      <w:proofErr w:type="spellEnd"/>
      <w:r>
        <w:rPr>
          <w:rFonts w:ascii="Calibri" w:hAnsi="Calibri"/>
          <w:sz w:val="22"/>
        </w:rPr>
        <w:t xml:space="preserve">, R.E., Burca-Voicu, M.I. and Dabija, D.C. (2023) 'The Impact of Artificial Intelligence (AI) on Employees' Skills and Well-Being in Global Labor Markets: A Systematic Review', </w:t>
      </w:r>
      <w:proofErr w:type="spellStart"/>
      <w:r>
        <w:rPr>
          <w:rFonts w:ascii="Calibri" w:hAnsi="Calibri"/>
          <w:sz w:val="22"/>
        </w:rPr>
        <w:t>Oeconomia</w:t>
      </w:r>
      <w:proofErr w:type="spellEnd"/>
      <w:r>
        <w:rPr>
          <w:rFonts w:ascii="Calibri" w:hAnsi="Calibri"/>
          <w:sz w:val="22"/>
        </w:rPr>
        <w:t xml:space="preserve"> </w:t>
      </w:r>
      <w:proofErr w:type="spellStart"/>
      <w:r>
        <w:rPr>
          <w:rFonts w:ascii="Calibri" w:hAnsi="Calibri"/>
          <w:sz w:val="22"/>
        </w:rPr>
        <w:t>Copernicana</w:t>
      </w:r>
      <w:proofErr w:type="spellEnd"/>
      <w:r>
        <w:rPr>
          <w:rFonts w:ascii="Calibri" w:hAnsi="Calibri"/>
          <w:sz w:val="22"/>
        </w:rPr>
        <w:t>.</w:t>
      </w:r>
    </w:p>
    <w:p w14:paraId="4FCCD59B" w14:textId="77777777" w:rsidR="00ED6A26" w:rsidRDefault="00ED6A26" w:rsidP="00ED6A26">
      <w:pPr>
        <w:spacing w:after="160" w:line="276" w:lineRule="auto"/>
        <w:ind w:left="720" w:hanging="720"/>
      </w:pPr>
      <w:proofErr w:type="spellStart"/>
      <w:r>
        <w:rPr>
          <w:rFonts w:ascii="Calibri" w:hAnsi="Calibri"/>
          <w:sz w:val="22"/>
        </w:rPr>
        <w:t>Cropanzano</w:t>
      </w:r>
      <w:proofErr w:type="spellEnd"/>
      <w:r>
        <w:rPr>
          <w:rFonts w:ascii="Calibri" w:hAnsi="Calibri"/>
          <w:sz w:val="22"/>
        </w:rPr>
        <w:t>, R., Bowen, D.E. and Gilliland, S.W. (2007) 'The Management of Organizational Justice', Academy of Management Perspectives.</w:t>
      </w:r>
    </w:p>
    <w:p w14:paraId="002B803E" w14:textId="77777777" w:rsidR="00ED6A26" w:rsidRDefault="00ED6A26" w:rsidP="00ED6A26">
      <w:pPr>
        <w:spacing w:after="160" w:line="276" w:lineRule="auto"/>
        <w:ind w:left="720" w:hanging="720"/>
      </w:pPr>
      <w:r>
        <w:rPr>
          <w:rFonts w:ascii="Calibri" w:hAnsi="Calibri"/>
          <w:sz w:val="22"/>
        </w:rPr>
        <w:t>Davis, F.D. (1989) 'Perceived Usefulness, Perceived Ease of Use, and User Acceptance of Information Technology', MIS Quarterly.</w:t>
      </w:r>
    </w:p>
    <w:p w14:paraId="1FE37157" w14:textId="77777777" w:rsidR="00ED6A26" w:rsidRDefault="00ED6A26" w:rsidP="00ED6A26">
      <w:pPr>
        <w:spacing w:after="160" w:line="276" w:lineRule="auto"/>
        <w:ind w:left="720" w:hanging="720"/>
      </w:pPr>
      <w:r>
        <w:rPr>
          <w:rFonts w:ascii="Calibri" w:hAnsi="Calibri"/>
          <w:sz w:val="22"/>
        </w:rPr>
        <w:t>De Witte, H. (1999) 'Job Insecurity and Psychological Well-Being: Review of the Literature and Exploration of Some Unresolved Issues', European Journal of Work and Organizational Psychology.</w:t>
      </w:r>
    </w:p>
    <w:p w14:paraId="737FCD87" w14:textId="77777777" w:rsidR="00ED6A26" w:rsidRDefault="00ED6A26" w:rsidP="00ED6A26">
      <w:pPr>
        <w:spacing w:after="160" w:line="276" w:lineRule="auto"/>
        <w:ind w:left="720" w:hanging="720"/>
      </w:pPr>
      <w:r>
        <w:rPr>
          <w:rFonts w:ascii="Calibri" w:hAnsi="Calibri"/>
          <w:sz w:val="22"/>
        </w:rPr>
        <w:t>Demerouti, E., Bakker, A.B., Nachreiner, F. and Schaufeli, W.B. (2001) 'The Job Demands-Resources Model of Burnout', Journal of Applied Psychology.</w:t>
      </w:r>
    </w:p>
    <w:p w14:paraId="08FCA1BE" w14:textId="77777777" w:rsidR="00ED6A26" w:rsidRDefault="00ED6A26" w:rsidP="00ED6A26">
      <w:pPr>
        <w:spacing w:after="160" w:line="276" w:lineRule="auto"/>
        <w:ind w:left="720" w:hanging="720"/>
      </w:pPr>
      <w:r>
        <w:rPr>
          <w:rFonts w:ascii="Calibri" w:hAnsi="Calibri"/>
          <w:sz w:val="22"/>
        </w:rPr>
        <w:t xml:space="preserve">Dwivedi, Y.K., Hughes, L., </w:t>
      </w:r>
      <w:proofErr w:type="spellStart"/>
      <w:r>
        <w:rPr>
          <w:rFonts w:ascii="Calibri" w:hAnsi="Calibri"/>
          <w:sz w:val="22"/>
        </w:rPr>
        <w:t>Ismagilova</w:t>
      </w:r>
      <w:proofErr w:type="spellEnd"/>
      <w:r>
        <w:rPr>
          <w:rFonts w:ascii="Calibri" w:hAnsi="Calibri"/>
          <w:sz w:val="22"/>
        </w:rPr>
        <w:t>, E., Aarts, G., Coombs, C., Crick, T., et al. (2021) 'Artificial Intelligence (AI): Multidisciplinary perspectives on emerging challenges, opportunities, and agenda for research, practice and policy', International Journal of Information Management, 57, article 101994.</w:t>
      </w:r>
    </w:p>
    <w:p w14:paraId="5ED5A680" w14:textId="77777777" w:rsidR="00ED6A26" w:rsidRDefault="00ED6A26" w:rsidP="00ED6A26">
      <w:pPr>
        <w:spacing w:after="160" w:line="276" w:lineRule="auto"/>
        <w:ind w:left="720" w:hanging="720"/>
      </w:pPr>
      <w:r>
        <w:rPr>
          <w:rFonts w:ascii="Calibri" w:hAnsi="Calibri"/>
          <w:sz w:val="22"/>
        </w:rPr>
        <w:t xml:space="preserve">Edmondson, A. (1999) 'Psychological Safety and Learning </w:t>
      </w:r>
      <w:proofErr w:type="spellStart"/>
      <w:r>
        <w:rPr>
          <w:rFonts w:ascii="Calibri" w:hAnsi="Calibri"/>
          <w:sz w:val="22"/>
        </w:rPr>
        <w:t>Behavior</w:t>
      </w:r>
      <w:proofErr w:type="spellEnd"/>
      <w:r>
        <w:rPr>
          <w:rFonts w:ascii="Calibri" w:hAnsi="Calibri"/>
          <w:sz w:val="22"/>
        </w:rPr>
        <w:t xml:space="preserve"> in Work Teams', Administrative Science Quarterly.</w:t>
      </w:r>
    </w:p>
    <w:p w14:paraId="45616A58" w14:textId="77777777" w:rsidR="00ED6A26" w:rsidRDefault="00ED6A26" w:rsidP="00ED6A26">
      <w:pPr>
        <w:spacing w:after="160" w:line="276" w:lineRule="auto"/>
        <w:ind w:left="720" w:hanging="720"/>
      </w:pPr>
      <w:r>
        <w:rPr>
          <w:rFonts w:ascii="Calibri" w:hAnsi="Calibri"/>
          <w:sz w:val="22"/>
        </w:rPr>
        <w:t>Eisenberger, R., Huntington, R., Hutchison, S. and Sowa, D. (1986) 'Perceived Organizational Support', Journal of Applied Psychology.</w:t>
      </w:r>
    </w:p>
    <w:p w14:paraId="453996BF" w14:textId="77777777" w:rsidR="00ED6A26" w:rsidRDefault="00ED6A26" w:rsidP="00ED6A26">
      <w:pPr>
        <w:spacing w:after="160" w:line="276" w:lineRule="auto"/>
        <w:ind w:left="720" w:hanging="720"/>
      </w:pPr>
      <w:r>
        <w:rPr>
          <w:rFonts w:ascii="Calibri" w:hAnsi="Calibri"/>
          <w:sz w:val="22"/>
        </w:rPr>
        <w:t>Fleming, P. (2019) 'Robots and Organization Studies: Why Robots Might Not Want to Steal Your Job', Organization Studies.</w:t>
      </w:r>
    </w:p>
    <w:p w14:paraId="4D5902FD" w14:textId="77777777" w:rsidR="00ED6A26" w:rsidRDefault="00ED6A26" w:rsidP="00ED6A26">
      <w:pPr>
        <w:spacing w:after="160" w:line="276" w:lineRule="auto"/>
        <w:ind w:left="720" w:hanging="720"/>
      </w:pPr>
      <w:r>
        <w:rPr>
          <w:rFonts w:ascii="Calibri" w:hAnsi="Calibri"/>
          <w:sz w:val="22"/>
        </w:rPr>
        <w:t>Frey, C.B. and Osborne, M.A. (2017) 'The Future of Employment: How Susceptible Are Jobs to Computerisation?', Technological Forecasting and Social Change.</w:t>
      </w:r>
    </w:p>
    <w:p w14:paraId="6AD48970" w14:textId="77777777" w:rsidR="00ED6A26" w:rsidRDefault="00ED6A26" w:rsidP="00ED6A26">
      <w:pPr>
        <w:spacing w:after="160" w:line="276" w:lineRule="auto"/>
        <w:ind w:left="720" w:hanging="720"/>
      </w:pPr>
      <w:r>
        <w:rPr>
          <w:rFonts w:ascii="Calibri" w:hAnsi="Calibri"/>
          <w:sz w:val="22"/>
        </w:rPr>
        <w:t>Fu, W. and Zhang, H. (2026) 'The Impact of Artificial Intelligence Application on Employees' Job Insecurity: The Moderating Roles of Self-Efficacy and Transformational Leadership', Frontiers in Psychology.</w:t>
      </w:r>
    </w:p>
    <w:p w14:paraId="76A96C3E" w14:textId="77777777" w:rsidR="00ED6A26" w:rsidRDefault="00ED6A26" w:rsidP="00ED6A26">
      <w:pPr>
        <w:spacing w:after="160" w:line="276" w:lineRule="auto"/>
        <w:ind w:left="720" w:hanging="720"/>
      </w:pPr>
      <w:r>
        <w:rPr>
          <w:rFonts w:ascii="Calibri" w:hAnsi="Calibri"/>
          <w:sz w:val="22"/>
        </w:rPr>
        <w:t>Glikson, E. and Woolley, A.W. (2020) 'Human Trust in Artificial Intelligence: Review of Empirical Research', Academy of Management Annals.</w:t>
      </w:r>
    </w:p>
    <w:p w14:paraId="5CAA8FB7" w14:textId="77777777" w:rsidR="00ED6A26" w:rsidRDefault="00ED6A26" w:rsidP="00ED6A26">
      <w:pPr>
        <w:spacing w:after="160" w:line="276" w:lineRule="auto"/>
        <w:ind w:left="720" w:hanging="720"/>
      </w:pPr>
      <w:r>
        <w:rPr>
          <w:rFonts w:ascii="Calibri" w:hAnsi="Calibri"/>
          <w:sz w:val="22"/>
        </w:rPr>
        <w:t>Grant, A.M. and Parker, S.K. (2009) 'Redesigning Work Design Theories: The Rise of Relational and Proactive Perspectives', Academy of Management Annals.</w:t>
      </w:r>
    </w:p>
    <w:p w14:paraId="16584FCD" w14:textId="77777777" w:rsidR="00ED6A26" w:rsidRDefault="00ED6A26" w:rsidP="00ED6A26">
      <w:pPr>
        <w:spacing w:after="160" w:line="276" w:lineRule="auto"/>
        <w:ind w:left="720" w:hanging="720"/>
      </w:pPr>
      <w:r>
        <w:rPr>
          <w:rFonts w:ascii="Calibri" w:hAnsi="Calibri"/>
          <w:sz w:val="22"/>
        </w:rPr>
        <w:t>Grant, M.J. and Booth, A. (2009) 'A Typology of Reviews: An Analysis of 14 Review Types and Associated Methodologies', Health Information and Libraries Journal.</w:t>
      </w:r>
    </w:p>
    <w:p w14:paraId="54FA29AA" w14:textId="77777777" w:rsidR="00ED6A26" w:rsidRDefault="00ED6A26" w:rsidP="00ED6A26">
      <w:pPr>
        <w:spacing w:after="160" w:line="276" w:lineRule="auto"/>
        <w:ind w:left="720" w:hanging="720"/>
      </w:pPr>
      <w:r>
        <w:rPr>
          <w:rFonts w:ascii="Calibri" w:hAnsi="Calibri"/>
          <w:sz w:val="22"/>
        </w:rPr>
        <w:t>Greenhalgh, L. and Rosenblatt, Z. (1984) 'Job Insecurity: Toward Conceptual Clarity', Academy of Management Review.</w:t>
      </w:r>
    </w:p>
    <w:p w14:paraId="1C1D2F75" w14:textId="77777777" w:rsidR="00ED6A26" w:rsidRDefault="00ED6A26" w:rsidP="00ED6A26">
      <w:pPr>
        <w:spacing w:after="160" w:line="276" w:lineRule="auto"/>
        <w:ind w:left="720" w:hanging="720"/>
      </w:pPr>
      <w:r>
        <w:rPr>
          <w:rFonts w:ascii="Calibri" w:hAnsi="Calibri"/>
          <w:sz w:val="22"/>
        </w:rPr>
        <w:t xml:space="preserve">Hackman, J.R. and Oldham, G.R. (1976) 'Motivation Through the Design of Work: Test of a Theory', Organizational </w:t>
      </w:r>
      <w:proofErr w:type="spellStart"/>
      <w:r>
        <w:rPr>
          <w:rFonts w:ascii="Calibri" w:hAnsi="Calibri"/>
          <w:sz w:val="22"/>
        </w:rPr>
        <w:t>Behavior</w:t>
      </w:r>
      <w:proofErr w:type="spellEnd"/>
      <w:r>
        <w:rPr>
          <w:rFonts w:ascii="Calibri" w:hAnsi="Calibri"/>
          <w:sz w:val="22"/>
        </w:rPr>
        <w:t xml:space="preserve"> and Human Performance.</w:t>
      </w:r>
    </w:p>
    <w:p w14:paraId="26B26709" w14:textId="77777777" w:rsidR="00ED6A26" w:rsidRDefault="00ED6A26" w:rsidP="00ED6A26">
      <w:pPr>
        <w:spacing w:after="160" w:line="276" w:lineRule="auto"/>
        <w:ind w:left="720" w:hanging="720"/>
      </w:pPr>
      <w:r>
        <w:rPr>
          <w:rFonts w:ascii="Calibri" w:hAnsi="Calibri"/>
          <w:sz w:val="22"/>
        </w:rPr>
        <w:lastRenderedPageBreak/>
        <w:t>Han, Z., Song, G., Zhang, Y. and Yan, L. (2025) 'Enhancing Employees' Workplace Well-Being Through Workplace Digitization: Exploring the Mediating Roles of Job Demands and Digital Anxiety', Frontiers in Psychology.</w:t>
      </w:r>
    </w:p>
    <w:p w14:paraId="25277B58" w14:textId="77777777" w:rsidR="00ED6A26" w:rsidRDefault="00ED6A26" w:rsidP="00ED6A26">
      <w:pPr>
        <w:spacing w:after="160" w:line="276" w:lineRule="auto"/>
        <w:ind w:left="720" w:hanging="720"/>
      </w:pPr>
      <w:r>
        <w:rPr>
          <w:rFonts w:ascii="Calibri" w:hAnsi="Calibri"/>
          <w:sz w:val="22"/>
        </w:rPr>
        <w:t>Jia, N., Luo, X., Fang, Z. and Liao, C. (2024) 'When and How Artificial Intelligence Augments Employee Creativity', Academy of Management Journal.</w:t>
      </w:r>
    </w:p>
    <w:p w14:paraId="76B3A5D9" w14:textId="77777777" w:rsidR="00ED6A26" w:rsidRDefault="00ED6A26" w:rsidP="00ED6A26">
      <w:pPr>
        <w:spacing w:after="160" w:line="276" w:lineRule="auto"/>
        <w:ind w:left="720" w:hanging="720"/>
      </w:pPr>
      <w:r>
        <w:rPr>
          <w:rFonts w:ascii="Calibri" w:hAnsi="Calibri"/>
          <w:sz w:val="22"/>
        </w:rPr>
        <w:t xml:space="preserve">Jiang, L. and </w:t>
      </w:r>
      <w:proofErr w:type="spellStart"/>
      <w:r>
        <w:rPr>
          <w:rFonts w:ascii="Calibri" w:hAnsi="Calibri"/>
          <w:sz w:val="22"/>
        </w:rPr>
        <w:t>Lavaysse</w:t>
      </w:r>
      <w:proofErr w:type="spellEnd"/>
      <w:r>
        <w:rPr>
          <w:rFonts w:ascii="Calibri" w:hAnsi="Calibri"/>
          <w:sz w:val="22"/>
        </w:rPr>
        <w:t>, L.M. (2018) 'Cognitive and Affective Job Insecurity: A Meta-Analysis and a Primary Study', Journal of Management.</w:t>
      </w:r>
    </w:p>
    <w:p w14:paraId="64EE6F97" w14:textId="77777777" w:rsidR="00ED6A26" w:rsidRDefault="00ED6A26" w:rsidP="00ED6A26">
      <w:pPr>
        <w:spacing w:after="160" w:line="276" w:lineRule="auto"/>
        <w:ind w:left="720" w:hanging="720"/>
      </w:pPr>
      <w:r>
        <w:rPr>
          <w:rFonts w:ascii="Calibri" w:hAnsi="Calibri"/>
          <w:sz w:val="22"/>
        </w:rPr>
        <w:t>Kahn, W.A. (1990) 'Psychological Conditions of Personal Engagement and Disengagement at Work', Academy of Management Journal.</w:t>
      </w:r>
    </w:p>
    <w:p w14:paraId="2A3BD424" w14:textId="77777777" w:rsidR="00ED6A26" w:rsidRDefault="00ED6A26" w:rsidP="00ED6A26">
      <w:pPr>
        <w:spacing w:after="160" w:line="276" w:lineRule="auto"/>
        <w:ind w:left="720" w:hanging="720"/>
      </w:pPr>
      <w:r>
        <w:rPr>
          <w:rFonts w:ascii="Calibri" w:hAnsi="Calibri"/>
          <w:sz w:val="22"/>
        </w:rPr>
        <w:t>Kaplan, A. and Haenlein, M. (2020) 'Rulers of the World, Unite! The Challenges and Opportunities of Artificial Intelligence', Business Horizons.</w:t>
      </w:r>
    </w:p>
    <w:p w14:paraId="54462C37" w14:textId="77777777" w:rsidR="00ED6A26" w:rsidRDefault="00ED6A26" w:rsidP="00ED6A26">
      <w:pPr>
        <w:spacing w:after="160" w:line="276" w:lineRule="auto"/>
        <w:ind w:left="720" w:hanging="720"/>
      </w:pPr>
      <w:r>
        <w:rPr>
          <w:rFonts w:ascii="Calibri" w:hAnsi="Calibri"/>
          <w:sz w:val="22"/>
        </w:rPr>
        <w:t>Kellogg, K.C., Valentine, M.A. and Christin, A. (2020) 'Algorithms at Work: The New Contested Terrain of Control', Academy of Management Annals.</w:t>
      </w:r>
    </w:p>
    <w:p w14:paraId="231B0A3B" w14:textId="77777777" w:rsidR="00ED6A26" w:rsidRDefault="00ED6A26" w:rsidP="00ED6A26">
      <w:pPr>
        <w:spacing w:after="160" w:line="276" w:lineRule="auto"/>
        <w:ind w:left="720" w:hanging="720"/>
      </w:pPr>
      <w:r>
        <w:rPr>
          <w:rFonts w:ascii="Calibri" w:hAnsi="Calibri"/>
          <w:sz w:val="22"/>
        </w:rPr>
        <w:t>Kim, B.-J., Kim, M.-J. and Lee, J. (2025) 'The Dark Side of Artificial Intelligence Adoption: Linking Artificial Intelligence Adoption to Employee Depression via Psychological Safety and Ethical Leadership', Humanities and Social Sciences Communications.</w:t>
      </w:r>
    </w:p>
    <w:p w14:paraId="5F644183" w14:textId="77777777" w:rsidR="00ED6A26" w:rsidRDefault="00ED6A26" w:rsidP="00ED6A26">
      <w:pPr>
        <w:spacing w:after="160" w:line="276" w:lineRule="auto"/>
        <w:ind w:left="720" w:hanging="720"/>
      </w:pPr>
      <w:proofErr w:type="spellStart"/>
      <w:r>
        <w:rPr>
          <w:rFonts w:ascii="Calibri" w:hAnsi="Calibri"/>
          <w:sz w:val="22"/>
        </w:rPr>
        <w:t>Kinowska</w:t>
      </w:r>
      <w:proofErr w:type="spellEnd"/>
      <w:r>
        <w:rPr>
          <w:rFonts w:ascii="Calibri" w:hAnsi="Calibri"/>
          <w:sz w:val="22"/>
        </w:rPr>
        <w:t xml:space="preserve">, H. and Sienkiewicz, L.J. (2023) 'Influence of Algorithmic Management Practices on Workplace Well-Being - Evidence </w:t>
      </w:r>
      <w:proofErr w:type="gramStart"/>
      <w:r>
        <w:rPr>
          <w:rFonts w:ascii="Calibri" w:hAnsi="Calibri"/>
          <w:sz w:val="22"/>
        </w:rPr>
        <w:t>From</w:t>
      </w:r>
      <w:proofErr w:type="gramEnd"/>
      <w:r>
        <w:rPr>
          <w:rFonts w:ascii="Calibri" w:hAnsi="Calibri"/>
          <w:sz w:val="22"/>
        </w:rPr>
        <w:t xml:space="preserve"> European Organisations', Information Technology and People.</w:t>
      </w:r>
    </w:p>
    <w:p w14:paraId="243234C1" w14:textId="77777777" w:rsidR="00ED6A26" w:rsidRDefault="00ED6A26" w:rsidP="00ED6A26">
      <w:pPr>
        <w:spacing w:after="160" w:line="276" w:lineRule="auto"/>
        <w:ind w:left="720" w:hanging="720"/>
      </w:pPr>
      <w:r>
        <w:rPr>
          <w:rFonts w:ascii="Calibri" w:hAnsi="Calibri"/>
          <w:sz w:val="22"/>
        </w:rPr>
        <w:t>Kitchenham, B. and Charters, S. (2007) 'Guidelines for Performing Systematic Literature Reviews in Software Engineering', Technical Report EBSE 2007-001 (Keele University and Durham University, not a journal).</w:t>
      </w:r>
    </w:p>
    <w:p w14:paraId="351E94C0" w14:textId="77777777" w:rsidR="00ED6A26" w:rsidRDefault="00ED6A26" w:rsidP="00ED6A26">
      <w:pPr>
        <w:spacing w:after="160" w:line="276" w:lineRule="auto"/>
        <w:ind w:left="720" w:hanging="720"/>
      </w:pPr>
      <w:r>
        <w:rPr>
          <w:rFonts w:ascii="Calibri" w:hAnsi="Calibri"/>
          <w:sz w:val="22"/>
        </w:rPr>
        <w:t>Li, C., Ashraf, S.F., Amin, S. and Safdar, M.N. (2023) 'Consequence of Resistance to Change on AI Readiness: Mediating-Moderating Role of Task-Oriented Leadership and High-Performance Work System in the Hospitality Sector', SAGE Open.</w:t>
      </w:r>
    </w:p>
    <w:p w14:paraId="713D4BE9" w14:textId="77777777" w:rsidR="00ED6A26" w:rsidRDefault="00ED6A26" w:rsidP="00ED6A26">
      <w:pPr>
        <w:spacing w:after="160" w:line="276" w:lineRule="auto"/>
        <w:ind w:left="720" w:hanging="720"/>
      </w:pPr>
      <w:r>
        <w:rPr>
          <w:rFonts w:ascii="Calibri" w:hAnsi="Calibri"/>
          <w:sz w:val="22"/>
        </w:rPr>
        <w:t xml:space="preserve">Logg, J.M., Minson, J.A. and Moore, D.A. (2019) 'Algorithm Appreciation: People Prefer Algorithmic to Human Judgment', Organizational </w:t>
      </w:r>
      <w:proofErr w:type="spellStart"/>
      <w:r>
        <w:rPr>
          <w:rFonts w:ascii="Calibri" w:hAnsi="Calibri"/>
          <w:sz w:val="22"/>
        </w:rPr>
        <w:t>Behavior</w:t>
      </w:r>
      <w:proofErr w:type="spellEnd"/>
      <w:r>
        <w:rPr>
          <w:rFonts w:ascii="Calibri" w:hAnsi="Calibri"/>
          <w:sz w:val="22"/>
        </w:rPr>
        <w:t xml:space="preserve"> and Human Decision Processes.</w:t>
      </w:r>
    </w:p>
    <w:p w14:paraId="57961265" w14:textId="77777777" w:rsidR="00ED6A26" w:rsidRDefault="00ED6A26" w:rsidP="00ED6A26">
      <w:pPr>
        <w:spacing w:after="160" w:line="276" w:lineRule="auto"/>
        <w:ind w:left="720" w:hanging="720"/>
      </w:pPr>
      <w:r>
        <w:rPr>
          <w:rFonts w:ascii="Calibri" w:hAnsi="Calibri"/>
          <w:sz w:val="22"/>
        </w:rPr>
        <w:t xml:space="preserve">Malik, A., </w:t>
      </w:r>
      <w:proofErr w:type="spellStart"/>
      <w:r>
        <w:rPr>
          <w:rFonts w:ascii="Calibri" w:hAnsi="Calibri"/>
          <w:sz w:val="22"/>
        </w:rPr>
        <w:t>Budhwar</w:t>
      </w:r>
      <w:proofErr w:type="spellEnd"/>
      <w:r>
        <w:rPr>
          <w:rFonts w:ascii="Calibri" w:hAnsi="Calibri"/>
          <w:sz w:val="22"/>
        </w:rPr>
        <w:t xml:space="preserve">, P., Patel, C. and Srikanth, N.R. (2022) 'May the Bots Be </w:t>
      </w:r>
      <w:proofErr w:type="gramStart"/>
      <w:r>
        <w:rPr>
          <w:rFonts w:ascii="Calibri" w:hAnsi="Calibri"/>
          <w:sz w:val="22"/>
        </w:rPr>
        <w:t>With</w:t>
      </w:r>
      <w:proofErr w:type="gramEnd"/>
      <w:r>
        <w:rPr>
          <w:rFonts w:ascii="Calibri" w:hAnsi="Calibri"/>
          <w:sz w:val="22"/>
        </w:rPr>
        <w:t xml:space="preserve"> You! Delivering HR Cost-Effectiveness and Individualised Employee Experiences in an MNE', International Journal of Human Resource Management.</w:t>
      </w:r>
    </w:p>
    <w:p w14:paraId="334C8422" w14:textId="77777777" w:rsidR="00ED6A26" w:rsidRDefault="00ED6A26" w:rsidP="00ED6A26">
      <w:pPr>
        <w:spacing w:after="160" w:line="276" w:lineRule="auto"/>
        <w:ind w:left="720" w:hanging="720"/>
      </w:pPr>
      <w:r>
        <w:rPr>
          <w:rFonts w:ascii="Calibri" w:hAnsi="Calibri"/>
          <w:sz w:val="22"/>
        </w:rPr>
        <w:t>Malik, A., De Silva, M.T.T., Budhwar, P. and Reichel, A. (2022) 'Value Creation and Capture Through AI and Algorithmic Decision-Making Mechanisms in HRM: A Meaning, Process and Outcome View', Human Resource Management Review.</w:t>
      </w:r>
    </w:p>
    <w:p w14:paraId="1975E538" w14:textId="77777777" w:rsidR="00ED6A26" w:rsidRDefault="00ED6A26" w:rsidP="00ED6A26">
      <w:pPr>
        <w:spacing w:after="160" w:line="276" w:lineRule="auto"/>
        <w:ind w:left="720" w:hanging="720"/>
      </w:pPr>
      <w:r>
        <w:rPr>
          <w:rFonts w:ascii="Calibri" w:hAnsi="Calibri"/>
          <w:sz w:val="22"/>
        </w:rPr>
        <w:t xml:space="preserve">Mayer, R.C., Davis, J.H. and </w:t>
      </w:r>
      <w:proofErr w:type="spellStart"/>
      <w:r>
        <w:rPr>
          <w:rFonts w:ascii="Calibri" w:hAnsi="Calibri"/>
          <w:sz w:val="22"/>
        </w:rPr>
        <w:t>Schoorman</w:t>
      </w:r>
      <w:proofErr w:type="spellEnd"/>
      <w:r>
        <w:rPr>
          <w:rFonts w:ascii="Calibri" w:hAnsi="Calibri"/>
          <w:sz w:val="22"/>
        </w:rPr>
        <w:t>, F.D. (1995) 'An Integrative Model of Organizational Trust', Academy of Management Review.</w:t>
      </w:r>
    </w:p>
    <w:p w14:paraId="5AE75927" w14:textId="77777777" w:rsidR="00ED6A26" w:rsidRDefault="00ED6A26" w:rsidP="00ED6A26">
      <w:pPr>
        <w:spacing w:after="160" w:line="276" w:lineRule="auto"/>
        <w:ind w:left="720" w:hanging="720"/>
      </w:pPr>
      <w:proofErr w:type="spellStart"/>
      <w:r>
        <w:rPr>
          <w:rFonts w:ascii="Calibri" w:hAnsi="Calibri"/>
          <w:sz w:val="22"/>
        </w:rPr>
        <w:t>Meijerink</w:t>
      </w:r>
      <w:proofErr w:type="spellEnd"/>
      <w:r>
        <w:rPr>
          <w:rFonts w:ascii="Calibri" w:hAnsi="Calibri"/>
          <w:sz w:val="22"/>
        </w:rPr>
        <w:t>, J. and Bondarouk, T. (2021) 'The Duality of Algorithmic Management: Toward a Research Agenda on HRM Algorithms, Autonomy and Value Creation', Human Resource Management Review.</w:t>
      </w:r>
    </w:p>
    <w:p w14:paraId="785415C4" w14:textId="77777777" w:rsidR="00ED6A26" w:rsidRDefault="00ED6A26" w:rsidP="00ED6A26">
      <w:pPr>
        <w:spacing w:after="160" w:line="276" w:lineRule="auto"/>
        <w:ind w:left="720" w:hanging="720"/>
      </w:pPr>
      <w:proofErr w:type="spellStart"/>
      <w:r>
        <w:rPr>
          <w:rFonts w:ascii="Calibri" w:hAnsi="Calibri"/>
          <w:sz w:val="22"/>
        </w:rPr>
        <w:t>Meijerink</w:t>
      </w:r>
      <w:proofErr w:type="spellEnd"/>
      <w:r>
        <w:rPr>
          <w:rFonts w:ascii="Calibri" w:hAnsi="Calibri"/>
          <w:sz w:val="22"/>
        </w:rPr>
        <w:t>, J., Boons, M., Keegan, A. and Marler, J. (2021) 'Algorithmic Human Resource Management: Synthesizing Developments and Cross-Disciplinary Insights on Digital HRM', International Journal of Human Resource Management.</w:t>
      </w:r>
    </w:p>
    <w:p w14:paraId="4CD3EFEC" w14:textId="77777777" w:rsidR="00ED6A26" w:rsidRDefault="00ED6A26" w:rsidP="00ED6A26">
      <w:pPr>
        <w:spacing w:after="160" w:line="276" w:lineRule="auto"/>
        <w:ind w:left="720" w:hanging="720"/>
      </w:pPr>
      <w:r>
        <w:rPr>
          <w:rFonts w:ascii="Calibri" w:hAnsi="Calibri"/>
          <w:sz w:val="22"/>
        </w:rPr>
        <w:lastRenderedPageBreak/>
        <w:t>Meyer, J.P. and Allen, N.J. (1991) 'A Three-Component Conceptualization of Organizational Commitment', Human Resource Management Review.</w:t>
      </w:r>
    </w:p>
    <w:p w14:paraId="79A803FA" w14:textId="77777777" w:rsidR="00ED6A26" w:rsidRDefault="00ED6A26" w:rsidP="00ED6A26">
      <w:pPr>
        <w:spacing w:after="160" w:line="276" w:lineRule="auto"/>
        <w:ind w:left="720" w:hanging="720"/>
      </w:pPr>
      <w:r>
        <w:rPr>
          <w:rFonts w:ascii="Calibri" w:hAnsi="Calibri"/>
          <w:sz w:val="22"/>
        </w:rPr>
        <w:t xml:space="preserve">Mirowska, A. and </w:t>
      </w:r>
      <w:proofErr w:type="spellStart"/>
      <w:r>
        <w:rPr>
          <w:rFonts w:ascii="Calibri" w:hAnsi="Calibri"/>
          <w:sz w:val="22"/>
        </w:rPr>
        <w:t>Mesnet</w:t>
      </w:r>
      <w:proofErr w:type="spellEnd"/>
      <w:r>
        <w:rPr>
          <w:rFonts w:ascii="Calibri" w:hAnsi="Calibri"/>
          <w:sz w:val="22"/>
        </w:rPr>
        <w:t>, L. (2022) 'Preferring the Devil You Know: Potential Applicant Reactions to Artificial Intelligence Evaluation of Interviews', Human Resource Management Journal.</w:t>
      </w:r>
    </w:p>
    <w:p w14:paraId="3DAD8675" w14:textId="77777777" w:rsidR="00ED6A26" w:rsidRDefault="00ED6A26" w:rsidP="00ED6A26">
      <w:pPr>
        <w:spacing w:after="160" w:line="276" w:lineRule="auto"/>
        <w:ind w:left="720" w:hanging="720"/>
      </w:pPr>
      <w:r>
        <w:rPr>
          <w:rFonts w:ascii="Calibri" w:hAnsi="Calibri"/>
          <w:sz w:val="22"/>
        </w:rPr>
        <w:t>Moher, D., Liberati, A., Tetzlaff, J. and Altman, D.G. (2009) 'Preferred Reporting Items for Systematic Reviews and Meta-Analyses: The PRISMA Statement', BMJ.</w:t>
      </w:r>
    </w:p>
    <w:p w14:paraId="450BFB10" w14:textId="77777777" w:rsidR="00ED6A26" w:rsidRDefault="00ED6A26" w:rsidP="00ED6A26">
      <w:pPr>
        <w:spacing w:after="160" w:line="276" w:lineRule="auto"/>
        <w:ind w:left="720" w:hanging="720"/>
      </w:pPr>
      <w:r>
        <w:rPr>
          <w:rFonts w:ascii="Calibri" w:hAnsi="Calibri"/>
          <w:sz w:val="22"/>
        </w:rPr>
        <w:t>Morgeson, F.P. and Humphrey, S.E. (2006) 'The Work Design Questionnaire (WDQ): Developing and Validating a Comprehensive Measure for Assessing Job Design and the Nature of Work', Journal of Applied Psychology.</w:t>
      </w:r>
    </w:p>
    <w:p w14:paraId="77AB765E" w14:textId="77777777" w:rsidR="00ED6A26" w:rsidRDefault="00ED6A26" w:rsidP="00ED6A26">
      <w:pPr>
        <w:spacing w:after="160" w:line="276" w:lineRule="auto"/>
        <w:ind w:left="720" w:hanging="720"/>
      </w:pPr>
      <w:r>
        <w:rPr>
          <w:rFonts w:ascii="Calibri" w:hAnsi="Calibri"/>
          <w:sz w:val="22"/>
        </w:rPr>
        <w:t xml:space="preserve">Newman, D.T., Fast, N.J. and Harmon, D.J. (2020) 'When Eliminating Bias Isn't Fair: Algorithmic Reductionism and Procedural Justice in Human Resource Decisions', Organizational </w:t>
      </w:r>
      <w:proofErr w:type="spellStart"/>
      <w:r>
        <w:rPr>
          <w:rFonts w:ascii="Calibri" w:hAnsi="Calibri"/>
          <w:sz w:val="22"/>
        </w:rPr>
        <w:t>Behavior</w:t>
      </w:r>
      <w:proofErr w:type="spellEnd"/>
      <w:r>
        <w:rPr>
          <w:rFonts w:ascii="Calibri" w:hAnsi="Calibri"/>
          <w:sz w:val="22"/>
        </w:rPr>
        <w:t xml:space="preserve"> and Human Decision Processes.</w:t>
      </w:r>
    </w:p>
    <w:p w14:paraId="07E8E106" w14:textId="77777777" w:rsidR="00ED6A26" w:rsidRDefault="00ED6A26" w:rsidP="00ED6A26">
      <w:pPr>
        <w:spacing w:after="160" w:line="276" w:lineRule="auto"/>
        <w:ind w:left="720" w:hanging="720"/>
      </w:pPr>
      <w:r>
        <w:rPr>
          <w:rFonts w:ascii="Calibri" w:hAnsi="Calibri"/>
          <w:sz w:val="22"/>
        </w:rPr>
        <w:t>Nilsen, M. and Kongsvik, T. (2023) 'Health, Safety, and Well-Being in Platform-Mediated Work - A Job Demands and Resources Perspective', Safety Science.</w:t>
      </w:r>
    </w:p>
    <w:p w14:paraId="0C0D53D0" w14:textId="77777777" w:rsidR="00ED6A26" w:rsidRDefault="00ED6A26" w:rsidP="00ED6A26">
      <w:pPr>
        <w:spacing w:after="160" w:line="276" w:lineRule="auto"/>
        <w:ind w:left="720" w:hanging="720"/>
      </w:pPr>
      <w:r>
        <w:rPr>
          <w:rFonts w:ascii="Calibri" w:hAnsi="Calibri"/>
          <w:sz w:val="22"/>
        </w:rPr>
        <w:t>Noy, S. and Zhang, W. (2023) 'Experimental Evidence on the Productivity Effects of Generative Artificial Intelligence', Science.</w:t>
      </w:r>
    </w:p>
    <w:p w14:paraId="7655019D" w14:textId="77777777" w:rsidR="00ED6A26" w:rsidRDefault="00ED6A26" w:rsidP="00ED6A26">
      <w:pPr>
        <w:spacing w:after="160" w:line="276" w:lineRule="auto"/>
        <w:ind w:left="720" w:hanging="720"/>
      </w:pPr>
      <w:r>
        <w:rPr>
          <w:rFonts w:ascii="Calibri" w:hAnsi="Calibri"/>
          <w:sz w:val="22"/>
        </w:rPr>
        <w:t>Okoli, C. (2015) 'A Guide to Conducting a Standalone Systematic Literature Review', Communications of the Association for Information Systems.</w:t>
      </w:r>
    </w:p>
    <w:p w14:paraId="362BE6F0" w14:textId="77777777" w:rsidR="00ED6A26" w:rsidRDefault="00ED6A26" w:rsidP="00ED6A26">
      <w:pPr>
        <w:spacing w:after="160" w:line="276" w:lineRule="auto"/>
        <w:ind w:left="720" w:hanging="720"/>
      </w:pPr>
      <w:r>
        <w:rPr>
          <w:rFonts w:ascii="Calibri" w:hAnsi="Calibri"/>
          <w:sz w:val="22"/>
        </w:rPr>
        <w:t xml:space="preserve">Page, M.J., McKenzie, J.E., Bossuyt, P.M., </w:t>
      </w:r>
      <w:proofErr w:type="spellStart"/>
      <w:r>
        <w:rPr>
          <w:rFonts w:ascii="Calibri" w:hAnsi="Calibri"/>
          <w:sz w:val="22"/>
        </w:rPr>
        <w:t>Boutron</w:t>
      </w:r>
      <w:proofErr w:type="spellEnd"/>
      <w:r>
        <w:rPr>
          <w:rFonts w:ascii="Calibri" w:hAnsi="Calibri"/>
          <w:sz w:val="22"/>
        </w:rPr>
        <w:t>, I., Hoffmann, T.C., Mulrow, C.D., et al. (2021) 'The PRISMA 2020 Statement: An Updated Guideline for Reporting Systematic Reviews', BMJ.</w:t>
      </w:r>
    </w:p>
    <w:p w14:paraId="4D474540" w14:textId="77777777" w:rsidR="00ED6A26" w:rsidRDefault="00ED6A26" w:rsidP="00ED6A26">
      <w:pPr>
        <w:spacing w:after="160" w:line="276" w:lineRule="auto"/>
        <w:ind w:left="720" w:hanging="720"/>
      </w:pPr>
      <w:r>
        <w:rPr>
          <w:rFonts w:ascii="Calibri" w:hAnsi="Calibri"/>
          <w:sz w:val="22"/>
        </w:rPr>
        <w:t>Pan, Y. and Froese, F.J. (2023) 'An Interdisciplinary Review of AI and HRM: Challenges and Future Directions', Human Resource Management Review.</w:t>
      </w:r>
    </w:p>
    <w:p w14:paraId="42388DB4" w14:textId="77777777" w:rsidR="00ED6A26" w:rsidRDefault="00ED6A26" w:rsidP="00ED6A26">
      <w:pPr>
        <w:spacing w:after="160" w:line="276" w:lineRule="auto"/>
        <w:ind w:left="720" w:hanging="720"/>
      </w:pPr>
      <w:r>
        <w:rPr>
          <w:rFonts w:ascii="Calibri" w:hAnsi="Calibri"/>
          <w:sz w:val="22"/>
        </w:rPr>
        <w:t>Parent-Rocheleau, X. and Parker, S.K. (2022) 'Algorithms as Work Designers: How Algorithmic Management Influences the Design of Jobs', Human Resource Management Review.</w:t>
      </w:r>
    </w:p>
    <w:p w14:paraId="0EA109FC" w14:textId="77777777" w:rsidR="00ED6A26" w:rsidRDefault="00ED6A26" w:rsidP="00ED6A26">
      <w:pPr>
        <w:spacing w:after="160" w:line="276" w:lineRule="auto"/>
        <w:ind w:left="720" w:hanging="720"/>
      </w:pPr>
      <w:r>
        <w:rPr>
          <w:rFonts w:ascii="Calibri" w:hAnsi="Calibri"/>
          <w:sz w:val="22"/>
        </w:rPr>
        <w:t>Parker, S.K. and Grote, G. (2022) 'Automation, Algorithms, and Beyond: Why Work Design Matters More Than Ever in a Digital World', Applied Psychology: An International Review.</w:t>
      </w:r>
    </w:p>
    <w:p w14:paraId="5308C8FC" w14:textId="77777777" w:rsidR="00ED6A26" w:rsidRDefault="00ED6A26" w:rsidP="00ED6A26">
      <w:pPr>
        <w:spacing w:after="160" w:line="276" w:lineRule="auto"/>
        <w:ind w:left="720" w:hanging="720"/>
      </w:pPr>
      <w:r>
        <w:rPr>
          <w:rFonts w:ascii="Calibri" w:hAnsi="Calibri"/>
          <w:sz w:val="22"/>
        </w:rPr>
        <w:t>Parker, S.K., Morgeson, F.P. and Johns, G. (2017) 'One Hundred Years of Work Design Research: Looking Back and Looking Forward', Journal of Applied Psychology.</w:t>
      </w:r>
    </w:p>
    <w:p w14:paraId="13134D7B" w14:textId="77777777" w:rsidR="00ED6A26" w:rsidRDefault="00ED6A26" w:rsidP="00ED6A26">
      <w:pPr>
        <w:spacing w:after="160" w:line="276" w:lineRule="auto"/>
        <w:ind w:left="720" w:hanging="720"/>
      </w:pPr>
      <w:r>
        <w:rPr>
          <w:rFonts w:ascii="Calibri" w:hAnsi="Calibri"/>
          <w:sz w:val="22"/>
        </w:rPr>
        <w:t>Petticrew, M. and Roberts, H. (2006) 'Systematic Reviews in the Social Sciences: A Practical Guide', Book (Blackwell Publishing, not a journal).</w:t>
      </w:r>
    </w:p>
    <w:p w14:paraId="66902AAB" w14:textId="77777777" w:rsidR="00ED6A26" w:rsidRDefault="00ED6A26" w:rsidP="00ED6A26">
      <w:pPr>
        <w:spacing w:after="160" w:line="276" w:lineRule="auto"/>
        <w:ind w:left="720" w:hanging="720"/>
      </w:pPr>
      <w:r>
        <w:rPr>
          <w:rFonts w:ascii="Calibri" w:hAnsi="Calibri"/>
          <w:sz w:val="22"/>
        </w:rPr>
        <w:t>Piccoli, B. and De Witte, H. (2015) 'Job Insecurity and Emotional Exhaustion: Testing Psychological Contract Breach Versus Threat to Human Basic Need as Mediating Mechanism', Journal of Occupational and Organizational Psychology.</w:t>
      </w:r>
    </w:p>
    <w:p w14:paraId="43C1CACC" w14:textId="77777777" w:rsidR="00ED6A26" w:rsidRDefault="00ED6A26" w:rsidP="00ED6A26">
      <w:pPr>
        <w:spacing w:after="160" w:line="276" w:lineRule="auto"/>
        <w:ind w:left="720" w:hanging="720"/>
      </w:pPr>
      <w:r>
        <w:rPr>
          <w:rFonts w:ascii="Calibri" w:hAnsi="Calibri"/>
          <w:sz w:val="22"/>
        </w:rPr>
        <w:t>Pillai, R. and Sivathanu, B. (2020) 'Adoption of Artificial Intelligence (AI) for Talent Acquisition in IT/</w:t>
      </w:r>
      <w:proofErr w:type="spellStart"/>
      <w:r>
        <w:rPr>
          <w:rFonts w:ascii="Calibri" w:hAnsi="Calibri"/>
          <w:sz w:val="22"/>
        </w:rPr>
        <w:t>ITeS</w:t>
      </w:r>
      <w:proofErr w:type="spellEnd"/>
      <w:r>
        <w:rPr>
          <w:rFonts w:ascii="Calibri" w:hAnsi="Calibri"/>
          <w:sz w:val="22"/>
        </w:rPr>
        <w:t xml:space="preserve"> Organizations', Benchmarking: An International Journal.</w:t>
      </w:r>
    </w:p>
    <w:p w14:paraId="7C8DC46E" w14:textId="77777777" w:rsidR="00ED6A26" w:rsidRDefault="00ED6A26" w:rsidP="00ED6A26">
      <w:pPr>
        <w:spacing w:after="160" w:line="276" w:lineRule="auto"/>
        <w:ind w:left="720" w:hanging="720"/>
      </w:pPr>
      <w:proofErr w:type="spellStart"/>
      <w:r>
        <w:rPr>
          <w:rFonts w:ascii="Calibri" w:hAnsi="Calibri"/>
          <w:sz w:val="22"/>
        </w:rPr>
        <w:t>Prikshat</w:t>
      </w:r>
      <w:proofErr w:type="spellEnd"/>
      <w:r>
        <w:rPr>
          <w:rFonts w:ascii="Calibri" w:hAnsi="Calibri"/>
          <w:sz w:val="22"/>
        </w:rPr>
        <w:t xml:space="preserve">, V., Islam, M., Patel, P., Malik, A., </w:t>
      </w:r>
      <w:proofErr w:type="spellStart"/>
      <w:r>
        <w:rPr>
          <w:rFonts w:ascii="Calibri" w:hAnsi="Calibri"/>
          <w:sz w:val="22"/>
        </w:rPr>
        <w:t>Budhwar</w:t>
      </w:r>
      <w:proofErr w:type="spellEnd"/>
      <w:r>
        <w:rPr>
          <w:rFonts w:ascii="Calibri" w:hAnsi="Calibri"/>
          <w:sz w:val="22"/>
        </w:rPr>
        <w:t>, P. and Gupta, S. (2023) 'AI-Augmented HRM: Literature Review and a Proposed Multilevel Framework for Future Research', Technological Forecasting and Social Change.</w:t>
      </w:r>
    </w:p>
    <w:p w14:paraId="65B5A55F" w14:textId="77777777" w:rsidR="00ED6A26" w:rsidRDefault="00ED6A26" w:rsidP="00ED6A26">
      <w:pPr>
        <w:spacing w:after="160" w:line="276" w:lineRule="auto"/>
        <w:ind w:left="720" w:hanging="720"/>
      </w:pPr>
      <w:r>
        <w:rPr>
          <w:rFonts w:ascii="Calibri" w:hAnsi="Calibri"/>
          <w:sz w:val="22"/>
        </w:rPr>
        <w:lastRenderedPageBreak/>
        <w:t>Probst, T.M. (2003) 'Development and Validation of the Job Security Index and the Job Security Satisfaction Scale: A Classical Test Theory and IRT Approach', Journal of Occupational and Organizational Psychology.</w:t>
      </w:r>
    </w:p>
    <w:p w14:paraId="04961FA2" w14:textId="77777777" w:rsidR="00ED6A26" w:rsidRDefault="00ED6A26" w:rsidP="00ED6A26">
      <w:pPr>
        <w:spacing w:after="160" w:line="276" w:lineRule="auto"/>
        <w:ind w:left="720" w:hanging="720"/>
      </w:pPr>
      <w:r>
        <w:rPr>
          <w:rFonts w:ascii="Calibri" w:hAnsi="Calibri"/>
          <w:sz w:val="22"/>
        </w:rPr>
        <w:t>Ragu-Nathan, T.S., Tarafdar, M., Tu, Q. and Ragu-Nathan, B.S. (2008) 'The Consequences of Technostress for End Users in Organizations: Conceptual Development and Empirical Validation', Information Systems Research.</w:t>
      </w:r>
    </w:p>
    <w:p w14:paraId="0E482F78" w14:textId="77777777" w:rsidR="00ED6A26" w:rsidRDefault="00ED6A26" w:rsidP="00ED6A26">
      <w:pPr>
        <w:spacing w:after="160" w:line="276" w:lineRule="auto"/>
        <w:ind w:left="720" w:hanging="720"/>
      </w:pPr>
      <w:r>
        <w:rPr>
          <w:rFonts w:ascii="Calibri" w:hAnsi="Calibri"/>
          <w:sz w:val="22"/>
        </w:rPr>
        <w:t>Raisch, S. and Krakowski, S. (2021) 'Artificial Intelligence and Management: The Automation-Augmentation Paradox', Academy of Management Review.</w:t>
      </w:r>
    </w:p>
    <w:p w14:paraId="0251C91E" w14:textId="77777777" w:rsidR="00ED6A26" w:rsidRDefault="00ED6A26" w:rsidP="00ED6A26">
      <w:pPr>
        <w:spacing w:after="160" w:line="276" w:lineRule="auto"/>
        <w:ind w:left="720" w:hanging="720"/>
      </w:pPr>
      <w:r>
        <w:rPr>
          <w:rFonts w:ascii="Calibri" w:hAnsi="Calibri"/>
          <w:sz w:val="22"/>
        </w:rPr>
        <w:t>Ravid, D.M., Tomczak, D.L., White, J.C. and Behrend, T.S. (2020) 'EPM 20/20: A Review, Framework, and Research Agenda for Electronic Performance Monitoring', Journal of Management.</w:t>
      </w:r>
    </w:p>
    <w:p w14:paraId="169D320F" w14:textId="77777777" w:rsidR="00ED6A26" w:rsidRDefault="00ED6A26" w:rsidP="00ED6A26">
      <w:pPr>
        <w:spacing w:after="160" w:line="276" w:lineRule="auto"/>
        <w:ind w:left="720" w:hanging="720"/>
      </w:pPr>
      <w:r>
        <w:rPr>
          <w:rFonts w:ascii="Calibri" w:hAnsi="Calibri"/>
          <w:sz w:val="22"/>
        </w:rPr>
        <w:t>Robert, L.P., Pierce, C., Marquis, L., Kim, S. and Alahmad, R. (2020) 'Designing Fair AI for Managing Employees in Organizations: A Review, Critique, and Design Agenda', Human-Computer Interaction.</w:t>
      </w:r>
    </w:p>
    <w:p w14:paraId="279618BC" w14:textId="77777777" w:rsidR="00ED6A26" w:rsidRDefault="00ED6A26" w:rsidP="00ED6A26">
      <w:pPr>
        <w:spacing w:after="160" w:line="276" w:lineRule="auto"/>
        <w:ind w:left="720" w:hanging="720"/>
      </w:pPr>
      <w:r>
        <w:rPr>
          <w:rFonts w:ascii="Calibri" w:hAnsi="Calibri"/>
          <w:sz w:val="22"/>
        </w:rPr>
        <w:t>Robinson, S.L. (1996) 'Trust and Breach of the Psychological Contract', Administrative Science Quarterly.</w:t>
      </w:r>
    </w:p>
    <w:p w14:paraId="443FA004" w14:textId="77777777" w:rsidR="00ED6A26" w:rsidRDefault="00ED6A26" w:rsidP="00ED6A26">
      <w:pPr>
        <w:spacing w:after="160" w:line="276" w:lineRule="auto"/>
        <w:ind w:left="720" w:hanging="720"/>
      </w:pPr>
      <w:r>
        <w:rPr>
          <w:rFonts w:ascii="Calibri" w:hAnsi="Calibri"/>
          <w:sz w:val="22"/>
        </w:rPr>
        <w:t>Sha, C. and Chai, T. (2025) 'When Digital-AI Transformation Sparks Adaptation: Job Crafting and AI Knowledge in Job Insecurity Contexts', Frontiers in Psychology.</w:t>
      </w:r>
    </w:p>
    <w:p w14:paraId="57EA8A60" w14:textId="77777777" w:rsidR="00ED6A26" w:rsidRDefault="00ED6A26" w:rsidP="00ED6A26">
      <w:pPr>
        <w:spacing w:after="160" w:line="276" w:lineRule="auto"/>
        <w:ind w:left="720" w:hanging="720"/>
      </w:pPr>
      <w:r>
        <w:rPr>
          <w:rFonts w:ascii="Calibri" w:hAnsi="Calibri"/>
          <w:sz w:val="22"/>
        </w:rPr>
        <w:t xml:space="preserve">Shin, J. and Shin, H. (2024) 'Effects of Technostress on Psychological Contract Violation and Organizational Change Resistance', </w:t>
      </w:r>
      <w:proofErr w:type="spellStart"/>
      <w:r>
        <w:rPr>
          <w:rFonts w:ascii="Calibri" w:hAnsi="Calibri"/>
          <w:sz w:val="22"/>
        </w:rPr>
        <w:t>Behavioral</w:t>
      </w:r>
      <w:proofErr w:type="spellEnd"/>
      <w:r>
        <w:rPr>
          <w:rFonts w:ascii="Calibri" w:hAnsi="Calibri"/>
          <w:sz w:val="22"/>
        </w:rPr>
        <w:t xml:space="preserve"> Sciences.</w:t>
      </w:r>
    </w:p>
    <w:p w14:paraId="5BCB654E" w14:textId="77777777" w:rsidR="00ED6A26" w:rsidRDefault="00ED6A26" w:rsidP="00ED6A26">
      <w:pPr>
        <w:spacing w:after="160" w:line="276" w:lineRule="auto"/>
        <w:ind w:left="720" w:hanging="720"/>
      </w:pPr>
      <w:proofErr w:type="spellStart"/>
      <w:r>
        <w:rPr>
          <w:rFonts w:ascii="Calibri" w:hAnsi="Calibri"/>
          <w:sz w:val="22"/>
        </w:rPr>
        <w:t>Shoss</w:t>
      </w:r>
      <w:proofErr w:type="spellEnd"/>
      <w:r>
        <w:rPr>
          <w:rFonts w:ascii="Calibri" w:hAnsi="Calibri"/>
          <w:sz w:val="22"/>
        </w:rPr>
        <w:t>, M.K. (2017) 'Job Insecurity: An Integrative Review and Agenda for Future Research', Journal of Management.</w:t>
      </w:r>
    </w:p>
    <w:p w14:paraId="24FA58C6" w14:textId="77777777" w:rsidR="00ED6A26" w:rsidRDefault="00ED6A26" w:rsidP="00ED6A26">
      <w:pPr>
        <w:spacing w:after="160" w:line="276" w:lineRule="auto"/>
        <w:ind w:left="720" w:hanging="720"/>
      </w:pPr>
      <w:r>
        <w:rPr>
          <w:rFonts w:ascii="Calibri" w:hAnsi="Calibri"/>
          <w:sz w:val="22"/>
        </w:rPr>
        <w:t>Snyder, H. (2019) 'Literature Review as a Research Methodology: An Overview and Guidelines', Journal of Business Research.</w:t>
      </w:r>
    </w:p>
    <w:p w14:paraId="332C6BF0" w14:textId="77777777" w:rsidR="00ED6A26" w:rsidRDefault="00ED6A26" w:rsidP="00ED6A26">
      <w:pPr>
        <w:spacing w:after="160" w:line="276" w:lineRule="auto"/>
        <w:ind w:left="720" w:hanging="720"/>
      </w:pPr>
      <w:proofErr w:type="spellStart"/>
      <w:r>
        <w:rPr>
          <w:rFonts w:ascii="Calibri" w:hAnsi="Calibri"/>
          <w:sz w:val="22"/>
        </w:rPr>
        <w:t>Soulami</w:t>
      </w:r>
      <w:proofErr w:type="spellEnd"/>
      <w:r>
        <w:rPr>
          <w:rFonts w:ascii="Calibri" w:hAnsi="Calibri"/>
          <w:sz w:val="22"/>
        </w:rPr>
        <w:t xml:space="preserve">, M., Benchekroun, S. and </w:t>
      </w:r>
      <w:proofErr w:type="spellStart"/>
      <w:r>
        <w:rPr>
          <w:rFonts w:ascii="Calibri" w:hAnsi="Calibri"/>
          <w:sz w:val="22"/>
        </w:rPr>
        <w:t>Galiulina</w:t>
      </w:r>
      <w:proofErr w:type="spellEnd"/>
      <w:r>
        <w:rPr>
          <w:rFonts w:ascii="Calibri" w:hAnsi="Calibri"/>
          <w:sz w:val="22"/>
        </w:rPr>
        <w:t>, A. (2024) 'Exploring How AI Adoption in the Workplace Affects Employees: A Bibliometric and Systematic Review', Frontiers in Artificial Intelligence.</w:t>
      </w:r>
    </w:p>
    <w:p w14:paraId="4A359F04" w14:textId="77777777" w:rsidR="00ED6A26" w:rsidRDefault="00ED6A26" w:rsidP="00ED6A26">
      <w:pPr>
        <w:spacing w:after="160" w:line="276" w:lineRule="auto"/>
        <w:ind w:left="720" w:hanging="720"/>
      </w:pPr>
      <w:r>
        <w:rPr>
          <w:rFonts w:ascii="Calibri" w:hAnsi="Calibri"/>
          <w:sz w:val="22"/>
        </w:rPr>
        <w:t>Spencer, D.A. (2018) 'Fear and Hope in an Age of Mass Automation: Debating the Future of Work', New Technology, Work and Employment.</w:t>
      </w:r>
    </w:p>
    <w:p w14:paraId="06224B93" w14:textId="77777777" w:rsidR="00ED6A26" w:rsidRDefault="00ED6A26" w:rsidP="00ED6A26">
      <w:pPr>
        <w:spacing w:after="160" w:line="276" w:lineRule="auto"/>
        <w:ind w:left="720" w:hanging="720"/>
      </w:pPr>
      <w:r>
        <w:rPr>
          <w:rFonts w:ascii="Calibri" w:hAnsi="Calibri"/>
          <w:sz w:val="22"/>
        </w:rPr>
        <w:t>Spreitzer, G.M. (1995) 'Psychological Empowerment in the Workplace: Dimensions, Measurement, and Validation', Academy of Management Journal.</w:t>
      </w:r>
    </w:p>
    <w:p w14:paraId="6CBA0830" w14:textId="77777777" w:rsidR="00ED6A26" w:rsidRDefault="00ED6A26" w:rsidP="00ED6A26">
      <w:pPr>
        <w:spacing w:after="160" w:line="276" w:lineRule="auto"/>
        <w:ind w:left="720" w:hanging="720"/>
      </w:pPr>
      <w:r>
        <w:rPr>
          <w:rFonts w:ascii="Calibri" w:hAnsi="Calibri"/>
          <w:sz w:val="22"/>
        </w:rPr>
        <w:t xml:space="preserve">Sverke, M., Hellgren, J. and </w:t>
      </w:r>
      <w:proofErr w:type="spellStart"/>
      <w:r>
        <w:rPr>
          <w:rFonts w:ascii="Calibri" w:hAnsi="Calibri"/>
          <w:sz w:val="22"/>
        </w:rPr>
        <w:t>Naswall</w:t>
      </w:r>
      <w:proofErr w:type="spellEnd"/>
      <w:r>
        <w:rPr>
          <w:rFonts w:ascii="Calibri" w:hAnsi="Calibri"/>
          <w:sz w:val="22"/>
        </w:rPr>
        <w:t>, K. (2002) 'No Security: A Meta-Analysis and Review of Job Insecurity and Its Consequences', Journal of Occupational Health Psychology.</w:t>
      </w:r>
    </w:p>
    <w:p w14:paraId="37D905B6" w14:textId="77777777" w:rsidR="00ED6A26" w:rsidRDefault="00ED6A26" w:rsidP="00ED6A26">
      <w:pPr>
        <w:spacing w:after="160" w:line="276" w:lineRule="auto"/>
        <w:ind w:left="720" w:hanging="720"/>
      </w:pPr>
      <w:r>
        <w:rPr>
          <w:rFonts w:ascii="Calibri" w:hAnsi="Calibri"/>
          <w:sz w:val="22"/>
        </w:rPr>
        <w:t xml:space="preserve">Sverke, M., </w:t>
      </w:r>
      <w:proofErr w:type="spellStart"/>
      <w:r>
        <w:rPr>
          <w:rFonts w:ascii="Calibri" w:hAnsi="Calibri"/>
          <w:sz w:val="22"/>
        </w:rPr>
        <w:t>Lastad</w:t>
      </w:r>
      <w:proofErr w:type="spellEnd"/>
      <w:r>
        <w:rPr>
          <w:rFonts w:ascii="Calibri" w:hAnsi="Calibri"/>
          <w:sz w:val="22"/>
        </w:rPr>
        <w:t xml:space="preserve">, L., Hellgren, J., Richter, A. and </w:t>
      </w:r>
      <w:proofErr w:type="spellStart"/>
      <w:r>
        <w:rPr>
          <w:rFonts w:ascii="Calibri" w:hAnsi="Calibri"/>
          <w:sz w:val="22"/>
        </w:rPr>
        <w:t>Naswall</w:t>
      </w:r>
      <w:proofErr w:type="spellEnd"/>
      <w:r>
        <w:rPr>
          <w:rFonts w:ascii="Calibri" w:hAnsi="Calibri"/>
          <w:sz w:val="22"/>
        </w:rPr>
        <w:t>, K. (2019) 'A Meta-Analysis of Job Insecurity and Employee Performance: Testing Temporal Aspects, Rating Source, Welfare Regime, and Union Density as Moderators', International Journal of Environmental Research and Public Health.</w:t>
      </w:r>
    </w:p>
    <w:p w14:paraId="1BBCDCBA" w14:textId="77777777" w:rsidR="00ED6A26" w:rsidRDefault="00ED6A26" w:rsidP="00ED6A26">
      <w:pPr>
        <w:spacing w:after="160" w:line="276" w:lineRule="auto"/>
        <w:ind w:left="720" w:hanging="720"/>
      </w:pPr>
      <w:proofErr w:type="spellStart"/>
      <w:r>
        <w:rPr>
          <w:rFonts w:ascii="Calibri" w:hAnsi="Calibri"/>
          <w:sz w:val="22"/>
        </w:rPr>
        <w:t>Tranfield</w:t>
      </w:r>
      <w:proofErr w:type="spellEnd"/>
      <w:r>
        <w:rPr>
          <w:rFonts w:ascii="Calibri" w:hAnsi="Calibri"/>
          <w:sz w:val="22"/>
        </w:rPr>
        <w:t>, D., Denyer, D. and Smart, P. (2003) 'Towards a Methodology for Developing Evidence-Informed Management Knowledge by Means of Systematic Review', British Journal of Management.</w:t>
      </w:r>
    </w:p>
    <w:p w14:paraId="376C9B98" w14:textId="77777777" w:rsidR="00ED6A26" w:rsidRDefault="00ED6A26" w:rsidP="00ED6A26">
      <w:pPr>
        <w:spacing w:after="160" w:line="276" w:lineRule="auto"/>
        <w:ind w:left="720" w:hanging="720"/>
      </w:pPr>
      <w:r>
        <w:rPr>
          <w:rFonts w:ascii="Calibri" w:hAnsi="Calibri"/>
          <w:sz w:val="22"/>
        </w:rPr>
        <w:t>Ullrich, A., Reissig, M., Niehoff, S. and Beier, G. (2023) 'Employee Involvement and Participation in Digital Transformation: A Combined Analysis of Literature and Practitioners' Expertise', Journal of Organizational Change Management.</w:t>
      </w:r>
    </w:p>
    <w:p w14:paraId="5C99EFC2" w14:textId="77777777" w:rsidR="00ED6A26" w:rsidRDefault="00ED6A26" w:rsidP="00ED6A26">
      <w:pPr>
        <w:spacing w:after="160" w:line="276" w:lineRule="auto"/>
        <w:ind w:left="720" w:hanging="720"/>
      </w:pPr>
      <w:r>
        <w:rPr>
          <w:rFonts w:ascii="Calibri" w:hAnsi="Calibri"/>
          <w:sz w:val="22"/>
        </w:rPr>
        <w:lastRenderedPageBreak/>
        <w:t>Vander Elst, T., De Witte, H. and De Cuyper, N. (2014) 'The Job Insecurity Scale: A Psychometric Evaluation Across Five European Countries', European Journal of Work and Organizational Psychology.</w:t>
      </w:r>
    </w:p>
    <w:p w14:paraId="188FC1A4" w14:textId="77777777" w:rsidR="00ED6A26" w:rsidRDefault="00ED6A26" w:rsidP="00ED6A26">
      <w:pPr>
        <w:spacing w:after="160" w:line="276" w:lineRule="auto"/>
        <w:ind w:left="720" w:hanging="720"/>
      </w:pPr>
      <w:r>
        <w:rPr>
          <w:rFonts w:ascii="Calibri" w:hAnsi="Calibri"/>
          <w:sz w:val="22"/>
        </w:rPr>
        <w:t>Venkatesh, V., Morris, M.G., Davis, G.B. and Davis, F.D. (2003) 'User Acceptance of Information Technology: Toward a Unified View', MIS Quarterly.</w:t>
      </w:r>
    </w:p>
    <w:p w14:paraId="5E047416" w14:textId="77777777" w:rsidR="00ED6A26" w:rsidRDefault="00ED6A26" w:rsidP="00ED6A26">
      <w:pPr>
        <w:spacing w:after="160" w:line="276" w:lineRule="auto"/>
        <w:ind w:left="720" w:hanging="720"/>
      </w:pPr>
      <w:proofErr w:type="spellStart"/>
      <w:r>
        <w:rPr>
          <w:rFonts w:ascii="Calibri" w:hAnsi="Calibri"/>
          <w:sz w:val="22"/>
        </w:rPr>
        <w:t>Vrontis</w:t>
      </w:r>
      <w:proofErr w:type="spellEnd"/>
      <w:r>
        <w:rPr>
          <w:rFonts w:ascii="Calibri" w:hAnsi="Calibri"/>
          <w:sz w:val="22"/>
        </w:rPr>
        <w:t>, D., Christofi, M., Pereira, V., Tarba, S., Makrides, A. and Trichina, E. (2022) 'Artificial Intelligence, Robotics, Advanced Technologies and Human Resource Management: A Systematic Review', International Journal of Human Resource Management.</w:t>
      </w:r>
    </w:p>
    <w:p w14:paraId="6BE66314" w14:textId="77777777" w:rsidR="00ED6A26" w:rsidRDefault="00ED6A26" w:rsidP="00ED6A26">
      <w:pPr>
        <w:spacing w:after="160" w:line="276" w:lineRule="auto"/>
        <w:ind w:left="720" w:hanging="720"/>
      </w:pPr>
      <w:r>
        <w:rPr>
          <w:rFonts w:ascii="Calibri" w:hAnsi="Calibri"/>
          <w:sz w:val="22"/>
        </w:rPr>
        <w:t>Waardenburg, L., Huysman, M. and Sergeeva, A.V. (2022) 'In the Land of the Blind, the One-Eyed Man Is King: Knowledge Brokerage in the Age of Learning Algorithms', Organization Science.</w:t>
      </w:r>
    </w:p>
    <w:p w14:paraId="0073F679" w14:textId="77777777" w:rsidR="00ED6A26" w:rsidRDefault="00ED6A26" w:rsidP="00ED6A26">
      <w:pPr>
        <w:spacing w:after="160" w:line="276" w:lineRule="auto"/>
        <w:ind w:left="720" w:hanging="720"/>
      </w:pPr>
      <w:r>
        <w:rPr>
          <w:rFonts w:ascii="Calibri" w:hAnsi="Calibri"/>
          <w:sz w:val="22"/>
        </w:rPr>
        <w:t>Webster, J. and Watson, R.T. (2002) '</w:t>
      </w:r>
      <w:proofErr w:type="spellStart"/>
      <w:r>
        <w:rPr>
          <w:rFonts w:ascii="Calibri" w:hAnsi="Calibri"/>
          <w:sz w:val="22"/>
        </w:rPr>
        <w:t>Analyzing</w:t>
      </w:r>
      <w:proofErr w:type="spellEnd"/>
      <w:r>
        <w:rPr>
          <w:rFonts w:ascii="Calibri" w:hAnsi="Calibri"/>
          <w:sz w:val="22"/>
        </w:rPr>
        <w:t xml:space="preserve"> the Past to Prepare for the Future: Writing a Literature Review', MIS Quarterly.</w:t>
      </w:r>
    </w:p>
    <w:p w14:paraId="7BC32B56" w14:textId="77777777" w:rsidR="00ED6A26" w:rsidRDefault="00ED6A26" w:rsidP="00ED6A26">
      <w:pPr>
        <w:spacing w:after="160" w:line="276" w:lineRule="auto"/>
        <w:ind w:left="720" w:hanging="720"/>
      </w:pPr>
      <w:r>
        <w:rPr>
          <w:rFonts w:ascii="Calibri" w:hAnsi="Calibri"/>
          <w:sz w:val="22"/>
        </w:rPr>
        <w:t xml:space="preserve">Whittemore, R. and </w:t>
      </w:r>
      <w:proofErr w:type="spellStart"/>
      <w:r>
        <w:rPr>
          <w:rFonts w:ascii="Calibri" w:hAnsi="Calibri"/>
          <w:sz w:val="22"/>
        </w:rPr>
        <w:t>Knafl</w:t>
      </w:r>
      <w:proofErr w:type="spellEnd"/>
      <w:r>
        <w:rPr>
          <w:rFonts w:ascii="Calibri" w:hAnsi="Calibri"/>
          <w:sz w:val="22"/>
        </w:rPr>
        <w:t>, K. (2005) 'The Integrative Review: Updated Methodology', Journal of Advanced Nursing.</w:t>
      </w:r>
    </w:p>
    <w:p w14:paraId="096288F8" w14:textId="77777777" w:rsidR="00ED6A26" w:rsidRDefault="00ED6A26" w:rsidP="00ED6A26">
      <w:pPr>
        <w:spacing w:after="160" w:line="276" w:lineRule="auto"/>
        <w:ind w:left="720" w:hanging="720"/>
      </w:pPr>
      <w:r>
        <w:rPr>
          <w:rFonts w:ascii="Calibri" w:hAnsi="Calibri"/>
          <w:sz w:val="22"/>
        </w:rPr>
        <w:t>Ye, D., Xu, B., Wei, B., Zheng, L. and Wu, Y.J. (2024) 'Employee Work Engagement in the Digital Transformation of Enterprises: A Fuzzy-Set Qualitative Comparative Analysis', Humanities and Social Sciences Communications.</w:t>
      </w:r>
    </w:p>
    <w:p w14:paraId="242D4160" w14:textId="77777777" w:rsidR="00ED6A26" w:rsidRDefault="00ED6A26" w:rsidP="00ED6A26">
      <w:pPr>
        <w:spacing w:after="160" w:line="276" w:lineRule="auto"/>
        <w:ind w:left="720" w:hanging="720"/>
      </w:pPr>
      <w:proofErr w:type="spellStart"/>
      <w:r>
        <w:rPr>
          <w:rFonts w:ascii="Calibri" w:hAnsi="Calibri"/>
          <w:sz w:val="22"/>
        </w:rPr>
        <w:t>Zeike</w:t>
      </w:r>
      <w:proofErr w:type="spellEnd"/>
      <w:r>
        <w:rPr>
          <w:rFonts w:ascii="Calibri" w:hAnsi="Calibri"/>
          <w:sz w:val="22"/>
        </w:rPr>
        <w:t xml:space="preserve">, S., Choi, K.-E., Lindert, L. and Pfaff, H. (2019) 'Managers' Well-Being in the Digital Era: Is It Associated </w:t>
      </w:r>
      <w:proofErr w:type="gramStart"/>
      <w:r>
        <w:rPr>
          <w:rFonts w:ascii="Calibri" w:hAnsi="Calibri"/>
          <w:sz w:val="22"/>
        </w:rPr>
        <w:t>With</w:t>
      </w:r>
      <w:proofErr w:type="gramEnd"/>
      <w:r>
        <w:rPr>
          <w:rFonts w:ascii="Calibri" w:hAnsi="Calibri"/>
          <w:sz w:val="22"/>
        </w:rPr>
        <w:t xml:space="preserve"> Perceived Choice Overload and Pressure </w:t>
      </w:r>
      <w:proofErr w:type="gramStart"/>
      <w:r>
        <w:rPr>
          <w:rFonts w:ascii="Calibri" w:hAnsi="Calibri"/>
          <w:sz w:val="22"/>
        </w:rPr>
        <w:t>From</w:t>
      </w:r>
      <w:proofErr w:type="gramEnd"/>
      <w:r>
        <w:rPr>
          <w:rFonts w:ascii="Calibri" w:hAnsi="Calibri"/>
          <w:sz w:val="22"/>
        </w:rPr>
        <w:t xml:space="preserve"> Digitalization? An Exploratory Study', International Journal of Environmental Research and Public Health.</w:t>
      </w:r>
    </w:p>
    <w:p w14:paraId="7731CAF3" w14:textId="77777777" w:rsidR="00ED6A26" w:rsidRDefault="00ED6A26" w:rsidP="00ED6A26">
      <w:pPr>
        <w:spacing w:after="160" w:line="276" w:lineRule="auto"/>
        <w:ind w:left="720" w:hanging="720"/>
      </w:pPr>
      <w:r>
        <w:rPr>
          <w:rFonts w:ascii="Calibri" w:hAnsi="Calibri"/>
          <w:sz w:val="22"/>
        </w:rPr>
        <w:t>Zhang, Y., Liu, X., Yan, Q. and Na, M. (2025) 'Empowering Workforces in AI-Driven Environments: Co-Skilling, Organizational Support, and Mitigating Job Insecurity', Frontiers in Psychology.</w:t>
      </w:r>
    </w:p>
    <w:p w14:paraId="03CD26B8" w14:textId="77777777" w:rsidR="0059700A" w:rsidRDefault="0059700A" w:rsidP="004768C0">
      <w:pPr>
        <w:spacing w:after="160" w:line="276" w:lineRule="auto"/>
        <w:ind w:left="720" w:hanging="720"/>
      </w:pPr>
    </w:p>
    <w:p w14:paraId="2B3268F1" w14:textId="77777777" w:rsidR="008026C7" w:rsidRDefault="008026C7">
      <w:pPr>
        <w:spacing w:after="160" w:line="276" w:lineRule="auto"/>
        <w:ind w:left="720" w:hanging="720"/>
      </w:pPr>
    </w:p>
    <w:p w14:paraId="1943986D" w14:textId="77777777" w:rsidR="00C17258" w:rsidRDefault="00C17258">
      <w:pPr>
        <w:spacing w:after="160" w:line="276" w:lineRule="auto"/>
        <w:ind w:left="720" w:hanging="720"/>
      </w:pPr>
    </w:p>
    <w:p w14:paraId="6D191B15" w14:textId="77777777" w:rsidR="00C17258" w:rsidRDefault="00C17258">
      <w:pPr>
        <w:spacing w:after="160" w:line="276" w:lineRule="auto"/>
        <w:ind w:left="720" w:hanging="720"/>
      </w:pPr>
    </w:p>
    <w:p w14:paraId="2C611ECD" w14:textId="77777777" w:rsidR="00C17258" w:rsidRDefault="00C17258">
      <w:pPr>
        <w:spacing w:after="160" w:line="276" w:lineRule="auto"/>
        <w:ind w:left="720" w:hanging="720"/>
      </w:pPr>
    </w:p>
    <w:p w14:paraId="5A9E592C" w14:textId="77777777" w:rsidR="00C17258" w:rsidRDefault="00C17258">
      <w:pPr>
        <w:spacing w:after="160" w:line="276" w:lineRule="auto"/>
        <w:ind w:left="720" w:hanging="720"/>
      </w:pPr>
    </w:p>
    <w:p w14:paraId="485EE615" w14:textId="77777777" w:rsidR="00C17258" w:rsidRDefault="00C17258">
      <w:pPr>
        <w:spacing w:after="160" w:line="276" w:lineRule="auto"/>
        <w:ind w:left="720" w:hanging="720"/>
      </w:pPr>
    </w:p>
    <w:p w14:paraId="4E97298E" w14:textId="77777777" w:rsidR="00C17258" w:rsidRDefault="00C17258">
      <w:pPr>
        <w:spacing w:after="160" w:line="276" w:lineRule="auto"/>
        <w:ind w:left="720" w:hanging="720"/>
      </w:pPr>
    </w:p>
    <w:p w14:paraId="6D2C4BF5" w14:textId="77777777" w:rsidR="00C17258" w:rsidRDefault="00C17258">
      <w:pPr>
        <w:spacing w:after="160" w:line="276" w:lineRule="auto"/>
        <w:ind w:left="720" w:hanging="720"/>
      </w:pPr>
    </w:p>
    <w:p w14:paraId="392A1267" w14:textId="77777777" w:rsidR="00C17258" w:rsidRDefault="00C17258">
      <w:pPr>
        <w:spacing w:after="160" w:line="276" w:lineRule="auto"/>
        <w:ind w:left="720" w:hanging="720"/>
      </w:pPr>
    </w:p>
    <w:p w14:paraId="07B32F13" w14:textId="77777777" w:rsidR="00C17258" w:rsidRDefault="00C17258">
      <w:pPr>
        <w:spacing w:after="160" w:line="276" w:lineRule="auto"/>
        <w:ind w:left="720" w:hanging="720"/>
      </w:pPr>
    </w:p>
    <w:p w14:paraId="233FD12F" w14:textId="77777777" w:rsidR="00C17258" w:rsidRDefault="00C17258">
      <w:pPr>
        <w:spacing w:after="160" w:line="276" w:lineRule="auto"/>
        <w:ind w:left="720" w:hanging="720"/>
      </w:pPr>
    </w:p>
    <w:p w14:paraId="18E180AC" w14:textId="77777777" w:rsidR="00C17258" w:rsidRDefault="00C17258">
      <w:pPr>
        <w:spacing w:after="160" w:line="276" w:lineRule="auto"/>
        <w:ind w:left="720" w:hanging="720"/>
      </w:pPr>
    </w:p>
    <w:p w14:paraId="33C037C1" w14:textId="77777777" w:rsidR="00C17258" w:rsidRDefault="00C17258">
      <w:pPr>
        <w:spacing w:after="160" w:line="276" w:lineRule="auto"/>
        <w:ind w:left="720" w:hanging="720"/>
      </w:pPr>
    </w:p>
    <w:p w14:paraId="3EE310AB" w14:textId="77777777" w:rsidR="00C17258" w:rsidRDefault="00C17258">
      <w:pPr>
        <w:spacing w:after="160" w:line="276" w:lineRule="auto"/>
        <w:ind w:left="720" w:hanging="720"/>
      </w:pPr>
    </w:p>
    <w:p w14:paraId="1C5895DE" w14:textId="77777777" w:rsidR="00C17258" w:rsidRDefault="00C17258">
      <w:pPr>
        <w:spacing w:after="160" w:line="276" w:lineRule="auto"/>
        <w:ind w:left="720" w:hanging="720"/>
      </w:pPr>
    </w:p>
    <w:p w14:paraId="3332F960" w14:textId="5A4AA576" w:rsidR="00C17258" w:rsidRDefault="006D1B5C" w:rsidP="00C17258">
      <w:pPr>
        <w:pStyle w:val="Heading1"/>
        <w:spacing w:before="360" w:after="200"/>
      </w:pPr>
      <w:r>
        <w:rPr>
          <w:rFonts w:ascii="Calibri" w:eastAsia="Calibri" w:hAnsi="Calibri" w:cs="Calibri"/>
          <w:b/>
          <w:bCs/>
          <w:color w:val="1F4E79"/>
          <w:sz w:val="28"/>
          <w:szCs w:val="28"/>
        </w:rPr>
        <w:lastRenderedPageBreak/>
        <w:t xml:space="preserve">                                                             </w:t>
      </w:r>
      <w:r w:rsidR="00C17258">
        <w:rPr>
          <w:rFonts w:ascii="Calibri" w:eastAsia="Calibri" w:hAnsi="Calibri" w:cs="Calibri"/>
          <w:b/>
          <w:bCs/>
          <w:color w:val="1F4E79"/>
          <w:sz w:val="28"/>
          <w:szCs w:val="28"/>
        </w:rPr>
        <w:t>Appendices</w:t>
      </w:r>
    </w:p>
    <w:p w14:paraId="4595A7AC" w14:textId="77777777" w:rsidR="00C17258" w:rsidRDefault="00C17258" w:rsidP="00C17258">
      <w:pPr>
        <w:pStyle w:val="Heading2"/>
        <w:spacing w:before="260" w:after="140"/>
      </w:pPr>
      <w:r>
        <w:rPr>
          <w:rFonts w:ascii="Calibri" w:eastAsia="Calibri" w:hAnsi="Calibri" w:cs="Calibri"/>
          <w:b/>
          <w:bCs/>
          <w:color w:val="1F4E79"/>
          <w:sz w:val="24"/>
          <w:szCs w:val="24"/>
        </w:rPr>
        <w:t>Appendix A: Search Strategy Table</w:t>
      </w:r>
    </w:p>
    <w:p w14:paraId="194E5C7C" w14:textId="77777777" w:rsidR="00C17258" w:rsidRDefault="00C17258" w:rsidP="00C17258">
      <w:pPr>
        <w:spacing w:after="180" w:line="276" w:lineRule="auto"/>
        <w:jc w:val="both"/>
      </w:pPr>
      <w:r>
        <w:rPr>
          <w:rFonts w:ascii="Calibri" w:eastAsia="Calibri" w:hAnsi="Calibri" w:cs="Calibri"/>
          <w:sz w:val="22"/>
          <w:szCs w:val="22"/>
        </w:rPr>
        <w:t>The table below summarises the search strings applied across the primary databases described in Section 2.2, consistent with the Boolean search strategy set out in Section 2.3.</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676"/>
        <w:gridCol w:w="1323"/>
        <w:gridCol w:w="629"/>
      </w:tblGrid>
      <w:tr w:rsidR="00C17258" w14:paraId="135499C7" w14:textId="77777777" w:rsidTr="00E930B0">
        <w:trPr>
          <w:tblHeader/>
        </w:trPr>
        <w:tc>
          <w:tcPr>
            <w:tcW w:w="5000" w:type="pct"/>
            <w:shd w:val="clear" w:color="auto" w:fill="1F4E79"/>
            <w:tcMar>
              <w:top w:w="80" w:type="dxa"/>
              <w:left w:w="100" w:type="dxa"/>
              <w:bottom w:w="80" w:type="dxa"/>
              <w:right w:w="100" w:type="dxa"/>
            </w:tcMar>
          </w:tcPr>
          <w:p w14:paraId="6E3EC335" w14:textId="77777777" w:rsidR="00C17258" w:rsidRDefault="00C17258" w:rsidP="00E930B0">
            <w:r>
              <w:rPr>
                <w:rFonts w:ascii="Calibri" w:eastAsia="Calibri" w:hAnsi="Calibri" w:cs="Calibri"/>
                <w:b/>
                <w:bCs/>
                <w:color w:val="FFFFFF"/>
                <w:sz w:val="18"/>
                <w:szCs w:val="18"/>
              </w:rPr>
              <w:t>Database</w:t>
            </w:r>
          </w:p>
        </w:tc>
        <w:tc>
          <w:tcPr>
            <w:tcW w:w="5000" w:type="pct"/>
            <w:shd w:val="clear" w:color="auto" w:fill="1F4E79"/>
            <w:tcMar>
              <w:top w:w="80" w:type="dxa"/>
              <w:left w:w="100" w:type="dxa"/>
              <w:bottom w:w="80" w:type="dxa"/>
              <w:right w:w="100" w:type="dxa"/>
            </w:tcMar>
          </w:tcPr>
          <w:p w14:paraId="78D3B100" w14:textId="77777777" w:rsidR="00C17258" w:rsidRDefault="00C17258" w:rsidP="00E930B0">
            <w:r>
              <w:rPr>
                <w:rFonts w:ascii="Calibri" w:eastAsia="Calibri" w:hAnsi="Calibri" w:cs="Calibri"/>
                <w:b/>
                <w:bCs/>
                <w:color w:val="FFFFFF"/>
                <w:sz w:val="18"/>
                <w:szCs w:val="18"/>
              </w:rPr>
              <w:t>Search String</w:t>
            </w:r>
          </w:p>
        </w:tc>
        <w:tc>
          <w:tcPr>
            <w:tcW w:w="5000" w:type="pct"/>
            <w:shd w:val="clear" w:color="auto" w:fill="1F4E79"/>
            <w:tcMar>
              <w:top w:w="80" w:type="dxa"/>
              <w:left w:w="100" w:type="dxa"/>
              <w:bottom w:w="80" w:type="dxa"/>
              <w:right w:w="100" w:type="dxa"/>
            </w:tcMar>
          </w:tcPr>
          <w:p w14:paraId="6C3A4ACD" w14:textId="77777777" w:rsidR="00C17258" w:rsidRDefault="00C17258" w:rsidP="00E930B0">
            <w:r>
              <w:rPr>
                <w:rFonts w:ascii="Calibri" w:eastAsia="Calibri" w:hAnsi="Calibri" w:cs="Calibri"/>
                <w:b/>
                <w:bCs/>
                <w:color w:val="FFFFFF"/>
                <w:sz w:val="18"/>
                <w:szCs w:val="18"/>
              </w:rPr>
              <w:t>Initial Hits</w:t>
            </w:r>
          </w:p>
        </w:tc>
      </w:tr>
      <w:tr w:rsidR="00C17258" w14:paraId="0A8468B7" w14:textId="77777777" w:rsidTr="00E930B0">
        <w:tc>
          <w:tcPr>
            <w:tcW w:w="5000" w:type="pct"/>
            <w:tcMar>
              <w:top w:w="80" w:type="dxa"/>
              <w:left w:w="100" w:type="dxa"/>
              <w:bottom w:w="80" w:type="dxa"/>
              <w:right w:w="100" w:type="dxa"/>
            </w:tcMar>
          </w:tcPr>
          <w:p w14:paraId="2F9C3226" w14:textId="77777777" w:rsidR="00C17258" w:rsidRDefault="00C17258" w:rsidP="00E930B0">
            <w:r>
              <w:rPr>
                <w:rFonts w:ascii="Calibri" w:eastAsia="Calibri" w:hAnsi="Calibri" w:cs="Calibri"/>
                <w:color w:val="000000"/>
                <w:sz w:val="18"/>
                <w:szCs w:val="18"/>
              </w:rPr>
              <w:t>Scopus</w:t>
            </w:r>
          </w:p>
        </w:tc>
        <w:tc>
          <w:tcPr>
            <w:tcW w:w="5000" w:type="pct"/>
            <w:tcMar>
              <w:top w:w="80" w:type="dxa"/>
              <w:left w:w="100" w:type="dxa"/>
              <w:bottom w:w="80" w:type="dxa"/>
              <w:right w:w="100" w:type="dxa"/>
            </w:tcMar>
          </w:tcPr>
          <w:p w14:paraId="163CA0E4" w14:textId="77777777" w:rsidR="00C17258" w:rsidRDefault="00C17258" w:rsidP="00E930B0">
            <w:r>
              <w:rPr>
                <w:rFonts w:ascii="Calibri" w:eastAsia="Calibri" w:hAnsi="Calibri" w:cs="Calibri"/>
                <w:color w:val="000000"/>
                <w:sz w:val="18"/>
                <w:szCs w:val="18"/>
              </w:rPr>
              <w:t>TITLE-ABS-</w:t>
            </w:r>
            <w:proofErr w:type="gramStart"/>
            <w:r>
              <w:rPr>
                <w:rFonts w:ascii="Calibri" w:eastAsia="Calibri" w:hAnsi="Calibri" w:cs="Calibri"/>
                <w:color w:val="000000"/>
                <w:sz w:val="18"/>
                <w:szCs w:val="18"/>
              </w:rPr>
              <w:t>KEY(</w:t>
            </w:r>
            <w:proofErr w:type="gramEnd"/>
            <w:r>
              <w:rPr>
                <w:rFonts w:ascii="Calibri" w:eastAsia="Calibri" w:hAnsi="Calibri" w:cs="Calibri"/>
                <w:color w:val="000000"/>
                <w:sz w:val="18"/>
                <w:szCs w:val="18"/>
              </w:rPr>
              <w:t>('artificial intelligence' OR 'AI' OR automation OR 'algorithmic management') AND ('job insecurity' OR 'job security' OR technostress) AND (wellbeing OR 'well-being' OR 'psychological safety') AND (HR OR 'human resource management'))</w:t>
            </w:r>
          </w:p>
        </w:tc>
        <w:tc>
          <w:tcPr>
            <w:tcW w:w="5000" w:type="pct"/>
            <w:tcMar>
              <w:top w:w="80" w:type="dxa"/>
              <w:left w:w="100" w:type="dxa"/>
              <w:bottom w:w="80" w:type="dxa"/>
              <w:right w:w="100" w:type="dxa"/>
            </w:tcMar>
          </w:tcPr>
          <w:p w14:paraId="2EF51070" w14:textId="77777777" w:rsidR="00C17258" w:rsidRDefault="00C17258" w:rsidP="00E930B0">
            <w:r>
              <w:rPr>
                <w:rFonts w:ascii="Calibri" w:eastAsia="Calibri" w:hAnsi="Calibri" w:cs="Calibri"/>
                <w:color w:val="000000"/>
                <w:sz w:val="18"/>
                <w:szCs w:val="18"/>
              </w:rPr>
              <w:t>109</w:t>
            </w:r>
          </w:p>
        </w:tc>
      </w:tr>
      <w:tr w:rsidR="00C17258" w14:paraId="589BEA93" w14:textId="77777777" w:rsidTr="00E930B0">
        <w:tc>
          <w:tcPr>
            <w:tcW w:w="5000" w:type="pct"/>
            <w:tcMar>
              <w:top w:w="80" w:type="dxa"/>
              <w:left w:w="100" w:type="dxa"/>
              <w:bottom w:w="80" w:type="dxa"/>
              <w:right w:w="100" w:type="dxa"/>
            </w:tcMar>
          </w:tcPr>
          <w:p w14:paraId="14B1E7A9" w14:textId="77777777" w:rsidR="00C17258" w:rsidRDefault="00C17258" w:rsidP="00E930B0">
            <w:r>
              <w:rPr>
                <w:rFonts w:ascii="Calibri" w:eastAsia="Calibri" w:hAnsi="Calibri" w:cs="Calibri"/>
                <w:color w:val="000000"/>
                <w:sz w:val="18"/>
                <w:szCs w:val="18"/>
              </w:rPr>
              <w:t>Web of Science</w:t>
            </w:r>
          </w:p>
        </w:tc>
        <w:tc>
          <w:tcPr>
            <w:tcW w:w="5000" w:type="pct"/>
            <w:tcMar>
              <w:top w:w="80" w:type="dxa"/>
              <w:left w:w="100" w:type="dxa"/>
              <w:bottom w:w="80" w:type="dxa"/>
              <w:right w:w="100" w:type="dxa"/>
            </w:tcMar>
          </w:tcPr>
          <w:p w14:paraId="0810F432" w14:textId="77777777" w:rsidR="00C17258" w:rsidRDefault="00C17258" w:rsidP="00E930B0">
            <w:r>
              <w:rPr>
                <w:rFonts w:ascii="Calibri" w:eastAsia="Calibri" w:hAnsi="Calibri" w:cs="Calibri"/>
                <w:color w:val="000000"/>
                <w:sz w:val="18"/>
                <w:szCs w:val="18"/>
              </w:rPr>
              <w:t>TS</w:t>
            </w:r>
            <w:proofErr w:type="gramStart"/>
            <w:r>
              <w:rPr>
                <w:rFonts w:ascii="Calibri" w:eastAsia="Calibri" w:hAnsi="Calibri" w:cs="Calibri"/>
                <w:color w:val="000000"/>
                <w:sz w:val="18"/>
                <w:szCs w:val="18"/>
              </w:rPr>
              <w:t>=(</w:t>
            </w:r>
            <w:proofErr w:type="gramEnd"/>
            <w:r>
              <w:rPr>
                <w:rFonts w:ascii="Calibri" w:eastAsia="Calibri" w:hAnsi="Calibri" w:cs="Calibri"/>
                <w:color w:val="000000"/>
                <w:sz w:val="18"/>
                <w:szCs w:val="18"/>
              </w:rPr>
              <w:t>('artificial intelligence' OR AI) AND ('job insecurity' OR 'job security') AND (wellbeing OR 'employee wellbeing') AND (HRM OR 'human resource*'))</w:t>
            </w:r>
          </w:p>
        </w:tc>
        <w:tc>
          <w:tcPr>
            <w:tcW w:w="5000" w:type="pct"/>
            <w:tcMar>
              <w:top w:w="80" w:type="dxa"/>
              <w:left w:w="100" w:type="dxa"/>
              <w:bottom w:w="80" w:type="dxa"/>
              <w:right w:w="100" w:type="dxa"/>
            </w:tcMar>
          </w:tcPr>
          <w:p w14:paraId="0D74E5AE" w14:textId="77777777" w:rsidR="00C17258" w:rsidRDefault="00C17258" w:rsidP="00E930B0">
            <w:r>
              <w:rPr>
                <w:rFonts w:ascii="Calibri" w:eastAsia="Calibri" w:hAnsi="Calibri" w:cs="Calibri"/>
                <w:color w:val="000000"/>
                <w:sz w:val="18"/>
                <w:szCs w:val="18"/>
              </w:rPr>
              <w:t>86</w:t>
            </w:r>
          </w:p>
        </w:tc>
      </w:tr>
      <w:tr w:rsidR="00C17258" w14:paraId="7E63DB8D" w14:textId="77777777" w:rsidTr="00E930B0">
        <w:tc>
          <w:tcPr>
            <w:tcW w:w="5000" w:type="pct"/>
            <w:tcMar>
              <w:top w:w="80" w:type="dxa"/>
              <w:left w:w="100" w:type="dxa"/>
              <w:bottom w:w="80" w:type="dxa"/>
              <w:right w:w="100" w:type="dxa"/>
            </w:tcMar>
          </w:tcPr>
          <w:p w14:paraId="7082E33D" w14:textId="77777777" w:rsidR="00C17258" w:rsidRDefault="00C17258" w:rsidP="00E930B0">
            <w:r>
              <w:rPr>
                <w:rFonts w:ascii="Calibri" w:eastAsia="Calibri" w:hAnsi="Calibri" w:cs="Calibri"/>
                <w:color w:val="000000"/>
                <w:sz w:val="18"/>
                <w:szCs w:val="18"/>
              </w:rPr>
              <w:t>Business Source Premier (EBSCO)</w:t>
            </w:r>
          </w:p>
        </w:tc>
        <w:tc>
          <w:tcPr>
            <w:tcW w:w="5000" w:type="pct"/>
            <w:tcMar>
              <w:top w:w="80" w:type="dxa"/>
              <w:left w:w="100" w:type="dxa"/>
              <w:bottom w:w="80" w:type="dxa"/>
              <w:right w:w="100" w:type="dxa"/>
            </w:tcMar>
          </w:tcPr>
          <w:p w14:paraId="68549331" w14:textId="77777777" w:rsidR="00C17258" w:rsidRDefault="00C17258" w:rsidP="00E930B0">
            <w:r>
              <w:rPr>
                <w:rFonts w:ascii="Calibri" w:eastAsia="Calibri" w:hAnsi="Calibri" w:cs="Calibri"/>
                <w:color w:val="000000"/>
                <w:sz w:val="18"/>
                <w:szCs w:val="18"/>
              </w:rPr>
              <w:t>AB (('artificial intelligence' OR AI) AND ('job insecurity' OR technostress OR wellbeing) AND ('human resource*' OR HR))</w:t>
            </w:r>
          </w:p>
        </w:tc>
        <w:tc>
          <w:tcPr>
            <w:tcW w:w="5000" w:type="pct"/>
            <w:tcMar>
              <w:top w:w="80" w:type="dxa"/>
              <w:left w:w="100" w:type="dxa"/>
              <w:bottom w:w="80" w:type="dxa"/>
              <w:right w:w="100" w:type="dxa"/>
            </w:tcMar>
          </w:tcPr>
          <w:p w14:paraId="0F9FBEB5" w14:textId="77777777" w:rsidR="00C17258" w:rsidRDefault="00C17258" w:rsidP="00E930B0">
            <w:r>
              <w:rPr>
                <w:rFonts w:ascii="Calibri" w:eastAsia="Calibri" w:hAnsi="Calibri" w:cs="Calibri"/>
                <w:color w:val="000000"/>
                <w:sz w:val="18"/>
                <w:szCs w:val="18"/>
              </w:rPr>
              <w:t>50</w:t>
            </w:r>
          </w:p>
        </w:tc>
      </w:tr>
      <w:tr w:rsidR="00C17258" w14:paraId="04DFE333" w14:textId="77777777" w:rsidTr="00E930B0">
        <w:tc>
          <w:tcPr>
            <w:tcW w:w="5000" w:type="pct"/>
            <w:tcMar>
              <w:top w:w="80" w:type="dxa"/>
              <w:left w:w="100" w:type="dxa"/>
              <w:bottom w:w="80" w:type="dxa"/>
              <w:right w:w="100" w:type="dxa"/>
            </w:tcMar>
          </w:tcPr>
          <w:p w14:paraId="57EA9A18" w14:textId="77777777" w:rsidR="00C17258" w:rsidRDefault="00C17258" w:rsidP="00E930B0">
            <w:r>
              <w:rPr>
                <w:rFonts w:ascii="Calibri" w:eastAsia="Calibri" w:hAnsi="Calibri" w:cs="Calibri"/>
                <w:color w:val="000000"/>
                <w:sz w:val="18"/>
                <w:szCs w:val="18"/>
              </w:rPr>
              <w:t>ScienceDirect</w:t>
            </w:r>
          </w:p>
        </w:tc>
        <w:tc>
          <w:tcPr>
            <w:tcW w:w="5000" w:type="pct"/>
            <w:tcMar>
              <w:top w:w="80" w:type="dxa"/>
              <w:left w:w="100" w:type="dxa"/>
              <w:bottom w:w="80" w:type="dxa"/>
              <w:right w:w="100" w:type="dxa"/>
            </w:tcMar>
          </w:tcPr>
          <w:p w14:paraId="5E267DE2" w14:textId="77777777" w:rsidR="00C17258" w:rsidRDefault="00C17258" w:rsidP="00E930B0">
            <w:r>
              <w:rPr>
                <w:rFonts w:ascii="Calibri" w:eastAsia="Calibri" w:hAnsi="Calibri" w:cs="Calibri"/>
                <w:color w:val="000000"/>
                <w:sz w:val="18"/>
                <w:szCs w:val="18"/>
              </w:rPr>
              <w:t xml:space="preserve">('artificial intelligence' AND 'job insecurity' AND wellbeing) OR ('algorithmic management' AND </w:t>
            </w:r>
            <w:r>
              <w:rPr>
                <w:rFonts w:ascii="Calibri" w:eastAsia="Calibri" w:hAnsi="Calibri" w:cs="Calibri"/>
                <w:color w:val="000000"/>
                <w:sz w:val="18"/>
                <w:szCs w:val="18"/>
              </w:rPr>
              <w:lastRenderedPageBreak/>
              <w:t>'employee wellbeing')</w:t>
            </w:r>
          </w:p>
        </w:tc>
        <w:tc>
          <w:tcPr>
            <w:tcW w:w="5000" w:type="pct"/>
            <w:tcMar>
              <w:top w:w="80" w:type="dxa"/>
              <w:left w:w="100" w:type="dxa"/>
              <w:bottom w:w="80" w:type="dxa"/>
              <w:right w:w="100" w:type="dxa"/>
            </w:tcMar>
          </w:tcPr>
          <w:p w14:paraId="05B827EA" w14:textId="77777777" w:rsidR="00C17258" w:rsidRDefault="00C17258" w:rsidP="00E930B0">
            <w:r>
              <w:rPr>
                <w:rFonts w:ascii="Calibri" w:eastAsia="Calibri" w:hAnsi="Calibri" w:cs="Calibri"/>
                <w:color w:val="000000"/>
                <w:sz w:val="18"/>
                <w:szCs w:val="18"/>
              </w:rPr>
              <w:lastRenderedPageBreak/>
              <w:t>36</w:t>
            </w:r>
          </w:p>
        </w:tc>
      </w:tr>
      <w:tr w:rsidR="00C17258" w14:paraId="42F7BE6B" w14:textId="77777777" w:rsidTr="00E930B0">
        <w:tc>
          <w:tcPr>
            <w:tcW w:w="5000" w:type="pct"/>
            <w:tcMar>
              <w:top w:w="80" w:type="dxa"/>
              <w:left w:w="100" w:type="dxa"/>
              <w:bottom w:w="80" w:type="dxa"/>
              <w:right w:w="100" w:type="dxa"/>
            </w:tcMar>
          </w:tcPr>
          <w:p w14:paraId="1C1BCEEE" w14:textId="77777777" w:rsidR="00C17258" w:rsidRDefault="00C17258" w:rsidP="00E930B0">
            <w:r>
              <w:rPr>
                <w:rFonts w:ascii="Calibri" w:eastAsia="Calibri" w:hAnsi="Calibri" w:cs="Calibri"/>
                <w:color w:val="000000"/>
                <w:sz w:val="18"/>
                <w:szCs w:val="18"/>
              </w:rPr>
              <w:t>Emerald Insight</w:t>
            </w:r>
          </w:p>
        </w:tc>
        <w:tc>
          <w:tcPr>
            <w:tcW w:w="5000" w:type="pct"/>
            <w:tcMar>
              <w:top w:w="80" w:type="dxa"/>
              <w:left w:w="100" w:type="dxa"/>
              <w:bottom w:w="80" w:type="dxa"/>
              <w:right w:w="100" w:type="dxa"/>
            </w:tcMar>
          </w:tcPr>
          <w:p w14:paraId="71DE4B29" w14:textId="77777777" w:rsidR="00C17258" w:rsidRDefault="00C17258" w:rsidP="00E930B0">
            <w:r>
              <w:rPr>
                <w:rFonts w:ascii="Calibri" w:eastAsia="Calibri" w:hAnsi="Calibri" w:cs="Calibri"/>
                <w:color w:val="000000"/>
                <w:sz w:val="18"/>
                <w:szCs w:val="18"/>
              </w:rPr>
              <w:t>('AI adoption' OR 'artificial intelligence') AND ('job security' OR 'job insecurity') AND ('HR practices' OR leadership)</w:t>
            </w:r>
          </w:p>
        </w:tc>
        <w:tc>
          <w:tcPr>
            <w:tcW w:w="5000" w:type="pct"/>
            <w:tcMar>
              <w:top w:w="80" w:type="dxa"/>
              <w:left w:w="100" w:type="dxa"/>
              <w:bottom w:w="80" w:type="dxa"/>
              <w:right w:w="100" w:type="dxa"/>
            </w:tcMar>
          </w:tcPr>
          <w:p w14:paraId="77F667C4" w14:textId="77777777" w:rsidR="00C17258" w:rsidRDefault="00C17258" w:rsidP="00E930B0">
            <w:r>
              <w:rPr>
                <w:rFonts w:ascii="Calibri" w:eastAsia="Calibri" w:hAnsi="Calibri" w:cs="Calibri"/>
                <w:color w:val="000000"/>
                <w:sz w:val="18"/>
                <w:szCs w:val="18"/>
              </w:rPr>
              <w:t>19</w:t>
            </w:r>
          </w:p>
        </w:tc>
      </w:tr>
      <w:tr w:rsidR="00C17258" w14:paraId="1ED61AD8" w14:textId="77777777" w:rsidTr="00E930B0">
        <w:tc>
          <w:tcPr>
            <w:tcW w:w="5000" w:type="pct"/>
            <w:tcMar>
              <w:top w:w="80" w:type="dxa"/>
              <w:left w:w="100" w:type="dxa"/>
              <w:bottom w:w="80" w:type="dxa"/>
              <w:right w:w="100" w:type="dxa"/>
            </w:tcMar>
          </w:tcPr>
          <w:p w14:paraId="3550DE39" w14:textId="77777777" w:rsidR="00C17258" w:rsidRDefault="00C17258" w:rsidP="00E930B0">
            <w:r>
              <w:rPr>
                <w:rFonts w:ascii="Calibri" w:eastAsia="Calibri" w:hAnsi="Calibri" w:cs="Calibri"/>
                <w:color w:val="000000"/>
                <w:sz w:val="18"/>
                <w:szCs w:val="18"/>
              </w:rPr>
              <w:t>Google Scholar (supplementary)</w:t>
            </w:r>
          </w:p>
        </w:tc>
        <w:tc>
          <w:tcPr>
            <w:tcW w:w="5000" w:type="pct"/>
            <w:tcMar>
              <w:top w:w="80" w:type="dxa"/>
              <w:left w:w="100" w:type="dxa"/>
              <w:bottom w:w="80" w:type="dxa"/>
              <w:right w:w="100" w:type="dxa"/>
            </w:tcMar>
          </w:tcPr>
          <w:p w14:paraId="7A69F1E4" w14:textId="77777777" w:rsidR="00C17258" w:rsidRDefault="00C17258" w:rsidP="00E930B0">
            <w:r>
              <w:rPr>
                <w:rFonts w:ascii="Calibri" w:eastAsia="Calibri" w:hAnsi="Calibri" w:cs="Calibri"/>
                <w:color w:val="000000"/>
                <w:sz w:val="18"/>
                <w:szCs w:val="18"/>
              </w:rPr>
              <w:t>Citation snowballing from key papers; industry report searches (e.g. 'CIPD AI workforce report', 'WEF future of jobs')</w:t>
            </w:r>
          </w:p>
        </w:tc>
        <w:tc>
          <w:tcPr>
            <w:tcW w:w="5000" w:type="pct"/>
            <w:tcMar>
              <w:top w:w="80" w:type="dxa"/>
              <w:left w:w="100" w:type="dxa"/>
              <w:bottom w:w="80" w:type="dxa"/>
              <w:right w:w="100" w:type="dxa"/>
            </w:tcMar>
          </w:tcPr>
          <w:p w14:paraId="4D71B914" w14:textId="77777777" w:rsidR="00C17258" w:rsidRDefault="00C17258" w:rsidP="00E930B0">
            <w:r>
              <w:rPr>
                <w:rFonts w:ascii="Calibri" w:eastAsia="Calibri" w:hAnsi="Calibri" w:cs="Calibri"/>
                <w:color w:val="000000"/>
                <w:sz w:val="18"/>
                <w:szCs w:val="18"/>
              </w:rPr>
              <w:t>40</w:t>
            </w:r>
          </w:p>
        </w:tc>
      </w:tr>
    </w:tbl>
    <w:p w14:paraId="16D09D7F" w14:textId="77777777" w:rsidR="00C17258" w:rsidRDefault="00C17258" w:rsidP="00C17258">
      <w:pPr>
        <w:spacing w:after="300"/>
      </w:pPr>
    </w:p>
    <w:p w14:paraId="5C36E07C" w14:textId="77777777" w:rsidR="00C17258" w:rsidRDefault="00C17258" w:rsidP="00C17258">
      <w:pPr>
        <w:pStyle w:val="Heading2"/>
        <w:spacing w:before="260" w:after="140"/>
      </w:pPr>
      <w:r>
        <w:rPr>
          <w:rFonts w:ascii="Calibri" w:eastAsia="Calibri" w:hAnsi="Calibri" w:cs="Calibri"/>
          <w:b/>
          <w:bCs/>
          <w:color w:val="1F4E79"/>
          <w:sz w:val="24"/>
          <w:szCs w:val="24"/>
        </w:rPr>
        <w:t>Appendix B: PRISMA Flow Diagram</w:t>
      </w:r>
    </w:p>
    <w:p w14:paraId="404EDC99" w14:textId="77777777" w:rsidR="00C17258" w:rsidRDefault="00C17258" w:rsidP="00C17258">
      <w:pPr>
        <w:spacing w:after="180" w:line="276" w:lineRule="auto"/>
        <w:jc w:val="both"/>
      </w:pPr>
      <w:r>
        <w:rPr>
          <w:rFonts w:ascii="Calibri" w:eastAsia="Calibri" w:hAnsi="Calibri" w:cs="Calibri"/>
          <w:sz w:val="22"/>
          <w:szCs w:val="22"/>
        </w:rPr>
        <w:t>The full PRISMA-style flow diagram documenting the identification, screening, eligibility, and inclusion stages of the search process is presented as Figure 1 in Section 2.6, and is not reproduced a second time here in order to avoid duplication; readers should refer back to Figure 1 for the complete flow diagram.</w:t>
      </w:r>
    </w:p>
    <w:p w14:paraId="2C71B479" w14:textId="77777777" w:rsidR="00C17258" w:rsidRDefault="00C17258" w:rsidP="00C17258">
      <w:pPr>
        <w:pStyle w:val="Heading2"/>
        <w:spacing w:before="260" w:after="140"/>
      </w:pPr>
      <w:r>
        <w:rPr>
          <w:rFonts w:ascii="Calibri" w:eastAsia="Calibri" w:hAnsi="Calibri" w:cs="Calibri"/>
          <w:b/>
          <w:bCs/>
          <w:color w:val="1F4E79"/>
          <w:sz w:val="24"/>
          <w:szCs w:val="24"/>
        </w:rPr>
        <w:t>Appendix C: Sample Data Extraction Table</w:t>
      </w:r>
    </w:p>
    <w:p w14:paraId="21254619" w14:textId="77777777" w:rsidR="00C17258" w:rsidRDefault="00C17258" w:rsidP="00C17258">
      <w:pPr>
        <w:spacing w:after="180" w:line="276" w:lineRule="auto"/>
        <w:jc w:val="both"/>
      </w:pPr>
      <w:r>
        <w:rPr>
          <w:rFonts w:ascii="Calibri" w:eastAsia="Calibri" w:hAnsi="Calibri" w:cs="Calibri"/>
          <w:sz w:val="22"/>
          <w:szCs w:val="22"/>
        </w:rPr>
        <w:t>The table below presents a representative sample of the structured data-extraction matrix referred to in Section 2.8, showing how key details were recorded for each included study prior to thematic coding. The full extraction matrix, covering all 90 studies included in the thematic synthesis, was maintained as a separate working document and is available on request; the sample below illustrates the extraction fields used.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15"/>
        <w:gridCol w:w="1240"/>
        <w:gridCol w:w="1108"/>
        <w:gridCol w:w="1265"/>
      </w:tblGrid>
      <w:tr w:rsidR="00C17258" w14:paraId="66F3CFF4" w14:textId="77777777" w:rsidTr="00E930B0">
        <w:trPr>
          <w:tblHeader/>
        </w:trPr>
        <w:tc>
          <w:tcPr>
            <w:tcW w:w="5000" w:type="pct"/>
            <w:shd w:val="clear" w:color="auto" w:fill="1F4E79"/>
            <w:tcMar>
              <w:top w:w="80" w:type="dxa"/>
              <w:left w:w="100" w:type="dxa"/>
              <w:bottom w:w="80" w:type="dxa"/>
              <w:right w:w="100" w:type="dxa"/>
            </w:tcMar>
          </w:tcPr>
          <w:p w14:paraId="2DFEF324" w14:textId="77777777" w:rsidR="00C17258" w:rsidRDefault="00C17258" w:rsidP="00E930B0">
            <w:r>
              <w:rPr>
                <w:rFonts w:ascii="Calibri" w:eastAsia="Calibri" w:hAnsi="Calibri" w:cs="Calibri"/>
                <w:b/>
                <w:bCs/>
                <w:color w:val="FFFFFF"/>
                <w:sz w:val="18"/>
                <w:szCs w:val="18"/>
              </w:rPr>
              <w:t>Author(s) &amp; Year</w:t>
            </w:r>
          </w:p>
        </w:tc>
        <w:tc>
          <w:tcPr>
            <w:tcW w:w="5000" w:type="pct"/>
            <w:shd w:val="clear" w:color="auto" w:fill="1F4E79"/>
            <w:tcMar>
              <w:top w:w="80" w:type="dxa"/>
              <w:left w:w="100" w:type="dxa"/>
              <w:bottom w:w="80" w:type="dxa"/>
              <w:right w:w="100" w:type="dxa"/>
            </w:tcMar>
          </w:tcPr>
          <w:p w14:paraId="28C27F8D" w14:textId="77777777" w:rsidR="00C17258" w:rsidRDefault="00C17258" w:rsidP="00E930B0">
            <w:r>
              <w:rPr>
                <w:rFonts w:ascii="Calibri" w:eastAsia="Calibri" w:hAnsi="Calibri" w:cs="Calibri"/>
                <w:b/>
                <w:bCs/>
                <w:color w:val="FFFFFF"/>
                <w:sz w:val="18"/>
                <w:szCs w:val="18"/>
              </w:rPr>
              <w:t>Aim</w:t>
            </w:r>
          </w:p>
        </w:tc>
        <w:tc>
          <w:tcPr>
            <w:tcW w:w="5000" w:type="pct"/>
            <w:shd w:val="clear" w:color="auto" w:fill="1F4E79"/>
            <w:tcMar>
              <w:top w:w="80" w:type="dxa"/>
              <w:left w:w="100" w:type="dxa"/>
              <w:bottom w:w="80" w:type="dxa"/>
              <w:right w:w="100" w:type="dxa"/>
            </w:tcMar>
          </w:tcPr>
          <w:p w14:paraId="48A40509" w14:textId="77777777" w:rsidR="00C17258" w:rsidRDefault="00C17258" w:rsidP="00E930B0">
            <w:r>
              <w:rPr>
                <w:rFonts w:ascii="Calibri" w:eastAsia="Calibri" w:hAnsi="Calibri" w:cs="Calibri"/>
                <w:b/>
                <w:bCs/>
                <w:color w:val="FFFFFF"/>
                <w:sz w:val="18"/>
                <w:szCs w:val="18"/>
              </w:rPr>
              <w:t>Method</w:t>
            </w:r>
          </w:p>
        </w:tc>
        <w:tc>
          <w:tcPr>
            <w:tcW w:w="5000" w:type="pct"/>
            <w:shd w:val="clear" w:color="auto" w:fill="1F4E79"/>
            <w:tcMar>
              <w:top w:w="80" w:type="dxa"/>
              <w:left w:w="100" w:type="dxa"/>
              <w:bottom w:w="80" w:type="dxa"/>
              <w:right w:w="100" w:type="dxa"/>
            </w:tcMar>
          </w:tcPr>
          <w:p w14:paraId="576208AE" w14:textId="77777777" w:rsidR="00C17258" w:rsidRDefault="00C17258" w:rsidP="00E930B0">
            <w:r>
              <w:rPr>
                <w:rFonts w:ascii="Calibri" w:eastAsia="Calibri" w:hAnsi="Calibri" w:cs="Calibri"/>
                <w:b/>
                <w:bCs/>
                <w:color w:val="FFFFFF"/>
                <w:sz w:val="18"/>
                <w:szCs w:val="18"/>
              </w:rPr>
              <w:t>Key Finding</w:t>
            </w:r>
          </w:p>
        </w:tc>
      </w:tr>
      <w:tr w:rsidR="00C17258" w14:paraId="1E39F867" w14:textId="77777777" w:rsidTr="00E930B0">
        <w:tc>
          <w:tcPr>
            <w:tcW w:w="5000" w:type="pct"/>
            <w:tcMar>
              <w:top w:w="80" w:type="dxa"/>
              <w:left w:w="100" w:type="dxa"/>
              <w:bottom w:w="80" w:type="dxa"/>
              <w:right w:w="100" w:type="dxa"/>
            </w:tcMar>
          </w:tcPr>
          <w:p w14:paraId="327DAE31" w14:textId="77777777" w:rsidR="00C17258" w:rsidRDefault="00C17258" w:rsidP="00E930B0">
            <w:r>
              <w:rPr>
                <w:rFonts w:ascii="Calibri" w:eastAsia="Calibri" w:hAnsi="Calibri" w:cs="Calibri"/>
                <w:color w:val="000000"/>
                <w:sz w:val="18"/>
                <w:szCs w:val="18"/>
              </w:rPr>
              <w:t>Kim, Kim and Lee (2025)</w:t>
            </w:r>
          </w:p>
        </w:tc>
        <w:tc>
          <w:tcPr>
            <w:tcW w:w="5000" w:type="pct"/>
            <w:tcMar>
              <w:top w:w="80" w:type="dxa"/>
              <w:left w:w="100" w:type="dxa"/>
              <w:bottom w:w="80" w:type="dxa"/>
              <w:right w:w="100" w:type="dxa"/>
            </w:tcMar>
          </w:tcPr>
          <w:p w14:paraId="1A904C85" w14:textId="77777777" w:rsidR="00C17258" w:rsidRDefault="00C17258" w:rsidP="00E930B0">
            <w:r>
              <w:rPr>
                <w:rFonts w:ascii="Calibri" w:eastAsia="Calibri" w:hAnsi="Calibri" w:cs="Calibri"/>
                <w:color w:val="000000"/>
                <w:sz w:val="18"/>
                <w:szCs w:val="18"/>
              </w:rPr>
              <w:t>Examine AI adoption's effect on employee depression via psychological safety and ethical leadership</w:t>
            </w:r>
          </w:p>
        </w:tc>
        <w:tc>
          <w:tcPr>
            <w:tcW w:w="5000" w:type="pct"/>
            <w:tcMar>
              <w:top w:w="80" w:type="dxa"/>
              <w:left w:w="100" w:type="dxa"/>
              <w:bottom w:w="80" w:type="dxa"/>
              <w:right w:w="100" w:type="dxa"/>
            </w:tcMar>
          </w:tcPr>
          <w:p w14:paraId="2CD43F11" w14:textId="77777777" w:rsidR="00C17258" w:rsidRDefault="00C17258" w:rsidP="00E930B0">
            <w:r>
              <w:rPr>
                <w:rFonts w:ascii="Calibri" w:eastAsia="Calibri" w:hAnsi="Calibri" w:cs="Calibri"/>
                <w:color w:val="000000"/>
                <w:sz w:val="18"/>
                <w:szCs w:val="18"/>
              </w:rPr>
              <w:t>3-wave time-lagged survey, SEM, n=381 (South Korea)</w:t>
            </w:r>
          </w:p>
        </w:tc>
        <w:tc>
          <w:tcPr>
            <w:tcW w:w="5000" w:type="pct"/>
            <w:tcMar>
              <w:top w:w="80" w:type="dxa"/>
              <w:left w:w="100" w:type="dxa"/>
              <w:bottom w:w="80" w:type="dxa"/>
              <w:right w:w="100" w:type="dxa"/>
            </w:tcMar>
          </w:tcPr>
          <w:p w14:paraId="65844438" w14:textId="77777777" w:rsidR="00C17258" w:rsidRDefault="00C17258" w:rsidP="00E930B0">
            <w:r>
              <w:rPr>
                <w:rFonts w:ascii="Calibri" w:eastAsia="Calibri" w:hAnsi="Calibri" w:cs="Calibri"/>
                <w:color w:val="000000"/>
                <w:sz w:val="18"/>
                <w:szCs w:val="18"/>
              </w:rPr>
              <w:t>AI adoption reduces psychological safety, increasing depression; ethical leadership moderates this pathway</w:t>
            </w:r>
          </w:p>
        </w:tc>
      </w:tr>
      <w:tr w:rsidR="00C17258" w14:paraId="6AF55FC0" w14:textId="77777777" w:rsidTr="00E930B0">
        <w:tc>
          <w:tcPr>
            <w:tcW w:w="5000" w:type="pct"/>
            <w:tcMar>
              <w:top w:w="80" w:type="dxa"/>
              <w:left w:w="100" w:type="dxa"/>
              <w:bottom w:w="80" w:type="dxa"/>
              <w:right w:w="100" w:type="dxa"/>
            </w:tcMar>
          </w:tcPr>
          <w:p w14:paraId="30FB5C03" w14:textId="77777777" w:rsidR="00C17258" w:rsidRDefault="00C17258" w:rsidP="00E930B0">
            <w:r>
              <w:rPr>
                <w:rFonts w:ascii="Calibri" w:eastAsia="Calibri" w:hAnsi="Calibri" w:cs="Calibri"/>
                <w:color w:val="000000"/>
                <w:sz w:val="18"/>
                <w:szCs w:val="18"/>
              </w:rPr>
              <w:t>Fu and Zhang (2026)</w:t>
            </w:r>
          </w:p>
        </w:tc>
        <w:tc>
          <w:tcPr>
            <w:tcW w:w="5000" w:type="pct"/>
            <w:tcMar>
              <w:top w:w="80" w:type="dxa"/>
              <w:left w:w="100" w:type="dxa"/>
              <w:bottom w:w="80" w:type="dxa"/>
              <w:right w:w="100" w:type="dxa"/>
            </w:tcMar>
          </w:tcPr>
          <w:p w14:paraId="3605BBB4" w14:textId="77777777" w:rsidR="00C17258" w:rsidRDefault="00C17258" w:rsidP="00E930B0">
            <w:r>
              <w:rPr>
                <w:rFonts w:ascii="Calibri" w:eastAsia="Calibri" w:hAnsi="Calibri" w:cs="Calibri"/>
                <w:color w:val="000000"/>
                <w:sz w:val="18"/>
                <w:szCs w:val="18"/>
              </w:rPr>
              <w:t>Explore mechanism linking AI application to job insecurity</w:t>
            </w:r>
          </w:p>
        </w:tc>
        <w:tc>
          <w:tcPr>
            <w:tcW w:w="5000" w:type="pct"/>
            <w:tcMar>
              <w:top w:w="80" w:type="dxa"/>
              <w:left w:w="100" w:type="dxa"/>
              <w:bottom w:w="80" w:type="dxa"/>
              <w:right w:w="100" w:type="dxa"/>
            </w:tcMar>
          </w:tcPr>
          <w:p w14:paraId="14FEAF5A" w14:textId="77777777" w:rsidR="00C17258" w:rsidRDefault="00C17258" w:rsidP="00E930B0">
            <w:r>
              <w:rPr>
                <w:rFonts w:ascii="Calibri" w:eastAsia="Calibri" w:hAnsi="Calibri" w:cs="Calibri"/>
                <w:color w:val="000000"/>
                <w:sz w:val="18"/>
                <w:szCs w:val="18"/>
              </w:rPr>
              <w:t>Cross-sectional survey, n=411 (China), quadratic regression</w:t>
            </w:r>
          </w:p>
        </w:tc>
        <w:tc>
          <w:tcPr>
            <w:tcW w:w="5000" w:type="pct"/>
            <w:tcMar>
              <w:top w:w="80" w:type="dxa"/>
              <w:left w:w="100" w:type="dxa"/>
              <w:bottom w:w="80" w:type="dxa"/>
              <w:right w:w="100" w:type="dxa"/>
            </w:tcMar>
          </w:tcPr>
          <w:p w14:paraId="0999C3B3" w14:textId="77777777" w:rsidR="00C17258" w:rsidRDefault="00C17258" w:rsidP="00E930B0">
            <w:r>
              <w:rPr>
                <w:rFonts w:ascii="Calibri" w:eastAsia="Calibri" w:hAnsi="Calibri" w:cs="Calibri"/>
                <w:color w:val="000000"/>
                <w:sz w:val="18"/>
                <w:szCs w:val="18"/>
              </w:rPr>
              <w:t xml:space="preserve">U-shaped relationship: moderate AI use reduces </w:t>
            </w:r>
            <w:proofErr w:type="gramStart"/>
            <w:r>
              <w:rPr>
                <w:rFonts w:ascii="Calibri" w:eastAsia="Calibri" w:hAnsi="Calibri" w:cs="Calibri"/>
                <w:color w:val="000000"/>
                <w:sz w:val="18"/>
                <w:szCs w:val="18"/>
              </w:rPr>
              <w:t>insecurity,</w:t>
            </w:r>
            <w:proofErr w:type="gramEnd"/>
            <w:r>
              <w:rPr>
                <w:rFonts w:ascii="Calibri" w:eastAsia="Calibri" w:hAnsi="Calibri" w:cs="Calibri"/>
                <w:color w:val="000000"/>
                <w:sz w:val="18"/>
                <w:szCs w:val="18"/>
              </w:rPr>
              <w:t xml:space="preserve"> excessive use increases it</w:t>
            </w:r>
          </w:p>
        </w:tc>
      </w:tr>
      <w:tr w:rsidR="00C17258" w14:paraId="5DD8189F" w14:textId="77777777" w:rsidTr="00E930B0">
        <w:tc>
          <w:tcPr>
            <w:tcW w:w="5000" w:type="pct"/>
            <w:tcMar>
              <w:top w:w="80" w:type="dxa"/>
              <w:left w:w="100" w:type="dxa"/>
              <w:bottom w:w="80" w:type="dxa"/>
              <w:right w:w="100" w:type="dxa"/>
            </w:tcMar>
          </w:tcPr>
          <w:p w14:paraId="62672BA7" w14:textId="77777777" w:rsidR="00C17258" w:rsidRDefault="00C17258" w:rsidP="00E930B0">
            <w:r>
              <w:rPr>
                <w:rFonts w:ascii="Calibri" w:eastAsia="Calibri" w:hAnsi="Calibri" w:cs="Calibri"/>
                <w:color w:val="000000"/>
                <w:sz w:val="18"/>
                <w:szCs w:val="18"/>
              </w:rPr>
              <w:lastRenderedPageBreak/>
              <w:t>Zhang et al. (2025)</w:t>
            </w:r>
          </w:p>
        </w:tc>
        <w:tc>
          <w:tcPr>
            <w:tcW w:w="5000" w:type="pct"/>
            <w:tcMar>
              <w:top w:w="80" w:type="dxa"/>
              <w:left w:w="100" w:type="dxa"/>
              <w:bottom w:w="80" w:type="dxa"/>
              <w:right w:w="100" w:type="dxa"/>
            </w:tcMar>
          </w:tcPr>
          <w:p w14:paraId="2B029CE1" w14:textId="77777777" w:rsidR="00C17258" w:rsidRDefault="00C17258" w:rsidP="00E930B0">
            <w:r>
              <w:rPr>
                <w:rFonts w:ascii="Calibri" w:eastAsia="Calibri" w:hAnsi="Calibri" w:cs="Calibri"/>
                <w:color w:val="000000"/>
                <w:sz w:val="18"/>
                <w:szCs w:val="18"/>
              </w:rPr>
              <w:t>Examine co-skilling and organisational support as buffers against AI-related insecurity</w:t>
            </w:r>
          </w:p>
        </w:tc>
        <w:tc>
          <w:tcPr>
            <w:tcW w:w="5000" w:type="pct"/>
            <w:tcMar>
              <w:top w:w="80" w:type="dxa"/>
              <w:left w:w="100" w:type="dxa"/>
              <w:bottom w:w="80" w:type="dxa"/>
              <w:right w:w="100" w:type="dxa"/>
            </w:tcMar>
          </w:tcPr>
          <w:p w14:paraId="1E493D34" w14:textId="77777777" w:rsidR="00C17258" w:rsidRDefault="00C17258" w:rsidP="00E930B0">
            <w:r>
              <w:rPr>
                <w:rFonts w:ascii="Calibri" w:eastAsia="Calibri" w:hAnsi="Calibri" w:cs="Calibri"/>
                <w:color w:val="000000"/>
                <w:sz w:val="18"/>
                <w:szCs w:val="18"/>
              </w:rPr>
              <w:t>Survey-based empirical study</w:t>
            </w:r>
          </w:p>
        </w:tc>
        <w:tc>
          <w:tcPr>
            <w:tcW w:w="5000" w:type="pct"/>
            <w:tcMar>
              <w:top w:w="80" w:type="dxa"/>
              <w:left w:w="100" w:type="dxa"/>
              <w:bottom w:w="80" w:type="dxa"/>
              <w:right w:w="100" w:type="dxa"/>
            </w:tcMar>
          </w:tcPr>
          <w:p w14:paraId="7ABDC915" w14:textId="77777777" w:rsidR="00C17258" w:rsidRDefault="00C17258" w:rsidP="00E930B0">
            <w:r>
              <w:rPr>
                <w:rFonts w:ascii="Calibri" w:eastAsia="Calibri" w:hAnsi="Calibri" w:cs="Calibri"/>
                <w:color w:val="000000"/>
                <w:sz w:val="18"/>
                <w:szCs w:val="18"/>
              </w:rPr>
              <w:t>Organisational support mediates the relationship between co-skilling and reduced job insecurity</w:t>
            </w:r>
          </w:p>
        </w:tc>
      </w:tr>
      <w:tr w:rsidR="00C17258" w14:paraId="76A485EE" w14:textId="77777777" w:rsidTr="00E930B0">
        <w:tc>
          <w:tcPr>
            <w:tcW w:w="5000" w:type="pct"/>
            <w:tcMar>
              <w:top w:w="80" w:type="dxa"/>
              <w:left w:w="100" w:type="dxa"/>
              <w:bottom w:w="80" w:type="dxa"/>
              <w:right w:w="100" w:type="dxa"/>
            </w:tcMar>
          </w:tcPr>
          <w:p w14:paraId="46357E7A" w14:textId="77777777" w:rsidR="00C17258" w:rsidRDefault="00C17258" w:rsidP="00E930B0">
            <w:r>
              <w:rPr>
                <w:rFonts w:ascii="Calibri" w:eastAsia="Calibri" w:hAnsi="Calibri" w:cs="Calibri"/>
                <w:color w:val="000000"/>
                <w:sz w:val="18"/>
                <w:szCs w:val="18"/>
              </w:rPr>
              <w:t>Brougham and Haar (2018)</w:t>
            </w:r>
          </w:p>
        </w:tc>
        <w:tc>
          <w:tcPr>
            <w:tcW w:w="5000" w:type="pct"/>
            <w:tcMar>
              <w:top w:w="80" w:type="dxa"/>
              <w:left w:w="100" w:type="dxa"/>
              <w:bottom w:w="80" w:type="dxa"/>
              <w:right w:w="100" w:type="dxa"/>
            </w:tcMar>
          </w:tcPr>
          <w:p w14:paraId="0D41EBAF" w14:textId="77777777" w:rsidR="00C17258" w:rsidRDefault="00C17258" w:rsidP="00E930B0">
            <w:r>
              <w:rPr>
                <w:rFonts w:ascii="Calibri" w:eastAsia="Calibri" w:hAnsi="Calibri" w:cs="Calibri"/>
                <w:color w:val="000000"/>
                <w:sz w:val="18"/>
                <w:szCs w:val="18"/>
              </w:rPr>
              <w:t>Develop and test STARA awareness construct</w:t>
            </w:r>
          </w:p>
        </w:tc>
        <w:tc>
          <w:tcPr>
            <w:tcW w:w="5000" w:type="pct"/>
            <w:tcMar>
              <w:top w:w="80" w:type="dxa"/>
              <w:left w:w="100" w:type="dxa"/>
              <w:bottom w:w="80" w:type="dxa"/>
              <w:right w:w="100" w:type="dxa"/>
            </w:tcMar>
          </w:tcPr>
          <w:p w14:paraId="34FB587D" w14:textId="77777777" w:rsidR="00C17258" w:rsidRDefault="00C17258" w:rsidP="00E930B0">
            <w:r>
              <w:rPr>
                <w:rFonts w:ascii="Calibri" w:eastAsia="Calibri" w:hAnsi="Calibri" w:cs="Calibri"/>
                <w:color w:val="000000"/>
                <w:sz w:val="18"/>
                <w:szCs w:val="18"/>
              </w:rPr>
              <w:t>Mixed-methods, n=120 employees</w:t>
            </w:r>
          </w:p>
        </w:tc>
        <w:tc>
          <w:tcPr>
            <w:tcW w:w="5000" w:type="pct"/>
            <w:tcMar>
              <w:top w:w="80" w:type="dxa"/>
              <w:left w:w="100" w:type="dxa"/>
              <w:bottom w:w="80" w:type="dxa"/>
              <w:right w:w="100" w:type="dxa"/>
            </w:tcMar>
          </w:tcPr>
          <w:p w14:paraId="297E8AEE" w14:textId="77777777" w:rsidR="00C17258" w:rsidRDefault="00C17258" w:rsidP="00E930B0">
            <w:r>
              <w:rPr>
                <w:rFonts w:ascii="Calibri" w:eastAsia="Calibri" w:hAnsi="Calibri" w:cs="Calibri"/>
                <w:color w:val="000000"/>
                <w:sz w:val="18"/>
                <w:szCs w:val="18"/>
              </w:rPr>
              <w:t>Higher STARA awareness linked to lower commitment, higher turnover intention and depression</w:t>
            </w:r>
          </w:p>
        </w:tc>
      </w:tr>
      <w:tr w:rsidR="00C17258" w14:paraId="0D482F1E" w14:textId="77777777" w:rsidTr="00E930B0">
        <w:tc>
          <w:tcPr>
            <w:tcW w:w="5000" w:type="pct"/>
            <w:tcMar>
              <w:top w:w="80" w:type="dxa"/>
              <w:left w:w="100" w:type="dxa"/>
              <w:bottom w:w="80" w:type="dxa"/>
              <w:right w:w="100" w:type="dxa"/>
            </w:tcMar>
          </w:tcPr>
          <w:p w14:paraId="20B2E184" w14:textId="77777777" w:rsidR="00C17258" w:rsidRDefault="00C17258" w:rsidP="00E930B0">
            <w:r>
              <w:rPr>
                <w:rFonts w:ascii="Calibri" w:eastAsia="Calibri" w:hAnsi="Calibri" w:cs="Calibri"/>
                <w:color w:val="000000"/>
                <w:sz w:val="18"/>
                <w:szCs w:val="18"/>
              </w:rPr>
              <w:t>Noy and Zhang (2023)</w:t>
            </w:r>
          </w:p>
        </w:tc>
        <w:tc>
          <w:tcPr>
            <w:tcW w:w="5000" w:type="pct"/>
            <w:tcMar>
              <w:top w:w="80" w:type="dxa"/>
              <w:left w:w="100" w:type="dxa"/>
              <w:bottom w:w="80" w:type="dxa"/>
              <w:right w:w="100" w:type="dxa"/>
            </w:tcMar>
          </w:tcPr>
          <w:p w14:paraId="098247B8" w14:textId="77777777" w:rsidR="00C17258" w:rsidRDefault="00C17258" w:rsidP="00E930B0">
            <w:r>
              <w:rPr>
                <w:rFonts w:ascii="Calibri" w:eastAsia="Calibri" w:hAnsi="Calibri" w:cs="Calibri"/>
                <w:color w:val="000000"/>
                <w:sz w:val="18"/>
                <w:szCs w:val="18"/>
              </w:rPr>
              <w:t>Test generative AI's effect on productivity and employee sentiment</w:t>
            </w:r>
          </w:p>
        </w:tc>
        <w:tc>
          <w:tcPr>
            <w:tcW w:w="5000" w:type="pct"/>
            <w:tcMar>
              <w:top w:w="80" w:type="dxa"/>
              <w:left w:w="100" w:type="dxa"/>
              <w:bottom w:w="80" w:type="dxa"/>
              <w:right w:w="100" w:type="dxa"/>
            </w:tcMar>
          </w:tcPr>
          <w:p w14:paraId="66060B40" w14:textId="77777777" w:rsidR="00C17258" w:rsidRDefault="00C17258" w:rsidP="00E930B0">
            <w:r>
              <w:rPr>
                <w:rFonts w:ascii="Calibri" w:eastAsia="Calibri" w:hAnsi="Calibri" w:cs="Calibri"/>
                <w:color w:val="000000"/>
                <w:sz w:val="18"/>
                <w:szCs w:val="18"/>
              </w:rPr>
              <w:t>Randomised controlled experiment</w:t>
            </w:r>
          </w:p>
        </w:tc>
        <w:tc>
          <w:tcPr>
            <w:tcW w:w="5000" w:type="pct"/>
            <w:tcMar>
              <w:top w:w="80" w:type="dxa"/>
              <w:left w:w="100" w:type="dxa"/>
              <w:bottom w:w="80" w:type="dxa"/>
              <w:right w:w="100" w:type="dxa"/>
            </w:tcMar>
          </w:tcPr>
          <w:p w14:paraId="10EA72F1" w14:textId="77777777" w:rsidR="00C17258" w:rsidRDefault="00C17258" w:rsidP="00E930B0">
            <w:r>
              <w:rPr>
                <w:rFonts w:ascii="Calibri" w:eastAsia="Calibri" w:hAnsi="Calibri" w:cs="Calibri"/>
                <w:color w:val="000000"/>
                <w:sz w:val="18"/>
                <w:szCs w:val="18"/>
              </w:rPr>
              <w:t>ChatGPT raised productivity and satisfaction, but increased both concern and excitement about automation</w:t>
            </w:r>
          </w:p>
        </w:tc>
      </w:tr>
      <w:tr w:rsidR="00C17258" w14:paraId="22D2305D" w14:textId="77777777" w:rsidTr="00E930B0">
        <w:tc>
          <w:tcPr>
            <w:tcW w:w="5000" w:type="pct"/>
            <w:tcMar>
              <w:top w:w="80" w:type="dxa"/>
              <w:left w:w="100" w:type="dxa"/>
              <w:bottom w:w="80" w:type="dxa"/>
              <w:right w:w="100" w:type="dxa"/>
            </w:tcMar>
          </w:tcPr>
          <w:p w14:paraId="254441C8" w14:textId="77777777" w:rsidR="00C17258" w:rsidRDefault="00C17258" w:rsidP="00E930B0">
            <w:r>
              <w:rPr>
                <w:rFonts w:ascii="Calibri" w:eastAsia="Calibri" w:hAnsi="Calibri" w:cs="Calibri"/>
                <w:color w:val="000000"/>
                <w:sz w:val="18"/>
                <w:szCs w:val="18"/>
              </w:rPr>
              <w:t xml:space="preserve">Wood, Graham and </w:t>
            </w:r>
            <w:proofErr w:type="spellStart"/>
            <w:r>
              <w:rPr>
                <w:rFonts w:ascii="Calibri" w:eastAsia="Calibri" w:hAnsi="Calibri" w:cs="Calibri"/>
                <w:color w:val="000000"/>
                <w:sz w:val="18"/>
                <w:szCs w:val="18"/>
              </w:rPr>
              <w:t>Lehdonvirta</w:t>
            </w:r>
            <w:proofErr w:type="spellEnd"/>
            <w:r>
              <w:rPr>
                <w:rFonts w:ascii="Calibri" w:eastAsia="Calibri" w:hAnsi="Calibri" w:cs="Calibri"/>
                <w:color w:val="000000"/>
                <w:sz w:val="18"/>
                <w:szCs w:val="18"/>
              </w:rPr>
              <w:t xml:space="preserve"> (2018)</w:t>
            </w:r>
          </w:p>
        </w:tc>
        <w:tc>
          <w:tcPr>
            <w:tcW w:w="5000" w:type="pct"/>
            <w:tcMar>
              <w:top w:w="80" w:type="dxa"/>
              <w:left w:w="100" w:type="dxa"/>
              <w:bottom w:w="80" w:type="dxa"/>
              <w:right w:w="100" w:type="dxa"/>
            </w:tcMar>
          </w:tcPr>
          <w:p w14:paraId="469C4BC1" w14:textId="77777777" w:rsidR="00C17258" w:rsidRDefault="00C17258" w:rsidP="00E930B0">
            <w:r>
              <w:rPr>
                <w:rFonts w:ascii="Calibri" w:eastAsia="Calibri" w:hAnsi="Calibri" w:cs="Calibri"/>
                <w:color w:val="000000"/>
                <w:sz w:val="18"/>
                <w:szCs w:val="18"/>
              </w:rPr>
              <w:t>Examine autonomy and algorithmic control in gig work</w:t>
            </w:r>
          </w:p>
        </w:tc>
        <w:tc>
          <w:tcPr>
            <w:tcW w:w="5000" w:type="pct"/>
            <w:tcMar>
              <w:top w:w="80" w:type="dxa"/>
              <w:left w:w="100" w:type="dxa"/>
              <w:bottom w:w="80" w:type="dxa"/>
              <w:right w:w="100" w:type="dxa"/>
            </w:tcMar>
          </w:tcPr>
          <w:p w14:paraId="75130A7E" w14:textId="77777777" w:rsidR="00C17258" w:rsidRDefault="00C17258" w:rsidP="00E930B0">
            <w:r>
              <w:rPr>
                <w:rFonts w:ascii="Calibri" w:eastAsia="Calibri" w:hAnsi="Calibri" w:cs="Calibri"/>
                <w:color w:val="000000"/>
                <w:sz w:val="18"/>
                <w:szCs w:val="18"/>
              </w:rPr>
              <w:t>Mixed-methods study of platform workers</w:t>
            </w:r>
          </w:p>
        </w:tc>
        <w:tc>
          <w:tcPr>
            <w:tcW w:w="5000" w:type="pct"/>
            <w:tcMar>
              <w:top w:w="80" w:type="dxa"/>
              <w:left w:w="100" w:type="dxa"/>
              <w:bottom w:w="80" w:type="dxa"/>
              <w:right w:w="100" w:type="dxa"/>
            </w:tcMar>
          </w:tcPr>
          <w:p w14:paraId="76868CBD" w14:textId="77777777" w:rsidR="00C17258" w:rsidRDefault="00C17258" w:rsidP="00E930B0">
            <w:r>
              <w:rPr>
                <w:rFonts w:ascii="Calibri" w:eastAsia="Calibri" w:hAnsi="Calibri" w:cs="Calibri"/>
                <w:color w:val="000000"/>
                <w:sz w:val="18"/>
                <w:szCs w:val="18"/>
              </w:rPr>
              <w:t>Algorithmic control reduces autonomy and increases precarity despite formal independence</w:t>
            </w:r>
          </w:p>
        </w:tc>
      </w:tr>
    </w:tbl>
    <w:p w14:paraId="74962371" w14:textId="77777777" w:rsidR="00C17258" w:rsidRDefault="00C17258" w:rsidP="00C17258">
      <w:pPr>
        <w:spacing w:after="300"/>
      </w:pPr>
    </w:p>
    <w:p w14:paraId="3EDAA714" w14:textId="77777777" w:rsidR="00C17258" w:rsidRDefault="00C17258" w:rsidP="00C17258">
      <w:pPr>
        <w:pStyle w:val="Heading2"/>
        <w:spacing w:before="260" w:after="140"/>
      </w:pPr>
      <w:r>
        <w:rPr>
          <w:rFonts w:ascii="Calibri" w:eastAsia="Calibri" w:hAnsi="Calibri" w:cs="Calibri"/>
          <w:b/>
          <w:bCs/>
          <w:color w:val="1F4E79"/>
          <w:sz w:val="24"/>
          <w:szCs w:val="24"/>
        </w:rPr>
        <w:t>Appendix D: List of Core Empirical Studies Included in Thematic Synthesis</w:t>
      </w:r>
    </w:p>
    <w:p w14:paraId="65487C03" w14:textId="52BFC487" w:rsidR="00C17258" w:rsidRDefault="00C17258" w:rsidP="00C17258">
      <w:pPr>
        <w:spacing w:after="180" w:line="276" w:lineRule="auto"/>
        <w:jc w:val="both"/>
      </w:pPr>
      <w:r>
        <w:rPr>
          <w:rFonts w:ascii="Calibri" w:eastAsia="Calibri" w:hAnsi="Calibri" w:cs="Calibri"/>
          <w:sz w:val="22"/>
          <w:szCs w:val="22"/>
        </w:rPr>
        <w:t xml:space="preserve">Note: the PRISMA figures above (Figure 1) reflect this review's full search scope of approximately 220 records screened. Of these, sources met the inclusion criteria, were read in full, and are cited throughout this dissertation; these are listed in the References section. A </w:t>
      </w:r>
      <w:proofErr w:type="gramStart"/>
      <w:r>
        <w:rPr>
          <w:rFonts w:ascii="Calibri" w:eastAsia="Calibri" w:hAnsi="Calibri" w:cs="Calibri"/>
          <w:sz w:val="22"/>
          <w:szCs w:val="22"/>
        </w:rPr>
        <w:t>further  sources</w:t>
      </w:r>
      <w:proofErr w:type="gramEnd"/>
      <w:r>
        <w:rPr>
          <w:rFonts w:ascii="Calibri" w:eastAsia="Calibri" w:hAnsi="Calibri" w:cs="Calibri"/>
          <w:sz w:val="22"/>
          <w:szCs w:val="22"/>
        </w:rPr>
        <w:t xml:space="preserve"> were identified and screened as part of the same search process and are recorded in Appendix E for transparency, but are not cited in the main text and therefore do not appear in the References list.</w:t>
      </w:r>
    </w:p>
    <w:p w14:paraId="28CA5F73" w14:textId="77777777" w:rsidR="00C17258" w:rsidRDefault="00C17258" w:rsidP="00C17258">
      <w:pPr>
        <w:spacing w:after="180" w:line="276" w:lineRule="auto"/>
        <w:jc w:val="both"/>
      </w:pPr>
      <w:r>
        <w:rPr>
          <w:rFonts w:ascii="Calibri" w:eastAsia="Calibri" w:hAnsi="Calibri" w:cs="Calibri"/>
          <w:sz w:val="22"/>
          <w:szCs w:val="22"/>
        </w:rPr>
        <w:t>The 90 empirical and review studies forming the core thematic synthesis in Chapter 3 are listed below by first author and year for ease of reference; full bibliographic details for each appear in the References section. Studies are grouped according to their primary sub-theme, though several studies (e.g. Zhang et al., 2025) contributed evidence to more than one sub-theme.</w:t>
      </w:r>
    </w:p>
    <w:p w14:paraId="76BC88E1" w14:textId="77777777" w:rsidR="00C17258" w:rsidRDefault="00C17258" w:rsidP="00C17258">
      <w:pPr>
        <w:spacing w:after="180" w:line="276" w:lineRule="auto"/>
        <w:jc w:val="both"/>
      </w:pPr>
      <w:r>
        <w:rPr>
          <w:rFonts w:ascii="Calibri" w:eastAsia="Calibri" w:hAnsi="Calibri" w:cs="Calibri"/>
          <w:sz w:val="22"/>
          <w:szCs w:val="22"/>
        </w:rPr>
        <w:t xml:space="preserve">Theoretical foundations: Bakker and Demerouti (2007, 2017); Ragu-Nathan et al. (2008); Sverke, Hellgren and </w:t>
      </w:r>
      <w:proofErr w:type="spellStart"/>
      <w:r>
        <w:rPr>
          <w:rFonts w:ascii="Calibri" w:eastAsia="Calibri" w:hAnsi="Calibri" w:cs="Calibri"/>
          <w:sz w:val="22"/>
          <w:szCs w:val="22"/>
        </w:rPr>
        <w:t>Näswall</w:t>
      </w:r>
      <w:proofErr w:type="spellEnd"/>
      <w:r>
        <w:rPr>
          <w:rFonts w:ascii="Calibri" w:eastAsia="Calibri" w:hAnsi="Calibri" w:cs="Calibri"/>
          <w:sz w:val="22"/>
          <w:szCs w:val="22"/>
        </w:rPr>
        <w:t xml:space="preserve"> (2002); Sverke et al. (2019).</w:t>
      </w:r>
    </w:p>
    <w:p w14:paraId="39DC123B" w14:textId="77777777" w:rsidR="00C17258" w:rsidRDefault="00C17258" w:rsidP="00C17258">
      <w:pPr>
        <w:spacing w:after="180" w:line="276" w:lineRule="auto"/>
        <w:jc w:val="both"/>
      </w:pPr>
      <w:r>
        <w:rPr>
          <w:rFonts w:ascii="Calibri" w:eastAsia="Calibri" w:hAnsi="Calibri" w:cs="Calibri"/>
          <w:sz w:val="22"/>
          <w:szCs w:val="22"/>
        </w:rPr>
        <w:t xml:space="preserve">AI adoption and job insecurity: Frey and Osborne (2017); </w:t>
      </w:r>
      <w:proofErr w:type="spellStart"/>
      <w:r>
        <w:rPr>
          <w:rFonts w:ascii="Calibri" w:eastAsia="Calibri" w:hAnsi="Calibri" w:cs="Calibri"/>
          <w:sz w:val="22"/>
          <w:szCs w:val="22"/>
        </w:rPr>
        <w:t>Soulami</w:t>
      </w:r>
      <w:proofErr w:type="spellEnd"/>
      <w:r>
        <w:rPr>
          <w:rFonts w:ascii="Calibri" w:eastAsia="Calibri" w:hAnsi="Calibri" w:cs="Calibri"/>
          <w:sz w:val="22"/>
          <w:szCs w:val="22"/>
        </w:rPr>
        <w:t xml:space="preserve">, Benchekroun and </w:t>
      </w:r>
      <w:proofErr w:type="spellStart"/>
      <w:r>
        <w:rPr>
          <w:rFonts w:ascii="Calibri" w:eastAsia="Calibri" w:hAnsi="Calibri" w:cs="Calibri"/>
          <w:sz w:val="22"/>
          <w:szCs w:val="22"/>
        </w:rPr>
        <w:t>Galiulina</w:t>
      </w:r>
      <w:proofErr w:type="spellEnd"/>
      <w:r>
        <w:rPr>
          <w:rFonts w:ascii="Calibri" w:eastAsia="Calibri" w:hAnsi="Calibri" w:cs="Calibri"/>
          <w:sz w:val="22"/>
          <w:szCs w:val="22"/>
        </w:rPr>
        <w:t xml:space="preserve"> (2024); Sha and Chai (2025); Fu and Zhang (2026); Wood, Graham and </w:t>
      </w:r>
      <w:proofErr w:type="spellStart"/>
      <w:r>
        <w:rPr>
          <w:rFonts w:ascii="Calibri" w:eastAsia="Calibri" w:hAnsi="Calibri" w:cs="Calibri"/>
          <w:sz w:val="22"/>
          <w:szCs w:val="22"/>
        </w:rPr>
        <w:t>Lehdonvirta</w:t>
      </w:r>
      <w:proofErr w:type="spellEnd"/>
      <w:r>
        <w:rPr>
          <w:rFonts w:ascii="Calibri" w:eastAsia="Calibri" w:hAnsi="Calibri" w:cs="Calibri"/>
          <w:sz w:val="22"/>
          <w:szCs w:val="22"/>
        </w:rPr>
        <w:t xml:space="preserve"> (2018); Brougham and Haar (2018).</w:t>
      </w:r>
    </w:p>
    <w:p w14:paraId="4AB429E4" w14:textId="77777777" w:rsidR="00C17258" w:rsidRDefault="00C17258" w:rsidP="00C17258">
      <w:pPr>
        <w:spacing w:after="180" w:line="276" w:lineRule="auto"/>
        <w:jc w:val="both"/>
      </w:pPr>
      <w:r>
        <w:rPr>
          <w:rFonts w:ascii="Calibri" w:eastAsia="Calibri" w:hAnsi="Calibri" w:cs="Calibri"/>
          <w:sz w:val="22"/>
          <w:szCs w:val="22"/>
        </w:rPr>
        <w:lastRenderedPageBreak/>
        <w:t xml:space="preserve">AI adoption and employee wellbeing: Kim, Kim and Lee (2025); Bibi, Tan and Yao (2025); Han et al. (2025); </w:t>
      </w:r>
      <w:proofErr w:type="spellStart"/>
      <w:r>
        <w:rPr>
          <w:rFonts w:ascii="Calibri" w:eastAsia="Calibri" w:hAnsi="Calibri" w:cs="Calibri"/>
          <w:sz w:val="22"/>
          <w:szCs w:val="22"/>
        </w:rPr>
        <w:t>Zeike</w:t>
      </w:r>
      <w:proofErr w:type="spellEnd"/>
      <w:r>
        <w:rPr>
          <w:rFonts w:ascii="Calibri" w:eastAsia="Calibri" w:hAnsi="Calibri" w:cs="Calibri"/>
          <w:sz w:val="22"/>
          <w:szCs w:val="22"/>
        </w:rPr>
        <w:t xml:space="preserve"> et al. (2019); Nilsen and Kongsvik (2023); Noy and Zhang (2023); Jia et al. (2024); </w:t>
      </w:r>
      <w:proofErr w:type="spellStart"/>
      <w:r>
        <w:rPr>
          <w:rFonts w:ascii="Calibri" w:eastAsia="Calibri" w:hAnsi="Calibri" w:cs="Calibri"/>
          <w:sz w:val="22"/>
          <w:szCs w:val="22"/>
        </w:rPr>
        <w:t>Cramarenco</w:t>
      </w:r>
      <w:proofErr w:type="spellEnd"/>
      <w:r>
        <w:rPr>
          <w:rFonts w:ascii="Calibri" w:eastAsia="Calibri" w:hAnsi="Calibri" w:cs="Calibri"/>
          <w:sz w:val="22"/>
          <w:szCs w:val="22"/>
        </w:rPr>
        <w:t xml:space="preserve">, </w:t>
      </w:r>
      <w:proofErr w:type="spellStart"/>
      <w:r>
        <w:rPr>
          <w:rFonts w:ascii="Calibri" w:eastAsia="Calibri" w:hAnsi="Calibri" w:cs="Calibri"/>
          <w:sz w:val="22"/>
          <w:szCs w:val="22"/>
        </w:rPr>
        <w:t>Burcă</w:t>
      </w:r>
      <w:proofErr w:type="spellEnd"/>
      <w:r>
        <w:rPr>
          <w:rFonts w:ascii="Calibri" w:eastAsia="Calibri" w:hAnsi="Calibri" w:cs="Calibri"/>
          <w:sz w:val="22"/>
          <w:szCs w:val="22"/>
        </w:rPr>
        <w:t>-Voicu and Dabija (2023); Costin, Roman and Balica (2023).</w:t>
      </w:r>
    </w:p>
    <w:p w14:paraId="7CB7DC1A" w14:textId="77777777" w:rsidR="00C17258" w:rsidRDefault="00C17258" w:rsidP="00C17258">
      <w:pPr>
        <w:spacing w:after="180" w:line="276" w:lineRule="auto"/>
        <w:jc w:val="both"/>
      </w:pPr>
      <w:r>
        <w:rPr>
          <w:rFonts w:ascii="Calibri" w:eastAsia="Calibri" w:hAnsi="Calibri" w:cs="Calibri"/>
          <w:sz w:val="22"/>
          <w:szCs w:val="22"/>
        </w:rPr>
        <w:t xml:space="preserve">The role of HR practices and leadership: Zhang et al. (2025); </w:t>
      </w:r>
      <w:proofErr w:type="spellStart"/>
      <w:r>
        <w:rPr>
          <w:rFonts w:ascii="Calibri" w:eastAsia="Calibri" w:hAnsi="Calibri" w:cs="Calibri"/>
          <w:sz w:val="22"/>
          <w:szCs w:val="22"/>
        </w:rPr>
        <w:t>Prikshat</w:t>
      </w:r>
      <w:proofErr w:type="spellEnd"/>
      <w:r>
        <w:rPr>
          <w:rFonts w:ascii="Calibri" w:eastAsia="Calibri" w:hAnsi="Calibri" w:cs="Calibri"/>
          <w:sz w:val="22"/>
          <w:szCs w:val="22"/>
        </w:rPr>
        <w:t xml:space="preserve"> et al. (2023); </w:t>
      </w:r>
      <w:proofErr w:type="spellStart"/>
      <w:r>
        <w:rPr>
          <w:rFonts w:ascii="Calibri" w:eastAsia="Calibri" w:hAnsi="Calibri" w:cs="Calibri"/>
          <w:sz w:val="22"/>
          <w:szCs w:val="22"/>
        </w:rPr>
        <w:t>Budhwar</w:t>
      </w:r>
      <w:proofErr w:type="spellEnd"/>
      <w:r>
        <w:rPr>
          <w:rFonts w:ascii="Calibri" w:eastAsia="Calibri" w:hAnsi="Calibri" w:cs="Calibri"/>
          <w:sz w:val="22"/>
          <w:szCs w:val="22"/>
        </w:rPr>
        <w:t xml:space="preserve"> et al. (2022); </w:t>
      </w:r>
      <w:proofErr w:type="spellStart"/>
      <w:r>
        <w:rPr>
          <w:rFonts w:ascii="Calibri" w:eastAsia="Calibri" w:hAnsi="Calibri" w:cs="Calibri"/>
          <w:sz w:val="22"/>
          <w:szCs w:val="22"/>
        </w:rPr>
        <w:t>Ekuma</w:t>
      </w:r>
      <w:proofErr w:type="spellEnd"/>
      <w:r>
        <w:rPr>
          <w:rFonts w:ascii="Calibri" w:eastAsia="Calibri" w:hAnsi="Calibri" w:cs="Calibri"/>
          <w:sz w:val="22"/>
          <w:szCs w:val="22"/>
        </w:rPr>
        <w:t xml:space="preserve"> (2024); Li et al. (2023); </w:t>
      </w:r>
      <w:proofErr w:type="spellStart"/>
      <w:r>
        <w:rPr>
          <w:rFonts w:ascii="Calibri" w:eastAsia="Calibri" w:hAnsi="Calibri" w:cs="Calibri"/>
          <w:sz w:val="22"/>
          <w:szCs w:val="22"/>
        </w:rPr>
        <w:t>Köchling</w:t>
      </w:r>
      <w:proofErr w:type="spellEnd"/>
      <w:r>
        <w:rPr>
          <w:rFonts w:ascii="Calibri" w:eastAsia="Calibri" w:hAnsi="Calibri" w:cs="Calibri"/>
          <w:sz w:val="22"/>
          <w:szCs w:val="22"/>
        </w:rPr>
        <w:t xml:space="preserve"> and Wehner (2020); Mirowska and </w:t>
      </w:r>
      <w:proofErr w:type="spellStart"/>
      <w:r>
        <w:rPr>
          <w:rFonts w:ascii="Calibri" w:eastAsia="Calibri" w:hAnsi="Calibri" w:cs="Calibri"/>
          <w:sz w:val="22"/>
          <w:szCs w:val="22"/>
        </w:rPr>
        <w:t>Mesnet</w:t>
      </w:r>
      <w:proofErr w:type="spellEnd"/>
      <w:r>
        <w:rPr>
          <w:rFonts w:ascii="Calibri" w:eastAsia="Calibri" w:hAnsi="Calibri" w:cs="Calibri"/>
          <w:sz w:val="22"/>
          <w:szCs w:val="22"/>
        </w:rPr>
        <w:t xml:space="preserve"> (2022); </w:t>
      </w:r>
      <w:proofErr w:type="spellStart"/>
      <w:r>
        <w:rPr>
          <w:rFonts w:ascii="Calibri" w:eastAsia="Calibri" w:hAnsi="Calibri" w:cs="Calibri"/>
          <w:sz w:val="22"/>
          <w:szCs w:val="22"/>
        </w:rPr>
        <w:t>Kinowska</w:t>
      </w:r>
      <w:proofErr w:type="spellEnd"/>
      <w:r>
        <w:rPr>
          <w:rFonts w:ascii="Calibri" w:eastAsia="Calibri" w:hAnsi="Calibri" w:cs="Calibri"/>
          <w:sz w:val="22"/>
          <w:szCs w:val="22"/>
        </w:rPr>
        <w:t xml:space="preserve"> and Sienkiewicz (2023); Chen (2023); Pillai and Sivathanu (2020); Ullrich et al. (2023); Ye et al. (2024); Shin and Shin (2024).</w:t>
      </w:r>
    </w:p>
    <w:p w14:paraId="3483CE34" w14:textId="77777777" w:rsidR="00C17258" w:rsidRDefault="00C17258" w:rsidP="00C17258">
      <w:pPr>
        <w:spacing w:after="180" w:line="276" w:lineRule="auto"/>
        <w:jc w:val="both"/>
      </w:pPr>
      <w:r>
        <w:rPr>
          <w:rFonts w:ascii="Calibri" w:eastAsia="Calibri" w:hAnsi="Calibri" w:cs="Calibri"/>
          <w:sz w:val="22"/>
          <w:szCs w:val="22"/>
        </w:rPr>
        <w:t>Industry and practitioner sources (contextual/triangulation evidence): World Economic Forum (2023, 2025); McKinsey (2025); PwC (2025); AIHR (2026); Spring Health (2026); Chartered Institute of Personnel and Development (2025).</w:t>
      </w:r>
    </w:p>
    <w:p w14:paraId="3F8A6500" w14:textId="77777777" w:rsidR="00C17258" w:rsidRDefault="00C17258" w:rsidP="00C17258">
      <w:pPr>
        <w:spacing w:before="260" w:after="140"/>
      </w:pPr>
      <w:r>
        <w:rPr>
          <w:rFonts w:ascii="Calibri" w:hAnsi="Calibri"/>
          <w:b/>
          <w:color w:val="1F4E79"/>
          <w:sz w:val="24"/>
        </w:rPr>
        <w:t>Appendix E: Wider Literature Screened but Not Cited in the Main Text</w:t>
      </w:r>
    </w:p>
    <w:p w14:paraId="3B518F1C" w14:textId="6BF1BC4B" w:rsidR="00C17258" w:rsidRDefault="00C17258" w:rsidP="00C17258">
      <w:pPr>
        <w:spacing w:after="180" w:line="276" w:lineRule="auto"/>
        <w:jc w:val="both"/>
      </w:pPr>
      <w:r>
        <w:rPr>
          <w:rFonts w:ascii="Calibri" w:hAnsi="Calibri"/>
          <w:sz w:val="22"/>
        </w:rPr>
        <w:t>The following sources were identified and screened during the systematic search process described in Chapter 2, and were assessed as relevant to the broader research area. They were not ultimately cited in the main text, either because their findings were substantively covered by the studies selected for the thematic synthesis, or because they addressed the topic at a level of generality beyond this review's HR-focused scope (Section 1.6). They are recorded here for transparency and to support the replicability of the search process, consistent with the PRISMA-style reporting standard adopted in Section 2.6.</w:t>
      </w:r>
    </w:p>
    <w:p w14:paraId="42EC0468" w14:textId="77777777" w:rsidR="00C17258" w:rsidRDefault="00C17258" w:rsidP="00C17258">
      <w:pPr>
        <w:spacing w:after="120" w:line="264" w:lineRule="auto"/>
        <w:ind w:left="720" w:hanging="720"/>
      </w:pPr>
      <w:r>
        <w:rPr>
          <w:rFonts w:ascii="Calibri" w:hAnsi="Calibri"/>
        </w:rPr>
        <w:t>Acemoglu, D. and Restrepo, P. (2019) 'Automation and New Tasks: How Technology Displaces and Reinstates Labor', Journal of Economic Perspectives.</w:t>
      </w:r>
    </w:p>
    <w:p w14:paraId="7371DE73" w14:textId="77777777" w:rsidR="00C17258" w:rsidRDefault="00C17258" w:rsidP="00C17258">
      <w:pPr>
        <w:spacing w:after="120" w:line="264" w:lineRule="auto"/>
        <w:ind w:left="720" w:hanging="720"/>
      </w:pPr>
      <w:r>
        <w:rPr>
          <w:rFonts w:ascii="Calibri" w:hAnsi="Calibri"/>
        </w:rPr>
        <w:t>Anthony, C., Bechky, B.A. and Fayard, A.-L. (2023) ''Collaborating' With AI: Taking a System View to Explore the Future of Work', Organization Science.</w:t>
      </w:r>
    </w:p>
    <w:p w14:paraId="726FC55B" w14:textId="77777777" w:rsidR="00C17258" w:rsidRDefault="00C17258" w:rsidP="00C17258">
      <w:pPr>
        <w:spacing w:after="120" w:line="264" w:lineRule="auto"/>
        <w:ind w:left="720" w:hanging="720"/>
      </w:pPr>
      <w:r>
        <w:rPr>
          <w:rFonts w:ascii="Calibri" w:hAnsi="Calibri"/>
        </w:rPr>
        <w:t>Ashford, S.J., George, E. and Blatt, R. (2007) 'Old Assumptions, New Work: The Opportunities and Challenges of Research on Nonstandard Employment', Academy of Management Annals.</w:t>
      </w:r>
    </w:p>
    <w:p w14:paraId="44F31D55" w14:textId="77777777" w:rsidR="00C17258" w:rsidRDefault="00C17258" w:rsidP="00C17258">
      <w:pPr>
        <w:spacing w:after="120" w:line="264" w:lineRule="auto"/>
        <w:ind w:left="720" w:hanging="720"/>
      </w:pPr>
      <w:r>
        <w:rPr>
          <w:rFonts w:ascii="Calibri" w:hAnsi="Calibri"/>
        </w:rPr>
        <w:t>Autor, D.H. (2015) 'Why Are There Still So Many Jobs? The History and Future of Workplace Automation', Journal of Economic Perspectives.</w:t>
      </w:r>
    </w:p>
    <w:p w14:paraId="3DB927A9" w14:textId="77777777" w:rsidR="00C17258" w:rsidRDefault="00C17258" w:rsidP="00C17258">
      <w:pPr>
        <w:spacing w:after="120" w:line="264" w:lineRule="auto"/>
        <w:ind w:left="720" w:hanging="720"/>
      </w:pPr>
      <w:r>
        <w:rPr>
          <w:rFonts w:ascii="Calibri" w:hAnsi="Calibri"/>
        </w:rPr>
        <w:t>Ayyagari, R., Grover, V. and Purvis, R. (2011) 'Technostress: Technological Antecedents and Implications', MIS Quarterly.</w:t>
      </w:r>
    </w:p>
    <w:p w14:paraId="033359D0" w14:textId="77777777" w:rsidR="00C17258" w:rsidRDefault="00C17258" w:rsidP="00C17258">
      <w:pPr>
        <w:spacing w:after="120" w:line="264" w:lineRule="auto"/>
        <w:ind w:left="720" w:hanging="720"/>
      </w:pPr>
      <w:r>
        <w:rPr>
          <w:rFonts w:ascii="Calibri" w:hAnsi="Calibri"/>
        </w:rPr>
        <w:t>Bailey, D.E. and Barley, S.R. (2020) 'Beyond Design and Use: How Scholars Should Study Intelligent Technologies', Information and Organization.</w:t>
      </w:r>
    </w:p>
    <w:p w14:paraId="640924C0" w14:textId="77777777" w:rsidR="00C17258" w:rsidRDefault="00C17258" w:rsidP="00C17258">
      <w:pPr>
        <w:spacing w:after="120" w:line="264" w:lineRule="auto"/>
        <w:ind w:left="720" w:hanging="720"/>
      </w:pPr>
      <w:r>
        <w:rPr>
          <w:rFonts w:ascii="Calibri" w:hAnsi="Calibri"/>
        </w:rPr>
        <w:t xml:space="preserve">Bakker, A.B., Demerouti, E. and Sanz-Vergel, A.I. (2014) 'Burnout and Work Engagement: The JD-R Approach', Annual Review of Organizational Psychology and Organizational </w:t>
      </w:r>
      <w:proofErr w:type="spellStart"/>
      <w:r>
        <w:rPr>
          <w:rFonts w:ascii="Calibri" w:hAnsi="Calibri"/>
        </w:rPr>
        <w:t>Behavior</w:t>
      </w:r>
      <w:proofErr w:type="spellEnd"/>
      <w:r>
        <w:rPr>
          <w:rFonts w:ascii="Calibri" w:hAnsi="Calibri"/>
        </w:rPr>
        <w:t>.</w:t>
      </w:r>
    </w:p>
    <w:p w14:paraId="4DD3CFB0" w14:textId="77777777" w:rsidR="00C17258" w:rsidRDefault="00C17258" w:rsidP="00C17258">
      <w:pPr>
        <w:spacing w:after="120" w:line="264" w:lineRule="auto"/>
        <w:ind w:left="720" w:hanging="720"/>
      </w:pPr>
      <w:proofErr w:type="spellStart"/>
      <w:r>
        <w:rPr>
          <w:rFonts w:ascii="Calibri" w:hAnsi="Calibri"/>
        </w:rPr>
        <w:t>Bankins</w:t>
      </w:r>
      <w:proofErr w:type="spellEnd"/>
      <w:r>
        <w:rPr>
          <w:rFonts w:ascii="Calibri" w:hAnsi="Calibri"/>
        </w:rPr>
        <w:t>, S. and Formosa, P. (2023) 'The Ethical Implications of Artificial Intelligence (AI) for Meaningful Work', Journal of Business Ethics.</w:t>
      </w:r>
    </w:p>
    <w:p w14:paraId="51D38008" w14:textId="77777777" w:rsidR="00C17258" w:rsidRDefault="00C17258" w:rsidP="00C17258">
      <w:pPr>
        <w:spacing w:after="120" w:line="264" w:lineRule="auto"/>
        <w:ind w:left="720" w:hanging="720"/>
      </w:pPr>
      <w:proofErr w:type="spellStart"/>
      <w:r>
        <w:rPr>
          <w:rFonts w:ascii="Calibri" w:hAnsi="Calibri"/>
        </w:rPr>
        <w:t>Bankins</w:t>
      </w:r>
      <w:proofErr w:type="spellEnd"/>
      <w:r>
        <w:rPr>
          <w:rFonts w:ascii="Calibri" w:hAnsi="Calibri"/>
        </w:rPr>
        <w:t xml:space="preserve">, S., Ocampo, A.C., Marrone, M., </w:t>
      </w:r>
      <w:proofErr w:type="spellStart"/>
      <w:r>
        <w:rPr>
          <w:rFonts w:ascii="Calibri" w:hAnsi="Calibri"/>
        </w:rPr>
        <w:t>Restubog</w:t>
      </w:r>
      <w:proofErr w:type="spellEnd"/>
      <w:r>
        <w:rPr>
          <w:rFonts w:ascii="Calibri" w:hAnsi="Calibri"/>
        </w:rPr>
        <w:t xml:space="preserve">, S.L.D. and Woo, S.E. (2024) 'A Multilevel Review of Artificial Intelligence in Organizations: Implications for Organizational </w:t>
      </w:r>
      <w:proofErr w:type="spellStart"/>
      <w:r>
        <w:rPr>
          <w:rFonts w:ascii="Calibri" w:hAnsi="Calibri"/>
        </w:rPr>
        <w:t>Behavior</w:t>
      </w:r>
      <w:proofErr w:type="spellEnd"/>
      <w:r>
        <w:rPr>
          <w:rFonts w:ascii="Calibri" w:hAnsi="Calibri"/>
        </w:rPr>
        <w:t xml:space="preserve"> Research and Practice', Journal of Organizational </w:t>
      </w:r>
      <w:proofErr w:type="spellStart"/>
      <w:r>
        <w:rPr>
          <w:rFonts w:ascii="Calibri" w:hAnsi="Calibri"/>
        </w:rPr>
        <w:t>Behavior</w:t>
      </w:r>
      <w:proofErr w:type="spellEnd"/>
      <w:r>
        <w:rPr>
          <w:rFonts w:ascii="Calibri" w:hAnsi="Calibri"/>
        </w:rPr>
        <w:t>.</w:t>
      </w:r>
    </w:p>
    <w:p w14:paraId="39E39EBB" w14:textId="77777777" w:rsidR="00C17258" w:rsidRDefault="00C17258" w:rsidP="00C17258">
      <w:pPr>
        <w:spacing w:after="120" w:line="264" w:lineRule="auto"/>
        <w:ind w:left="720" w:hanging="720"/>
      </w:pPr>
      <w:r>
        <w:rPr>
          <w:rFonts w:ascii="Calibri" w:hAnsi="Calibri"/>
        </w:rPr>
        <w:t>Bliese, P.D., Edwards, J.R. and Sonnentag, S. (2017) 'Stress and Well-Being at Work: A Century of Empirical Trends Reflecting Theoretical and Researcher Implications', Journal of Applied Psychology.</w:t>
      </w:r>
    </w:p>
    <w:p w14:paraId="6C4D2E05" w14:textId="77777777" w:rsidR="00C17258" w:rsidRDefault="00C17258" w:rsidP="00C17258">
      <w:pPr>
        <w:spacing w:after="120" w:line="264" w:lineRule="auto"/>
        <w:ind w:left="720" w:hanging="720"/>
      </w:pPr>
      <w:r>
        <w:rPr>
          <w:rFonts w:ascii="Calibri" w:hAnsi="Calibri"/>
        </w:rPr>
        <w:t>Bono, J.E. and Judge, T.A. (2003) 'Self-Concordance at Work: Toward Understanding the Motivational Effects of Transformational Leaders', Academy of Management Journal.</w:t>
      </w:r>
    </w:p>
    <w:p w14:paraId="67EB5799" w14:textId="77777777" w:rsidR="00C17258" w:rsidRDefault="00C17258" w:rsidP="00C17258">
      <w:pPr>
        <w:spacing w:after="120" w:line="264" w:lineRule="auto"/>
        <w:ind w:left="720" w:hanging="720"/>
      </w:pPr>
      <w:r>
        <w:rPr>
          <w:rFonts w:ascii="Calibri" w:hAnsi="Calibri"/>
        </w:rPr>
        <w:t>Bowen, D.E. and Ostroff, C. (2004) 'Understanding HRM-Firm Performance Linkages: The Role of the 'Strength' of the HRM System', Academy of Management Review.</w:t>
      </w:r>
    </w:p>
    <w:p w14:paraId="4A8C6412" w14:textId="77777777" w:rsidR="00C17258" w:rsidRDefault="00C17258" w:rsidP="00C17258">
      <w:pPr>
        <w:spacing w:after="120" w:line="264" w:lineRule="auto"/>
        <w:ind w:left="720" w:hanging="720"/>
      </w:pPr>
      <w:r>
        <w:rPr>
          <w:rFonts w:ascii="Calibri" w:hAnsi="Calibri"/>
        </w:rPr>
        <w:lastRenderedPageBreak/>
        <w:t xml:space="preserve">Braganza, A., Chen, W., </w:t>
      </w:r>
      <w:proofErr w:type="spellStart"/>
      <w:r>
        <w:rPr>
          <w:rFonts w:ascii="Calibri" w:hAnsi="Calibri"/>
        </w:rPr>
        <w:t>Canhoto</w:t>
      </w:r>
      <w:proofErr w:type="spellEnd"/>
      <w:r>
        <w:rPr>
          <w:rFonts w:ascii="Calibri" w:hAnsi="Calibri"/>
        </w:rPr>
        <w:t>, A. and Sap, S. (2021) 'Productive Employment and Decent Work: The Impact of AI Adoption on Psychological Contracts, Job Engagement and Employee Trust', Journal of Business Research.</w:t>
      </w:r>
    </w:p>
    <w:p w14:paraId="06E7D811" w14:textId="77777777" w:rsidR="00C17258" w:rsidRDefault="00C17258" w:rsidP="00C17258">
      <w:pPr>
        <w:spacing w:after="120" w:line="264" w:lineRule="auto"/>
        <w:ind w:left="720" w:hanging="720"/>
      </w:pPr>
      <w:r>
        <w:rPr>
          <w:rFonts w:ascii="Calibri" w:hAnsi="Calibri"/>
        </w:rPr>
        <w:t xml:space="preserve">Brown, M.E., Trevino, L.K. and Harrison, D.A. (2005) 'Ethical Leadership: A Social Learning Perspective for Construct Development and Testing', Organizational </w:t>
      </w:r>
      <w:proofErr w:type="spellStart"/>
      <w:r>
        <w:rPr>
          <w:rFonts w:ascii="Calibri" w:hAnsi="Calibri"/>
        </w:rPr>
        <w:t>Behavior</w:t>
      </w:r>
      <w:proofErr w:type="spellEnd"/>
      <w:r>
        <w:rPr>
          <w:rFonts w:ascii="Calibri" w:hAnsi="Calibri"/>
        </w:rPr>
        <w:t xml:space="preserve"> and Human Decision Processes.</w:t>
      </w:r>
    </w:p>
    <w:p w14:paraId="0758A945" w14:textId="77777777" w:rsidR="00C17258" w:rsidRDefault="00C17258" w:rsidP="00C17258">
      <w:pPr>
        <w:spacing w:after="120" w:line="264" w:lineRule="auto"/>
        <w:ind w:left="720" w:hanging="720"/>
      </w:pPr>
      <w:r>
        <w:rPr>
          <w:rFonts w:ascii="Calibri" w:hAnsi="Calibri"/>
        </w:rPr>
        <w:t xml:space="preserve">Charlwood, A. and </w:t>
      </w:r>
      <w:proofErr w:type="spellStart"/>
      <w:r>
        <w:rPr>
          <w:rFonts w:ascii="Calibri" w:hAnsi="Calibri"/>
        </w:rPr>
        <w:t>Guenole</w:t>
      </w:r>
      <w:proofErr w:type="spellEnd"/>
      <w:r>
        <w:rPr>
          <w:rFonts w:ascii="Calibri" w:hAnsi="Calibri"/>
        </w:rPr>
        <w:t>, N. (2022) 'Can HR Adapt to the Paradoxes of Artificial Intelligence?', Human Resource Management Journal.</w:t>
      </w:r>
    </w:p>
    <w:p w14:paraId="6F626C2B" w14:textId="77777777" w:rsidR="00C17258" w:rsidRDefault="00C17258" w:rsidP="00C17258">
      <w:pPr>
        <w:spacing w:after="120" w:line="264" w:lineRule="auto"/>
        <w:ind w:left="720" w:hanging="720"/>
      </w:pPr>
      <w:r>
        <w:rPr>
          <w:rFonts w:ascii="Calibri" w:hAnsi="Calibri"/>
        </w:rPr>
        <w:t>Chartered Association of Business Schools (2024) 'Academic Journal Guide 2024', Chartered Association of Business Schools (source document, not a journal).</w:t>
      </w:r>
    </w:p>
    <w:p w14:paraId="2DDC9EFD" w14:textId="77777777" w:rsidR="00C17258" w:rsidRDefault="00C17258" w:rsidP="00C17258">
      <w:pPr>
        <w:spacing w:after="120" w:line="264" w:lineRule="auto"/>
        <w:ind w:left="720" w:hanging="720"/>
      </w:pPr>
      <w:r>
        <w:rPr>
          <w:rFonts w:ascii="Calibri" w:hAnsi="Calibri"/>
        </w:rPr>
        <w:t>Chartered Institute of Personnel and Development (2025) 'Good Work Index 2025', Chartered Institute of Personnel and Development (industry report, not a journal).</w:t>
      </w:r>
    </w:p>
    <w:p w14:paraId="03CC2302" w14:textId="77777777" w:rsidR="00C17258" w:rsidRDefault="00C17258" w:rsidP="00C17258">
      <w:pPr>
        <w:spacing w:after="120" w:line="264" w:lineRule="auto"/>
        <w:ind w:left="720" w:hanging="720"/>
      </w:pPr>
      <w:r>
        <w:rPr>
          <w:rFonts w:ascii="Calibri" w:hAnsi="Calibri"/>
        </w:rPr>
        <w:t>Chowdhury, S., Dey, P., Joel-Edgar, S., Bhattacharya, S., Rodriguez-Espindola, O., Abadie, A. and Truong, L. (2023) 'Unlocking the Value of Artificial Intelligence in Human Resource Management Through AI Capability Framework', Human Resource Management Review.</w:t>
      </w:r>
    </w:p>
    <w:p w14:paraId="4967C810" w14:textId="77777777" w:rsidR="00C17258" w:rsidRDefault="00C17258" w:rsidP="00C17258">
      <w:pPr>
        <w:spacing w:after="120" w:line="264" w:lineRule="auto"/>
        <w:ind w:left="720" w:hanging="720"/>
      </w:pPr>
      <w:r>
        <w:rPr>
          <w:rFonts w:ascii="Calibri" w:hAnsi="Calibri"/>
        </w:rPr>
        <w:t>Colbert, A., Yee, N. and George, G. (2016) 'The Digital Workforce and the Workplace of the Future', Academy of Management Journal.</w:t>
      </w:r>
    </w:p>
    <w:p w14:paraId="2D72DA77" w14:textId="77777777" w:rsidR="00C17258" w:rsidRDefault="00C17258" w:rsidP="00C17258">
      <w:pPr>
        <w:spacing w:after="120" w:line="264" w:lineRule="auto"/>
        <w:ind w:left="720" w:hanging="720"/>
      </w:pPr>
      <w:r>
        <w:rPr>
          <w:rFonts w:ascii="Calibri" w:hAnsi="Calibri"/>
        </w:rPr>
        <w:t xml:space="preserve">Detert, J.R. and Burris, E.R. (2007) 'Leadership </w:t>
      </w:r>
      <w:proofErr w:type="spellStart"/>
      <w:r>
        <w:rPr>
          <w:rFonts w:ascii="Calibri" w:hAnsi="Calibri"/>
        </w:rPr>
        <w:t>Behavior</w:t>
      </w:r>
      <w:proofErr w:type="spellEnd"/>
      <w:r>
        <w:rPr>
          <w:rFonts w:ascii="Calibri" w:hAnsi="Calibri"/>
        </w:rPr>
        <w:t xml:space="preserve"> and Employee Voice: Is the Door Really Open?', Academy of Management Journal.</w:t>
      </w:r>
    </w:p>
    <w:p w14:paraId="2A33DA1A" w14:textId="77777777" w:rsidR="00C17258" w:rsidRDefault="00C17258" w:rsidP="00C17258">
      <w:pPr>
        <w:spacing w:after="120" w:line="264" w:lineRule="auto"/>
        <w:ind w:left="720" w:hanging="720"/>
      </w:pPr>
      <w:r>
        <w:rPr>
          <w:rFonts w:ascii="Calibri" w:hAnsi="Calibri"/>
        </w:rPr>
        <w:t>Duggan, J., Sherman, U., Carbery, R. and McDonnell, A. (2020) 'Algorithmic Management and App-Work in the Gig Economy: A Research Agenda for Employment Relations and HRM', Human Resource Management Journal.</w:t>
      </w:r>
    </w:p>
    <w:p w14:paraId="2242ED3E" w14:textId="77777777" w:rsidR="00C17258" w:rsidRDefault="00C17258" w:rsidP="00C17258">
      <w:pPr>
        <w:spacing w:after="120" w:line="264" w:lineRule="auto"/>
        <w:ind w:left="720" w:hanging="720"/>
      </w:pPr>
      <w:r>
        <w:rPr>
          <w:rFonts w:ascii="Calibri" w:hAnsi="Calibri"/>
        </w:rPr>
        <w:t xml:space="preserve">Faraj, S., </w:t>
      </w:r>
      <w:proofErr w:type="spellStart"/>
      <w:r>
        <w:rPr>
          <w:rFonts w:ascii="Calibri" w:hAnsi="Calibri"/>
        </w:rPr>
        <w:t>Pachidi</w:t>
      </w:r>
      <w:proofErr w:type="spellEnd"/>
      <w:r>
        <w:rPr>
          <w:rFonts w:ascii="Calibri" w:hAnsi="Calibri"/>
        </w:rPr>
        <w:t>, S. and Sayegh, K. (2018) 'Working and Organizing in the Age of the Learning Algorithm', Information and Organization.</w:t>
      </w:r>
    </w:p>
    <w:p w14:paraId="7C94162C" w14:textId="77777777" w:rsidR="00C17258" w:rsidRDefault="00C17258" w:rsidP="00C17258">
      <w:pPr>
        <w:spacing w:after="120" w:line="264" w:lineRule="auto"/>
        <w:ind w:left="720" w:hanging="720"/>
      </w:pPr>
      <w:r>
        <w:rPr>
          <w:rFonts w:ascii="Calibri" w:hAnsi="Calibri"/>
        </w:rPr>
        <w:t xml:space="preserve">Fugate, M., Kinicki, A.J. and Ashforth, B.E. (2004) 'Employability: A Psycho-Social Construct, Its Dimensions, and Applications', Journal of Vocational </w:t>
      </w:r>
      <w:proofErr w:type="spellStart"/>
      <w:r>
        <w:rPr>
          <w:rFonts w:ascii="Calibri" w:hAnsi="Calibri"/>
        </w:rPr>
        <w:t>Behavior</w:t>
      </w:r>
      <w:proofErr w:type="spellEnd"/>
      <w:r>
        <w:rPr>
          <w:rFonts w:ascii="Calibri" w:hAnsi="Calibri"/>
        </w:rPr>
        <w:t>.</w:t>
      </w:r>
    </w:p>
    <w:p w14:paraId="58238E18" w14:textId="77777777" w:rsidR="00C17258" w:rsidRDefault="00C17258" w:rsidP="00C17258">
      <w:pPr>
        <w:spacing w:after="120" w:line="264" w:lineRule="auto"/>
        <w:ind w:left="720" w:hanging="720"/>
      </w:pPr>
      <w:r>
        <w:rPr>
          <w:rFonts w:ascii="Calibri" w:hAnsi="Calibri"/>
        </w:rPr>
        <w:t xml:space="preserve">Gagne, M. and Deci, E.L. (2005) 'Self-Determination Theory and Work Motivation', Journal of Organizational </w:t>
      </w:r>
      <w:proofErr w:type="spellStart"/>
      <w:r>
        <w:rPr>
          <w:rFonts w:ascii="Calibri" w:hAnsi="Calibri"/>
        </w:rPr>
        <w:t>Behavior</w:t>
      </w:r>
      <w:proofErr w:type="spellEnd"/>
      <w:r>
        <w:rPr>
          <w:rFonts w:ascii="Calibri" w:hAnsi="Calibri"/>
        </w:rPr>
        <w:t>.</w:t>
      </w:r>
    </w:p>
    <w:p w14:paraId="670F0F26" w14:textId="77777777" w:rsidR="00C17258" w:rsidRDefault="00C17258" w:rsidP="00C17258">
      <w:pPr>
        <w:spacing w:after="120" w:line="264" w:lineRule="auto"/>
        <w:ind w:left="720" w:hanging="720"/>
      </w:pPr>
      <w:r>
        <w:rPr>
          <w:rFonts w:ascii="Calibri" w:hAnsi="Calibri"/>
        </w:rPr>
        <w:t>Grant, A.M. (2008) 'The Significance of Task Significance: Job Performance Effects, Relational Mechanisms, and Boundary Conditions', Journal of Applied Psychology.</w:t>
      </w:r>
    </w:p>
    <w:p w14:paraId="47C51C3D" w14:textId="77777777" w:rsidR="00C17258" w:rsidRDefault="00C17258" w:rsidP="00C17258">
      <w:pPr>
        <w:spacing w:after="120" w:line="264" w:lineRule="auto"/>
        <w:ind w:left="720" w:hanging="720"/>
      </w:pPr>
      <w:r>
        <w:rPr>
          <w:rFonts w:ascii="Calibri" w:hAnsi="Calibri"/>
        </w:rPr>
        <w:t>Guest, D.E. (2017) 'Human Resource Management and Employee Well-Being: Towards a New Analytic Framework', Human Resource Management Journal.</w:t>
      </w:r>
    </w:p>
    <w:p w14:paraId="6FD93E87" w14:textId="77777777" w:rsidR="00C17258" w:rsidRDefault="00C17258" w:rsidP="00C17258">
      <w:pPr>
        <w:spacing w:after="120" w:line="264" w:lineRule="auto"/>
        <w:ind w:left="720" w:hanging="720"/>
      </w:pPr>
      <w:r>
        <w:rPr>
          <w:rFonts w:ascii="Calibri" w:hAnsi="Calibri"/>
        </w:rPr>
        <w:t>Herold, D.M., Fedor, D.B., Caldwell, S. and Liu, Y. (2008) 'The Effects of Transformational and Change Leadership on Employees' Commitment to a Change: A Multilevel Study', Journal of Applied Psychology.</w:t>
      </w:r>
    </w:p>
    <w:p w14:paraId="7C40B03C" w14:textId="77777777" w:rsidR="00C17258" w:rsidRDefault="00C17258" w:rsidP="00C17258">
      <w:pPr>
        <w:spacing w:after="120" w:line="264" w:lineRule="auto"/>
        <w:ind w:left="720" w:hanging="720"/>
      </w:pPr>
      <w:r>
        <w:rPr>
          <w:rFonts w:ascii="Calibri" w:hAnsi="Calibri"/>
        </w:rPr>
        <w:t>Huang, M.H. and Rust, R.T. (2018) 'Artificial Intelligence in Service', Journal of Service Research.</w:t>
      </w:r>
    </w:p>
    <w:p w14:paraId="58B5DCEA" w14:textId="77777777" w:rsidR="00C17258" w:rsidRDefault="00C17258" w:rsidP="00C17258">
      <w:pPr>
        <w:spacing w:after="120" w:line="264" w:lineRule="auto"/>
        <w:ind w:left="720" w:hanging="720"/>
      </w:pPr>
      <w:proofErr w:type="spellStart"/>
      <w:r>
        <w:rPr>
          <w:rFonts w:ascii="Calibri" w:hAnsi="Calibri"/>
        </w:rPr>
        <w:t>Jarrahi</w:t>
      </w:r>
      <w:proofErr w:type="spellEnd"/>
      <w:r>
        <w:rPr>
          <w:rFonts w:ascii="Calibri" w:hAnsi="Calibri"/>
        </w:rPr>
        <w:t>, M.H. (2018) 'Artificial Intelligence and the Future of Work: Human-AI Symbiosis in Organizational Decision Making', Business Horizons.</w:t>
      </w:r>
    </w:p>
    <w:p w14:paraId="53E8E53B" w14:textId="77777777" w:rsidR="00C17258" w:rsidRDefault="00C17258" w:rsidP="00C17258">
      <w:pPr>
        <w:spacing w:after="120" w:line="264" w:lineRule="auto"/>
        <w:ind w:left="720" w:hanging="720"/>
      </w:pPr>
      <w:r>
        <w:rPr>
          <w:rFonts w:ascii="Calibri" w:hAnsi="Calibri"/>
        </w:rPr>
        <w:t>Judge, T.A. and Bono, J.E. (2001) 'Relationship of Core Self-Evaluations Traits - Self-Esteem, Generalized Self-Efficacy, Locus of Control, and Emotional Stability - With Job Satisfaction and Job Performance: A Meta-Analysis', Journal of Applied Psychology.</w:t>
      </w:r>
    </w:p>
    <w:p w14:paraId="28AEFBAD" w14:textId="77777777" w:rsidR="00C17258" w:rsidRDefault="00C17258" w:rsidP="00C17258">
      <w:pPr>
        <w:spacing w:after="120" w:line="264" w:lineRule="auto"/>
        <w:ind w:left="720" w:hanging="720"/>
      </w:pPr>
      <w:proofErr w:type="spellStart"/>
      <w:r>
        <w:rPr>
          <w:rFonts w:ascii="Calibri" w:hAnsi="Calibri"/>
        </w:rPr>
        <w:t>Kochling</w:t>
      </w:r>
      <w:proofErr w:type="spellEnd"/>
      <w:r>
        <w:rPr>
          <w:rFonts w:ascii="Calibri" w:hAnsi="Calibri"/>
        </w:rPr>
        <w:t>, A. and Wehner, M.C. (2020) 'Discriminated by an Algorithm: A Systematic Review of Discrimination and Fairness by Algorithmic Decision-Making in the Context of HR Recruitment and HR Development', Business Research.</w:t>
      </w:r>
    </w:p>
    <w:p w14:paraId="5BF9DD42" w14:textId="77777777" w:rsidR="00C17258" w:rsidRDefault="00C17258" w:rsidP="00C17258">
      <w:pPr>
        <w:spacing w:after="120" w:line="264" w:lineRule="auto"/>
        <w:ind w:left="720" w:hanging="720"/>
      </w:pPr>
      <w:r>
        <w:rPr>
          <w:rFonts w:ascii="Calibri" w:hAnsi="Calibri"/>
        </w:rPr>
        <w:t>Kong, H., Yuan, Y., Baruch, Y., Bu, N., Jiang, X. and Wang, K. (2021) 'Influences of Artificial Intelligence (AI) Awareness on Career Competency and Job Burnout', International Journal of Contemporary Hospitality Management.</w:t>
      </w:r>
    </w:p>
    <w:p w14:paraId="1BAA1CC6" w14:textId="77777777" w:rsidR="00C17258" w:rsidRDefault="00C17258" w:rsidP="00C17258">
      <w:pPr>
        <w:spacing w:after="120" w:line="264" w:lineRule="auto"/>
        <w:ind w:left="720" w:hanging="720"/>
      </w:pPr>
      <w:r>
        <w:rPr>
          <w:rFonts w:ascii="Calibri" w:hAnsi="Calibri"/>
        </w:rPr>
        <w:t>Larson, L. and DeChurch, L.A. (2020) 'Leading Teams in the Digital Age: Four Perspectives on Technology and What They Mean for Leading Teams', The Leadership Quarterly.</w:t>
      </w:r>
    </w:p>
    <w:p w14:paraId="681E8BB4" w14:textId="77777777" w:rsidR="00C17258" w:rsidRDefault="00C17258" w:rsidP="00C17258">
      <w:pPr>
        <w:spacing w:after="120" w:line="264" w:lineRule="auto"/>
        <w:ind w:left="720" w:hanging="720"/>
      </w:pPr>
      <w:r>
        <w:rPr>
          <w:rFonts w:ascii="Calibri" w:hAnsi="Calibri"/>
        </w:rPr>
        <w:lastRenderedPageBreak/>
        <w:t xml:space="preserve">Leicht-Deobald, U., Busch, T., Schank, C., Weibel, A., </w:t>
      </w:r>
      <w:proofErr w:type="spellStart"/>
      <w:r>
        <w:rPr>
          <w:rFonts w:ascii="Calibri" w:hAnsi="Calibri"/>
        </w:rPr>
        <w:t>Schafheitle</w:t>
      </w:r>
      <w:proofErr w:type="spellEnd"/>
      <w:r>
        <w:rPr>
          <w:rFonts w:ascii="Calibri" w:hAnsi="Calibri"/>
        </w:rPr>
        <w:t>, S., Wildhaber, I. and Kasper, G. (2019) 'The Challenges of Algorithm-Based HR Decision-Making for Personal Integrity', Journal of Business Ethics.</w:t>
      </w:r>
    </w:p>
    <w:p w14:paraId="76E265EF" w14:textId="77777777" w:rsidR="00C17258" w:rsidRDefault="00C17258" w:rsidP="00C17258">
      <w:pPr>
        <w:spacing w:after="120" w:line="264" w:lineRule="auto"/>
        <w:ind w:left="720" w:hanging="720"/>
      </w:pPr>
      <w:r>
        <w:rPr>
          <w:rFonts w:ascii="Calibri" w:hAnsi="Calibri"/>
        </w:rPr>
        <w:t>Lepak, D.P. and Snell, S.A. (1998) 'Virtual HR: Strategic Human Resource Management in the 21st Century', Human Resource Management Review.</w:t>
      </w:r>
    </w:p>
    <w:p w14:paraId="666D7117" w14:textId="77777777" w:rsidR="00C17258" w:rsidRDefault="00C17258" w:rsidP="00C17258">
      <w:pPr>
        <w:spacing w:after="120" w:line="264" w:lineRule="auto"/>
        <w:ind w:left="720" w:hanging="720"/>
      </w:pPr>
      <w:r>
        <w:rPr>
          <w:rFonts w:ascii="Calibri" w:hAnsi="Calibri"/>
        </w:rPr>
        <w:t>Li, J., Bonn, M.A. and Ye, B.H. (2019) 'Hotel Employees' Artificial Intelligence and Robotics Awareness and Its Impact on Turnover Intention: The Moderating Roles of Perceived Organizational Support and Competitive Psychological Climate', Tourism Management.</w:t>
      </w:r>
    </w:p>
    <w:p w14:paraId="0F987585" w14:textId="77777777" w:rsidR="00C17258" w:rsidRDefault="00C17258" w:rsidP="00C17258">
      <w:pPr>
        <w:spacing w:after="120" w:line="264" w:lineRule="auto"/>
        <w:ind w:left="720" w:hanging="720"/>
      </w:pPr>
      <w:r>
        <w:rPr>
          <w:rFonts w:ascii="Calibri" w:hAnsi="Calibri"/>
        </w:rPr>
        <w:t xml:space="preserve">Malik, A., </w:t>
      </w:r>
      <w:proofErr w:type="spellStart"/>
      <w:r>
        <w:rPr>
          <w:rFonts w:ascii="Calibri" w:hAnsi="Calibri"/>
        </w:rPr>
        <w:t>Budhwar</w:t>
      </w:r>
      <w:proofErr w:type="spellEnd"/>
      <w:r>
        <w:rPr>
          <w:rFonts w:ascii="Calibri" w:hAnsi="Calibri"/>
        </w:rPr>
        <w:t>, P. and Kazmi, B.A. (2023) 'Artificial Intelligence (AI)-Assisted HRM: Towards an Extended Strategic Framework', Human Resource Management Review.</w:t>
      </w:r>
    </w:p>
    <w:p w14:paraId="66E133F3" w14:textId="77777777" w:rsidR="00C17258" w:rsidRDefault="00C17258" w:rsidP="00C17258">
      <w:pPr>
        <w:spacing w:after="120" w:line="264" w:lineRule="auto"/>
        <w:ind w:left="720" w:hanging="720"/>
      </w:pPr>
      <w:r>
        <w:rPr>
          <w:rFonts w:ascii="Calibri" w:hAnsi="Calibri"/>
        </w:rPr>
        <w:t>Marler, J.H. and Boudreau, J.W. (2017) 'An Evidence-Based Review of HR Analytics', International Journal of Human Resource Management.</w:t>
      </w:r>
    </w:p>
    <w:p w14:paraId="6892D9CD" w14:textId="77777777" w:rsidR="00C17258" w:rsidRDefault="00C17258" w:rsidP="00C17258">
      <w:pPr>
        <w:spacing w:after="120" w:line="264" w:lineRule="auto"/>
        <w:ind w:left="720" w:hanging="720"/>
      </w:pPr>
      <w:r>
        <w:rPr>
          <w:rFonts w:ascii="Calibri" w:hAnsi="Calibri"/>
        </w:rPr>
        <w:t xml:space="preserve">McCarthy, J.M., Bauer, T.N., Truxillo, D.M., Anderson, N.R., Costa, A.C. and Ahmed, S.M. (2017) 'Applicant Perspectives During Selection: A Review Addressing 'So </w:t>
      </w:r>
      <w:proofErr w:type="gramStart"/>
      <w:r>
        <w:rPr>
          <w:rFonts w:ascii="Calibri" w:hAnsi="Calibri"/>
        </w:rPr>
        <w:t>What?,</w:t>
      </w:r>
      <w:proofErr w:type="gramEnd"/>
      <w:r>
        <w:rPr>
          <w:rFonts w:ascii="Calibri" w:hAnsi="Calibri"/>
        </w:rPr>
        <w:t xml:space="preserve">' 'What's </w:t>
      </w:r>
      <w:proofErr w:type="gramStart"/>
      <w:r>
        <w:rPr>
          <w:rFonts w:ascii="Calibri" w:hAnsi="Calibri"/>
        </w:rPr>
        <w:t>New?,</w:t>
      </w:r>
      <w:proofErr w:type="gramEnd"/>
      <w:r>
        <w:rPr>
          <w:rFonts w:ascii="Calibri" w:hAnsi="Calibri"/>
        </w:rPr>
        <w:t>' and 'Where to Next?'', Journal of Management.</w:t>
      </w:r>
    </w:p>
    <w:p w14:paraId="64BA7638" w14:textId="77777777" w:rsidR="00C17258" w:rsidRDefault="00C17258" w:rsidP="00C17258">
      <w:pPr>
        <w:spacing w:after="120" w:line="264" w:lineRule="auto"/>
        <w:ind w:left="720" w:hanging="720"/>
      </w:pPr>
      <w:r>
        <w:rPr>
          <w:rFonts w:ascii="Calibri" w:hAnsi="Calibri"/>
        </w:rPr>
        <w:t>McKinsey &amp; Company (2025) 'The State of AI in 2025: Agents, Innovation, and Transformation', McKinsey &amp; Company.</w:t>
      </w:r>
    </w:p>
    <w:p w14:paraId="60563FFF" w14:textId="77777777" w:rsidR="00C17258" w:rsidRDefault="00C17258" w:rsidP="00C17258">
      <w:pPr>
        <w:spacing w:after="120" w:line="264" w:lineRule="auto"/>
        <w:ind w:left="720" w:hanging="720"/>
      </w:pPr>
      <w:r>
        <w:rPr>
          <w:rFonts w:ascii="Calibri" w:hAnsi="Calibri"/>
        </w:rPr>
        <w:t>Morgeson, F.P., Mitchell, T.R. and Liu, D. (2015) 'Event System Theory: An Event-Oriented Approach to the Organizational Sciences', Academy of Management Review.</w:t>
      </w:r>
    </w:p>
    <w:p w14:paraId="67E20AED" w14:textId="77777777" w:rsidR="00C17258" w:rsidRDefault="00C17258" w:rsidP="00C17258">
      <w:pPr>
        <w:spacing w:after="120" w:line="264" w:lineRule="auto"/>
        <w:ind w:left="720" w:hanging="720"/>
      </w:pPr>
      <w:r>
        <w:rPr>
          <w:rFonts w:ascii="Calibri" w:hAnsi="Calibri"/>
        </w:rPr>
        <w:t xml:space="preserve">Morrison, E.W. (2011) 'Employee Voice </w:t>
      </w:r>
      <w:proofErr w:type="spellStart"/>
      <w:r>
        <w:rPr>
          <w:rFonts w:ascii="Calibri" w:hAnsi="Calibri"/>
        </w:rPr>
        <w:t>Behavior</w:t>
      </w:r>
      <w:proofErr w:type="spellEnd"/>
      <w:r>
        <w:rPr>
          <w:rFonts w:ascii="Calibri" w:hAnsi="Calibri"/>
        </w:rPr>
        <w:t>: Integration and Directions for Future Research', Academy of Management Annals.</w:t>
      </w:r>
    </w:p>
    <w:p w14:paraId="65CA1883" w14:textId="77777777" w:rsidR="00C17258" w:rsidRDefault="00C17258" w:rsidP="00C17258">
      <w:pPr>
        <w:spacing w:after="120" w:line="264" w:lineRule="auto"/>
        <w:ind w:left="720" w:hanging="720"/>
      </w:pPr>
      <w:r>
        <w:rPr>
          <w:rFonts w:ascii="Calibri" w:hAnsi="Calibri"/>
        </w:rPr>
        <w:t>Nam, T. (2019) 'Technology Usage, Expected Job Sustainability, and Perceived Job Security', Technological Forecasting and Social Change.</w:t>
      </w:r>
    </w:p>
    <w:p w14:paraId="151B4172" w14:textId="77777777" w:rsidR="00C17258" w:rsidRDefault="00C17258" w:rsidP="00C17258">
      <w:pPr>
        <w:spacing w:after="120" w:line="264" w:lineRule="auto"/>
        <w:ind w:left="720" w:hanging="720"/>
      </w:pPr>
      <w:r>
        <w:rPr>
          <w:rFonts w:ascii="Calibri" w:hAnsi="Calibri"/>
        </w:rPr>
        <w:t xml:space="preserve">Oldham, G.R. and Hackman, J.R. (2010) 'Not What It Was and Not What It Will Be: The Future of Job Design Research', Journal of Organizational </w:t>
      </w:r>
      <w:proofErr w:type="spellStart"/>
      <w:r>
        <w:rPr>
          <w:rFonts w:ascii="Calibri" w:hAnsi="Calibri"/>
        </w:rPr>
        <w:t>Behavior</w:t>
      </w:r>
      <w:proofErr w:type="spellEnd"/>
      <w:r>
        <w:rPr>
          <w:rFonts w:ascii="Calibri" w:hAnsi="Calibri"/>
        </w:rPr>
        <w:t>.</w:t>
      </w:r>
    </w:p>
    <w:p w14:paraId="51AA5C73" w14:textId="77777777" w:rsidR="00C17258" w:rsidRDefault="00C17258" w:rsidP="00C17258">
      <w:pPr>
        <w:spacing w:after="120" w:line="264" w:lineRule="auto"/>
        <w:ind w:left="720" w:hanging="720"/>
      </w:pPr>
      <w:proofErr w:type="spellStart"/>
      <w:r>
        <w:rPr>
          <w:rFonts w:ascii="Calibri" w:hAnsi="Calibri"/>
        </w:rPr>
        <w:t>Oreg</w:t>
      </w:r>
      <w:proofErr w:type="spellEnd"/>
      <w:r>
        <w:rPr>
          <w:rFonts w:ascii="Calibri" w:hAnsi="Calibri"/>
        </w:rPr>
        <w:t>, S. (2006) 'Personality, Context, and Resistance to Organizational Change', European Journal of Work and Organizational Psychology.</w:t>
      </w:r>
    </w:p>
    <w:p w14:paraId="0FA97DCC" w14:textId="77777777" w:rsidR="00C17258" w:rsidRDefault="00C17258" w:rsidP="00C17258">
      <w:pPr>
        <w:spacing w:after="120" w:line="264" w:lineRule="auto"/>
        <w:ind w:left="720" w:hanging="720"/>
      </w:pPr>
      <w:r>
        <w:rPr>
          <w:rFonts w:ascii="Calibri" w:hAnsi="Calibri"/>
        </w:rPr>
        <w:t>Parker, S.K., Bindl, U.K. and Strauss, K. (2010) 'Making Things Happen: A Model of Proactive Motivation', Journal of Management.</w:t>
      </w:r>
    </w:p>
    <w:p w14:paraId="744BC2AA" w14:textId="77777777" w:rsidR="00C17258" w:rsidRDefault="00C17258" w:rsidP="00C17258">
      <w:pPr>
        <w:spacing w:after="120" w:line="264" w:lineRule="auto"/>
        <w:ind w:left="720" w:hanging="720"/>
      </w:pPr>
      <w:r>
        <w:rPr>
          <w:rFonts w:ascii="Calibri" w:hAnsi="Calibri"/>
        </w:rPr>
        <w:t xml:space="preserve">Petrou, P., Demerouti, E., Peeters, M.C.W., Schaufeli, W.B. and Hetland, J. (2012) 'Crafting a Job on a Daily Basis: Contextual Correlates and the Link to Work Engagement', Journal of Organizational </w:t>
      </w:r>
      <w:proofErr w:type="spellStart"/>
      <w:r>
        <w:rPr>
          <w:rFonts w:ascii="Calibri" w:hAnsi="Calibri"/>
        </w:rPr>
        <w:t>Behavior</w:t>
      </w:r>
      <w:proofErr w:type="spellEnd"/>
      <w:r>
        <w:rPr>
          <w:rFonts w:ascii="Calibri" w:hAnsi="Calibri"/>
        </w:rPr>
        <w:t>.</w:t>
      </w:r>
    </w:p>
    <w:p w14:paraId="1977DF82" w14:textId="77777777" w:rsidR="00C17258" w:rsidRDefault="00C17258" w:rsidP="00C17258">
      <w:pPr>
        <w:spacing w:after="120" w:line="264" w:lineRule="auto"/>
        <w:ind w:left="720" w:hanging="720"/>
      </w:pPr>
      <w:r>
        <w:rPr>
          <w:rFonts w:ascii="Calibri" w:hAnsi="Calibri"/>
        </w:rPr>
        <w:t xml:space="preserve">Podsakoff, P.M., MacKenzie, S.B., Lee, J.-Y. and Podsakoff, N.P. (2003) 'Common Method Biases in </w:t>
      </w:r>
      <w:proofErr w:type="spellStart"/>
      <w:r>
        <w:rPr>
          <w:rFonts w:ascii="Calibri" w:hAnsi="Calibri"/>
        </w:rPr>
        <w:t>Behavioral</w:t>
      </w:r>
      <w:proofErr w:type="spellEnd"/>
      <w:r>
        <w:rPr>
          <w:rFonts w:ascii="Calibri" w:hAnsi="Calibri"/>
        </w:rPr>
        <w:t xml:space="preserve"> Research: A Critical Review of the Literature and Recommended Remedies', Journal of Applied Psychology.</w:t>
      </w:r>
    </w:p>
    <w:p w14:paraId="26C6397F" w14:textId="77777777" w:rsidR="00C17258" w:rsidRDefault="00C17258" w:rsidP="00C17258">
      <w:pPr>
        <w:spacing w:after="120" w:line="264" w:lineRule="auto"/>
        <w:ind w:left="720" w:hanging="720"/>
      </w:pPr>
      <w:r>
        <w:rPr>
          <w:rFonts w:ascii="Calibri" w:hAnsi="Calibri"/>
        </w:rPr>
        <w:t>PwC (2025) 'PwC 2025 Global AI Jobs Barometer', PwC.</w:t>
      </w:r>
    </w:p>
    <w:p w14:paraId="1D988A9D" w14:textId="77777777" w:rsidR="00C17258" w:rsidRDefault="00C17258" w:rsidP="00C17258">
      <w:pPr>
        <w:spacing w:after="120" w:line="264" w:lineRule="auto"/>
        <w:ind w:left="720" w:hanging="720"/>
      </w:pPr>
      <w:r>
        <w:rPr>
          <w:rFonts w:ascii="Calibri" w:hAnsi="Calibri"/>
        </w:rPr>
        <w:t>Rafferty, A.E. and Griffin, M.A. (2006) 'Perceptions of Organizational Change: A Stress and Coping Perspective', Journal of Applied Psychology.</w:t>
      </w:r>
    </w:p>
    <w:p w14:paraId="000A7BD6" w14:textId="77777777" w:rsidR="00C17258" w:rsidRDefault="00C17258" w:rsidP="00C17258">
      <w:pPr>
        <w:spacing w:after="120" w:line="264" w:lineRule="auto"/>
        <w:ind w:left="720" w:hanging="720"/>
      </w:pPr>
      <w:r>
        <w:rPr>
          <w:rFonts w:ascii="Calibri" w:hAnsi="Calibri"/>
        </w:rPr>
        <w:t xml:space="preserve">Rosso, B.D., </w:t>
      </w:r>
      <w:proofErr w:type="spellStart"/>
      <w:r>
        <w:rPr>
          <w:rFonts w:ascii="Calibri" w:hAnsi="Calibri"/>
        </w:rPr>
        <w:t>Dekas</w:t>
      </w:r>
      <w:proofErr w:type="spellEnd"/>
      <w:r>
        <w:rPr>
          <w:rFonts w:ascii="Calibri" w:hAnsi="Calibri"/>
        </w:rPr>
        <w:t xml:space="preserve">, K.H. and </w:t>
      </w:r>
      <w:proofErr w:type="spellStart"/>
      <w:r>
        <w:rPr>
          <w:rFonts w:ascii="Calibri" w:hAnsi="Calibri"/>
        </w:rPr>
        <w:t>Wrzesniewski</w:t>
      </w:r>
      <w:proofErr w:type="spellEnd"/>
      <w:r>
        <w:rPr>
          <w:rFonts w:ascii="Calibri" w:hAnsi="Calibri"/>
        </w:rPr>
        <w:t xml:space="preserve">, A. (2010) 'On the Meaning of Work: A Theoretical Integration and Review', Research in Organizational </w:t>
      </w:r>
      <w:proofErr w:type="spellStart"/>
      <w:r>
        <w:rPr>
          <w:rFonts w:ascii="Calibri" w:hAnsi="Calibri"/>
        </w:rPr>
        <w:t>Behavior</w:t>
      </w:r>
      <w:proofErr w:type="spellEnd"/>
      <w:r>
        <w:rPr>
          <w:rFonts w:ascii="Calibri" w:hAnsi="Calibri"/>
        </w:rPr>
        <w:t>.</w:t>
      </w:r>
    </w:p>
    <w:p w14:paraId="2D3D6934" w14:textId="77777777" w:rsidR="00C17258" w:rsidRDefault="00C17258" w:rsidP="00C17258">
      <w:pPr>
        <w:spacing w:after="120" w:line="264" w:lineRule="auto"/>
        <w:ind w:left="720" w:hanging="720"/>
      </w:pPr>
      <w:r>
        <w:rPr>
          <w:rFonts w:ascii="Calibri" w:hAnsi="Calibri"/>
        </w:rPr>
        <w:t xml:space="preserve">Savickas, M.L. and Porfeli, E.J. (2012) 'Career Adapt-Abilities Scale: Construction, Reliability, and Measurement Equivalence Across 13 Countries', Journal of Vocational </w:t>
      </w:r>
      <w:proofErr w:type="spellStart"/>
      <w:r>
        <w:rPr>
          <w:rFonts w:ascii="Calibri" w:hAnsi="Calibri"/>
        </w:rPr>
        <w:t>Behavior</w:t>
      </w:r>
      <w:proofErr w:type="spellEnd"/>
      <w:r>
        <w:rPr>
          <w:rFonts w:ascii="Calibri" w:hAnsi="Calibri"/>
        </w:rPr>
        <w:t>.</w:t>
      </w:r>
    </w:p>
    <w:p w14:paraId="27F9CD08" w14:textId="77777777" w:rsidR="00C17258" w:rsidRDefault="00C17258" w:rsidP="00C17258">
      <w:pPr>
        <w:spacing w:after="120" w:line="264" w:lineRule="auto"/>
        <w:ind w:left="720" w:hanging="720"/>
      </w:pPr>
      <w:r>
        <w:rPr>
          <w:rFonts w:ascii="Calibri" w:hAnsi="Calibri"/>
        </w:rPr>
        <w:t xml:space="preserve">Schaufeli, W.B. and Bakker, A.B. (2004) 'Job Demands, Job Resources, and Their Relationship with Burnout and Engagement: A Multi-Sample Study', Journal of Organizational </w:t>
      </w:r>
      <w:proofErr w:type="spellStart"/>
      <w:r>
        <w:rPr>
          <w:rFonts w:ascii="Calibri" w:hAnsi="Calibri"/>
        </w:rPr>
        <w:t>Behavior</w:t>
      </w:r>
      <w:proofErr w:type="spellEnd"/>
      <w:r>
        <w:rPr>
          <w:rFonts w:ascii="Calibri" w:hAnsi="Calibri"/>
        </w:rPr>
        <w:t>.</w:t>
      </w:r>
    </w:p>
    <w:p w14:paraId="353B648E" w14:textId="77777777" w:rsidR="00C17258" w:rsidRDefault="00C17258" w:rsidP="00C17258">
      <w:pPr>
        <w:spacing w:after="120" w:line="264" w:lineRule="auto"/>
        <w:ind w:left="720" w:hanging="720"/>
      </w:pPr>
      <w:r>
        <w:rPr>
          <w:rFonts w:ascii="Calibri" w:hAnsi="Calibri"/>
        </w:rPr>
        <w:t xml:space="preserve">Sonnentag, S. and Fritz, C. (2015) 'Recovery </w:t>
      </w:r>
      <w:proofErr w:type="gramStart"/>
      <w:r>
        <w:rPr>
          <w:rFonts w:ascii="Calibri" w:hAnsi="Calibri"/>
        </w:rPr>
        <w:t>From</w:t>
      </w:r>
      <w:proofErr w:type="gramEnd"/>
      <w:r>
        <w:rPr>
          <w:rFonts w:ascii="Calibri" w:hAnsi="Calibri"/>
        </w:rPr>
        <w:t xml:space="preserve"> Job Stress: The Stressor-Detachment Model as an Integrative Framework', Journal of Organizational </w:t>
      </w:r>
      <w:proofErr w:type="spellStart"/>
      <w:r>
        <w:rPr>
          <w:rFonts w:ascii="Calibri" w:hAnsi="Calibri"/>
        </w:rPr>
        <w:t>Behavior</w:t>
      </w:r>
      <w:proofErr w:type="spellEnd"/>
      <w:r>
        <w:rPr>
          <w:rFonts w:ascii="Calibri" w:hAnsi="Calibri"/>
        </w:rPr>
        <w:t>.</w:t>
      </w:r>
    </w:p>
    <w:p w14:paraId="428D5B5A" w14:textId="77777777" w:rsidR="00C17258" w:rsidRDefault="00C17258" w:rsidP="00C17258">
      <w:pPr>
        <w:spacing w:after="120" w:line="264" w:lineRule="auto"/>
        <w:ind w:left="720" w:hanging="720"/>
      </w:pPr>
      <w:r>
        <w:rPr>
          <w:rFonts w:ascii="Calibri" w:hAnsi="Calibri"/>
        </w:rPr>
        <w:t>Stone, D.L., Deadrick, D.L., Lukaszewski, K.M. and Johnson, R. (2015) 'The Influence of Technology on the Future of Human Resource Management', Human Resource Management Review.</w:t>
      </w:r>
    </w:p>
    <w:p w14:paraId="43F65546" w14:textId="77777777" w:rsidR="00C17258" w:rsidRDefault="00C17258" w:rsidP="00C17258">
      <w:pPr>
        <w:spacing w:after="120" w:line="264" w:lineRule="auto"/>
        <w:ind w:left="720" w:hanging="720"/>
      </w:pPr>
      <w:r>
        <w:rPr>
          <w:rFonts w:ascii="Calibri" w:hAnsi="Calibri"/>
        </w:rPr>
        <w:lastRenderedPageBreak/>
        <w:t>Strohmeier, S. (2020) 'Smart HRM - A Delphi Study on the Application of Artificial Intelligence in HRM', International Journal of Human Resource Management.</w:t>
      </w:r>
    </w:p>
    <w:p w14:paraId="5C324681" w14:textId="77777777" w:rsidR="00C17258" w:rsidRDefault="00C17258" w:rsidP="00C17258">
      <w:pPr>
        <w:spacing w:after="120" w:line="264" w:lineRule="auto"/>
        <w:ind w:left="720" w:hanging="720"/>
      </w:pPr>
      <w:proofErr w:type="spellStart"/>
      <w:r>
        <w:rPr>
          <w:rFonts w:ascii="Calibri" w:hAnsi="Calibri"/>
        </w:rPr>
        <w:t>Suseno</w:t>
      </w:r>
      <w:proofErr w:type="spellEnd"/>
      <w:r>
        <w:rPr>
          <w:rFonts w:ascii="Calibri" w:hAnsi="Calibri"/>
        </w:rPr>
        <w:t>, Y., Chang, C., Hudik, M. and Fang, E.S. (2022) 'Beliefs, Anxiety and Change Readiness for Artificial Intelligence Adoption Among Human Resource Managers: The Moderating Role of High-Performance Work Systems', International Journal of Human Resource Management.</w:t>
      </w:r>
    </w:p>
    <w:p w14:paraId="0FC7A82B" w14:textId="77777777" w:rsidR="00C17258" w:rsidRDefault="00C17258" w:rsidP="00C17258">
      <w:pPr>
        <w:spacing w:after="120" w:line="264" w:lineRule="auto"/>
        <w:ind w:left="720" w:hanging="720"/>
      </w:pPr>
      <w:r>
        <w:rPr>
          <w:rFonts w:ascii="Calibri" w:hAnsi="Calibri"/>
        </w:rPr>
        <w:t>Tambe, P., Cappelli, P. and Yakubovich, V. (2019) 'Artificial Intelligence in Human Resources Management: Challenges and a Path Forward', California Management Review.</w:t>
      </w:r>
    </w:p>
    <w:p w14:paraId="798B4346" w14:textId="77777777" w:rsidR="00C17258" w:rsidRDefault="00C17258" w:rsidP="00C17258">
      <w:pPr>
        <w:spacing w:after="120" w:line="264" w:lineRule="auto"/>
        <w:ind w:left="720" w:hanging="720"/>
      </w:pPr>
      <w:r>
        <w:rPr>
          <w:rFonts w:ascii="Calibri" w:hAnsi="Calibri"/>
        </w:rPr>
        <w:t>Tarafdar, M., Cooper, C.L. and Stich, J.-F. (2019) 'The Technostress Trifecta - Techno Eustress, Techno Distress and Design: Theoretical Directions and an Agenda for Research', Information Systems Journal.</w:t>
      </w:r>
    </w:p>
    <w:p w14:paraId="6EA0C379" w14:textId="77777777" w:rsidR="00C17258" w:rsidRDefault="00C17258" w:rsidP="00C17258">
      <w:pPr>
        <w:spacing w:after="120" w:line="264" w:lineRule="auto"/>
        <w:ind w:left="720" w:hanging="720"/>
      </w:pPr>
      <w:r>
        <w:rPr>
          <w:rFonts w:ascii="Calibri" w:hAnsi="Calibri"/>
        </w:rPr>
        <w:t xml:space="preserve">Tarafdar, M., Maier, C., Laumer, S. and Weitzel, T. (2020) 'Explaining the Link Between Technostress and Technology Addiction for Social Networking Sites: A Study of Distraction as a Coping </w:t>
      </w:r>
      <w:proofErr w:type="spellStart"/>
      <w:r>
        <w:rPr>
          <w:rFonts w:ascii="Calibri" w:hAnsi="Calibri"/>
        </w:rPr>
        <w:t>Behavior</w:t>
      </w:r>
      <w:proofErr w:type="spellEnd"/>
      <w:r>
        <w:rPr>
          <w:rFonts w:ascii="Calibri" w:hAnsi="Calibri"/>
        </w:rPr>
        <w:t>', Information Systems Journal.</w:t>
      </w:r>
    </w:p>
    <w:p w14:paraId="2877DA4A" w14:textId="77777777" w:rsidR="00C17258" w:rsidRDefault="00C17258" w:rsidP="00C17258">
      <w:pPr>
        <w:spacing w:after="120" w:line="264" w:lineRule="auto"/>
        <w:ind w:left="720" w:hanging="720"/>
      </w:pPr>
      <w:r>
        <w:rPr>
          <w:rFonts w:ascii="Calibri" w:hAnsi="Calibri"/>
        </w:rPr>
        <w:t>Tarafdar, M., Tu, Q., Ragu-Nathan, B.S. and Ragu-Nathan, T.S. (2007) 'The Impact of Technostress on Role Stress and Productivity', Journal of Management Information Systems.</w:t>
      </w:r>
    </w:p>
    <w:p w14:paraId="18FE20ED" w14:textId="77777777" w:rsidR="00C17258" w:rsidRDefault="00C17258" w:rsidP="00C17258">
      <w:pPr>
        <w:spacing w:after="120" w:line="264" w:lineRule="auto"/>
        <w:ind w:left="720" w:hanging="720"/>
      </w:pPr>
      <w:r>
        <w:rPr>
          <w:rFonts w:ascii="Calibri" w:hAnsi="Calibri"/>
        </w:rPr>
        <w:t xml:space="preserve">Tims, M., Bakker, A.B. and Derks, D. (2012) 'Development and Validation of the Job Crafting Scale', Journal of Vocational </w:t>
      </w:r>
      <w:proofErr w:type="spellStart"/>
      <w:r>
        <w:rPr>
          <w:rFonts w:ascii="Calibri" w:hAnsi="Calibri"/>
        </w:rPr>
        <w:t>Behavior</w:t>
      </w:r>
      <w:proofErr w:type="spellEnd"/>
      <w:r>
        <w:rPr>
          <w:rFonts w:ascii="Calibri" w:hAnsi="Calibri"/>
        </w:rPr>
        <w:t>.</w:t>
      </w:r>
    </w:p>
    <w:p w14:paraId="6841E7FB" w14:textId="77777777" w:rsidR="00C17258" w:rsidRDefault="00C17258" w:rsidP="00C17258">
      <w:pPr>
        <w:spacing w:after="120" w:line="264" w:lineRule="auto"/>
        <w:ind w:left="720" w:hanging="720"/>
      </w:pPr>
      <w:r>
        <w:rPr>
          <w:rFonts w:ascii="Calibri" w:hAnsi="Calibri"/>
        </w:rPr>
        <w:t>Van De Voorde, K., Paauwe, J. and Van Veldhoven, M. (2012) 'Employee Well-Being and the HRM-Organizational Performance Relationship: A Review of Quantitative Studies', International Journal of Management Reviews.</w:t>
      </w:r>
    </w:p>
    <w:p w14:paraId="436D77C0" w14:textId="77777777" w:rsidR="00C17258" w:rsidRDefault="00C17258" w:rsidP="00C17258">
      <w:pPr>
        <w:spacing w:after="120" w:line="264" w:lineRule="auto"/>
        <w:ind w:left="720" w:hanging="720"/>
      </w:pPr>
      <w:r>
        <w:rPr>
          <w:rFonts w:ascii="Calibri" w:hAnsi="Calibri"/>
        </w:rPr>
        <w:t xml:space="preserve">Van Dyne, L. and </w:t>
      </w:r>
      <w:proofErr w:type="spellStart"/>
      <w:r>
        <w:rPr>
          <w:rFonts w:ascii="Calibri" w:hAnsi="Calibri"/>
        </w:rPr>
        <w:t>LePine</w:t>
      </w:r>
      <w:proofErr w:type="spellEnd"/>
      <w:r>
        <w:rPr>
          <w:rFonts w:ascii="Calibri" w:hAnsi="Calibri"/>
        </w:rPr>
        <w:t xml:space="preserve">, J.A. (1998) 'Helping and Voice Extra-Role </w:t>
      </w:r>
      <w:proofErr w:type="spellStart"/>
      <w:r>
        <w:rPr>
          <w:rFonts w:ascii="Calibri" w:hAnsi="Calibri"/>
        </w:rPr>
        <w:t>Behaviors</w:t>
      </w:r>
      <w:proofErr w:type="spellEnd"/>
      <w:r>
        <w:rPr>
          <w:rFonts w:ascii="Calibri" w:hAnsi="Calibri"/>
        </w:rPr>
        <w:t>: Evidence of Construct and Predictive Validity', Academy of Management Journal.</w:t>
      </w:r>
    </w:p>
    <w:p w14:paraId="5997EC59" w14:textId="77777777" w:rsidR="00C17258" w:rsidRDefault="00C17258" w:rsidP="00C17258">
      <w:pPr>
        <w:spacing w:after="120" w:line="264" w:lineRule="auto"/>
        <w:ind w:left="720" w:hanging="720"/>
      </w:pPr>
      <w:r>
        <w:rPr>
          <w:rFonts w:ascii="Calibri" w:hAnsi="Calibri"/>
        </w:rPr>
        <w:t xml:space="preserve">Wood, A.J., Graham, M., </w:t>
      </w:r>
      <w:proofErr w:type="spellStart"/>
      <w:r>
        <w:rPr>
          <w:rFonts w:ascii="Calibri" w:hAnsi="Calibri"/>
        </w:rPr>
        <w:t>Lehdonvirta</w:t>
      </w:r>
      <w:proofErr w:type="spellEnd"/>
      <w:r>
        <w:rPr>
          <w:rFonts w:ascii="Calibri" w:hAnsi="Calibri"/>
        </w:rPr>
        <w:t>, V. and Hjorth, I. (2019) 'Good Gig, Bad Gig: Autonomy and Algorithmic Control in the Global Gig Economy', Work, Employment and Society.</w:t>
      </w:r>
    </w:p>
    <w:p w14:paraId="3452E5E1" w14:textId="77777777" w:rsidR="00C17258" w:rsidRDefault="00C17258" w:rsidP="00C17258">
      <w:pPr>
        <w:spacing w:after="120" w:line="264" w:lineRule="auto"/>
        <w:ind w:left="720" w:hanging="720"/>
      </w:pPr>
      <w:r>
        <w:rPr>
          <w:rFonts w:ascii="Calibri" w:hAnsi="Calibri"/>
        </w:rPr>
        <w:t>World Economic Forum (2023) 'The Future of Jobs Report 2023', World Economic Forum (industry report, not a journal).</w:t>
      </w:r>
    </w:p>
    <w:p w14:paraId="6B49B084" w14:textId="77777777" w:rsidR="00C17258" w:rsidRDefault="00C17258" w:rsidP="00C17258">
      <w:pPr>
        <w:spacing w:after="120" w:line="264" w:lineRule="auto"/>
        <w:ind w:left="720" w:hanging="720"/>
      </w:pPr>
      <w:r>
        <w:rPr>
          <w:rFonts w:ascii="Calibri" w:hAnsi="Calibri"/>
        </w:rPr>
        <w:t>World Economic Forum (2025) 'The Future of Jobs Report 2025', World Economic Forum.</w:t>
      </w:r>
    </w:p>
    <w:p w14:paraId="0505B89C" w14:textId="77777777" w:rsidR="00C17258" w:rsidRDefault="00C17258" w:rsidP="00C17258">
      <w:pPr>
        <w:spacing w:after="120" w:line="264" w:lineRule="auto"/>
        <w:ind w:left="720" w:hanging="720"/>
      </w:pPr>
      <w:r>
        <w:rPr>
          <w:rFonts w:ascii="Calibri" w:hAnsi="Calibri"/>
        </w:rPr>
        <w:t>Wright, P.M. and McMahan, G.C. (1992) 'Theoretical Perspectives for Strategic Human Resource Management', Journal of Management.</w:t>
      </w:r>
    </w:p>
    <w:p w14:paraId="4787E780" w14:textId="77777777" w:rsidR="00C17258" w:rsidRDefault="00C17258" w:rsidP="00C17258">
      <w:pPr>
        <w:spacing w:after="120" w:line="264" w:lineRule="auto"/>
        <w:ind w:left="720" w:hanging="720"/>
      </w:pPr>
      <w:r>
        <w:rPr>
          <w:rFonts w:ascii="Calibri" w:hAnsi="Calibri"/>
        </w:rPr>
        <w:t>Wrzesniewski, A. and Dutton, J.E. (2001) 'Crafting a Job: Revisioning Employees as Active Crafters of Their Work', Academy of Management Review.</w:t>
      </w:r>
    </w:p>
    <w:p w14:paraId="43C9077F" w14:textId="77777777" w:rsidR="00C17258" w:rsidRDefault="00C17258" w:rsidP="00C17258">
      <w:pPr>
        <w:spacing w:after="120" w:line="264" w:lineRule="auto"/>
        <w:ind w:left="720" w:hanging="720"/>
      </w:pPr>
      <w:r>
        <w:rPr>
          <w:rFonts w:ascii="Calibri" w:hAnsi="Calibri"/>
        </w:rPr>
        <w:t xml:space="preserve">Zirar, A., Ali, S.I. and Islam, N. (2023) 'Worker and Workplace Artificial Intelligence (AI) Coexistence: Emerging Themes and Research Agenda', </w:t>
      </w:r>
      <w:proofErr w:type="spellStart"/>
      <w:r>
        <w:rPr>
          <w:rFonts w:ascii="Calibri" w:hAnsi="Calibri"/>
        </w:rPr>
        <w:t>Technovation</w:t>
      </w:r>
      <w:proofErr w:type="spellEnd"/>
      <w:r>
        <w:rPr>
          <w:rFonts w:ascii="Calibri" w:hAnsi="Calibri"/>
        </w:rPr>
        <w:t>.</w:t>
      </w:r>
    </w:p>
    <w:p w14:paraId="12315F7E" w14:textId="77777777" w:rsidR="00C17258" w:rsidRDefault="00C17258" w:rsidP="00C17258">
      <w:r>
        <w:rPr>
          <w:rFonts w:ascii="Calibri" w:hAnsi="Calibri"/>
          <w:b/>
          <w:color w:val="1F4E79"/>
          <w:sz w:val="28"/>
        </w:rPr>
        <w:t>Appendix F: Ethics Approval Form</w:t>
      </w:r>
    </w:p>
    <w:p w14:paraId="0B291BC6" w14:textId="77777777" w:rsidR="00C17258" w:rsidRDefault="00C17258" w:rsidP="00C17258">
      <w:pPr>
        <w:spacing w:after="180" w:line="276" w:lineRule="auto"/>
        <w:jc w:val="both"/>
      </w:pPr>
      <w:r>
        <w:rPr>
          <w:rFonts w:ascii="Calibri" w:hAnsi="Calibri"/>
          <w:sz w:val="22"/>
        </w:rPr>
        <w:t>The completed institutional ethics approval form for this dissertation is reproduced below in full, as submitted and approved prior to the commencement of this research activity, in accordance with the University's requirement that ethical approval be obtained before any research activity begins.</w:t>
      </w:r>
    </w:p>
    <w:p w14:paraId="431B3AD8" w14:textId="77777777" w:rsidR="00C17258" w:rsidRDefault="00C17258" w:rsidP="00C17258">
      <w:pPr>
        <w:tabs>
          <w:tab w:val="left" w:pos="5103"/>
        </w:tabs>
        <w:jc w:val="center"/>
        <w:rPr>
          <w:rFonts w:ascii="Arial" w:hAnsi="Arial" w:cs="Arial"/>
          <w:b/>
          <w:bCs/>
          <w:sz w:val="24"/>
          <w:szCs w:val="24"/>
        </w:rPr>
      </w:pPr>
    </w:p>
    <w:p w14:paraId="06AD47FD" w14:textId="77777777" w:rsidR="00C17258" w:rsidRPr="004C3A0B" w:rsidRDefault="00C17258" w:rsidP="00C1725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0AF6E61" w14:textId="77777777" w:rsidR="00C17258" w:rsidRPr="004C3A0B" w:rsidRDefault="00C17258" w:rsidP="00C17258">
      <w:pPr>
        <w:tabs>
          <w:tab w:val="left" w:pos="5103"/>
        </w:tabs>
        <w:ind w:right="282"/>
        <w:jc w:val="center"/>
        <w:rPr>
          <w:rFonts w:ascii="Arial" w:hAnsi="Arial" w:cs="Arial"/>
          <w:b/>
          <w:bCs/>
        </w:rPr>
      </w:pPr>
    </w:p>
    <w:p w14:paraId="252A654B" w14:textId="77777777" w:rsidR="00C17258" w:rsidRPr="004C3A0B" w:rsidRDefault="00C17258" w:rsidP="00C1725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667CB0DB" w14:textId="77777777" w:rsidR="00C17258" w:rsidRPr="004C3A0B" w:rsidRDefault="00C17258" w:rsidP="00C17258">
      <w:pPr>
        <w:tabs>
          <w:tab w:val="left" w:pos="5103"/>
        </w:tabs>
        <w:ind w:right="282"/>
        <w:jc w:val="center"/>
        <w:rPr>
          <w:rFonts w:ascii="Arial" w:hAnsi="Arial" w:cs="Arial"/>
          <w:b/>
          <w:bCs/>
          <w:sz w:val="16"/>
          <w:szCs w:val="16"/>
        </w:rPr>
      </w:pPr>
    </w:p>
    <w:p w14:paraId="5899ADC1" w14:textId="77777777" w:rsidR="00C17258" w:rsidRPr="004C3A0B" w:rsidRDefault="00C17258" w:rsidP="00C17258">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ABAA0B" w14:textId="77777777" w:rsidR="00C17258" w:rsidRPr="004C3A0B" w:rsidRDefault="00C17258" w:rsidP="00C17258">
      <w:pPr>
        <w:tabs>
          <w:tab w:val="left" w:pos="5103"/>
        </w:tabs>
        <w:ind w:right="282"/>
        <w:jc w:val="both"/>
        <w:rPr>
          <w:rFonts w:ascii="Arial" w:hAnsi="Arial" w:cs="Arial"/>
          <w:sz w:val="22"/>
          <w:szCs w:val="22"/>
        </w:rPr>
      </w:pPr>
    </w:p>
    <w:p w14:paraId="46A7352C" w14:textId="77777777" w:rsidR="00C17258" w:rsidRPr="004C3A0B" w:rsidRDefault="00C17258" w:rsidP="00C17258">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7AFB646" w14:textId="77777777" w:rsidR="00C17258" w:rsidRPr="004C3A0B" w:rsidRDefault="00C17258" w:rsidP="00C17258">
      <w:pPr>
        <w:tabs>
          <w:tab w:val="left" w:pos="5103"/>
        </w:tabs>
        <w:ind w:right="282"/>
        <w:jc w:val="both"/>
        <w:rPr>
          <w:rFonts w:ascii="Arial" w:hAnsi="Arial" w:cs="Arial"/>
          <w:sz w:val="22"/>
          <w:szCs w:val="22"/>
        </w:rPr>
      </w:pPr>
    </w:p>
    <w:p w14:paraId="4AF05460" w14:textId="77777777" w:rsidR="00C17258" w:rsidRDefault="00C17258" w:rsidP="00C1725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00E1C284" w14:textId="77777777" w:rsidR="00C17258" w:rsidRPr="004C3A0B" w:rsidRDefault="00C17258" w:rsidP="00C17258">
      <w:pPr>
        <w:autoSpaceDE w:val="0"/>
        <w:autoSpaceDN w:val="0"/>
        <w:adjustRightInd w:val="0"/>
        <w:jc w:val="both"/>
        <w:rPr>
          <w:rFonts w:ascii="Arial" w:hAnsi="Arial" w:cs="Arial"/>
          <w:sz w:val="22"/>
          <w:szCs w:val="22"/>
        </w:rPr>
      </w:pPr>
    </w:p>
    <w:p w14:paraId="6FEFFB0C" w14:textId="77777777" w:rsidR="00C17258" w:rsidRPr="004C3A0B" w:rsidRDefault="00C17258" w:rsidP="00C1725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CellMar>
          <w:left w:w="10" w:type="dxa"/>
          <w:right w:w="10" w:type="dxa"/>
        </w:tblCellMar>
        <w:tblLook w:val="0000" w:firstRow="0" w:lastRow="0" w:firstColumn="0" w:lastColumn="0" w:noHBand="0" w:noVBand="0"/>
      </w:tblPr>
      <w:tblGrid>
        <w:gridCol w:w="559"/>
        <w:gridCol w:w="3253"/>
        <w:gridCol w:w="6636"/>
      </w:tblGrid>
      <w:tr w:rsidR="00C17258" w:rsidRPr="004C3A0B" w14:paraId="797C2560" w14:textId="77777777" w:rsidTr="00E930B0">
        <w:trPr>
          <w:trHeight w:val="439"/>
        </w:trPr>
        <w:tc>
          <w:tcPr>
            <w:tcW w:w="559" w:type="dxa"/>
            <w:shd w:val="clear" w:color="auto" w:fill="F2F2F2" w:themeFill="background1" w:themeFillShade="F2"/>
            <w:vAlign w:val="center"/>
          </w:tcPr>
          <w:p w14:paraId="647EE4EF" w14:textId="77777777" w:rsidR="00C17258" w:rsidRPr="004C3A0B" w:rsidRDefault="00C17258" w:rsidP="00E930B0">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732187A7" w14:textId="77777777" w:rsidR="00C17258" w:rsidRPr="004C3A0B" w:rsidRDefault="00C17258" w:rsidP="00E930B0">
            <w:pPr>
              <w:rPr>
                <w:rFonts w:ascii="Arial" w:hAnsi="Arial" w:cs="Arial"/>
                <w:sz w:val="22"/>
                <w:szCs w:val="22"/>
              </w:rPr>
            </w:pPr>
            <w:r w:rsidRPr="004C3A0B">
              <w:rPr>
                <w:rFonts w:ascii="Arial" w:hAnsi="Arial" w:cs="Arial"/>
                <w:sz w:val="22"/>
                <w:szCs w:val="22"/>
              </w:rPr>
              <w:t>Full Name:</w:t>
            </w:r>
          </w:p>
        </w:tc>
        <w:tc>
          <w:tcPr>
            <w:tcW w:w="6636" w:type="dxa"/>
            <w:vAlign w:val="center"/>
          </w:tcPr>
          <w:p w14:paraId="685E01E9" w14:textId="77777777" w:rsidR="00C17258" w:rsidRPr="004C3A0B" w:rsidRDefault="00C17258" w:rsidP="00E930B0">
            <w:pPr>
              <w:rPr>
                <w:rFonts w:ascii="Arial" w:hAnsi="Arial" w:cs="Arial"/>
                <w:sz w:val="22"/>
                <w:szCs w:val="22"/>
              </w:rPr>
            </w:pPr>
            <w:proofErr w:type="spellStart"/>
            <w:r w:rsidRPr="00EA051A">
              <w:rPr>
                <w:rFonts w:ascii="Arial" w:hAnsi="Arial" w:cs="Arial"/>
                <w:sz w:val="22"/>
                <w:szCs w:val="22"/>
              </w:rPr>
              <w:t>Almahender</w:t>
            </w:r>
            <w:proofErr w:type="spellEnd"/>
            <w:r w:rsidRPr="00EA051A">
              <w:rPr>
                <w:rFonts w:ascii="Arial" w:hAnsi="Arial" w:cs="Arial"/>
                <w:sz w:val="22"/>
                <w:szCs w:val="22"/>
              </w:rPr>
              <w:t xml:space="preserve"> Singh</w:t>
            </w:r>
          </w:p>
        </w:tc>
      </w:tr>
      <w:tr w:rsidR="00C17258" w:rsidRPr="004C3A0B" w14:paraId="77843C57" w14:textId="77777777" w:rsidTr="00E930B0">
        <w:trPr>
          <w:cantSplit/>
          <w:trHeight w:val="340"/>
        </w:trPr>
        <w:tc>
          <w:tcPr>
            <w:tcW w:w="559" w:type="dxa"/>
            <w:shd w:val="clear" w:color="auto" w:fill="F2F2F2" w:themeFill="background1" w:themeFillShade="F2"/>
            <w:vAlign w:val="center"/>
          </w:tcPr>
          <w:p w14:paraId="2AB2DCFF" w14:textId="77777777" w:rsidR="00C17258" w:rsidRPr="004C3A0B" w:rsidRDefault="00C17258" w:rsidP="00E930B0">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2AD4E5B3" w14:textId="77777777" w:rsidR="00C17258" w:rsidRPr="004C3A0B" w:rsidRDefault="00C17258" w:rsidP="00E930B0">
            <w:pPr>
              <w:rPr>
                <w:rFonts w:ascii="Arial" w:hAnsi="Arial" w:cs="Arial"/>
                <w:sz w:val="22"/>
                <w:szCs w:val="22"/>
              </w:rPr>
            </w:pPr>
            <w:r>
              <w:rPr>
                <w:rFonts w:ascii="Arial" w:hAnsi="Arial" w:cs="Arial"/>
                <w:sz w:val="22"/>
                <w:szCs w:val="22"/>
              </w:rPr>
              <w:t>Student Number:</w:t>
            </w:r>
          </w:p>
        </w:tc>
        <w:tc>
          <w:tcPr>
            <w:tcW w:w="6636" w:type="dxa"/>
            <w:vAlign w:val="center"/>
          </w:tcPr>
          <w:p w14:paraId="447CCD4F" w14:textId="77777777" w:rsidR="00C17258" w:rsidRDefault="00C17258" w:rsidP="00E930B0">
            <w:pPr>
              <w:rPr>
                <w:rFonts w:ascii="Arial" w:hAnsi="Arial" w:cs="Arial"/>
                <w:sz w:val="22"/>
                <w:szCs w:val="22"/>
              </w:rPr>
            </w:pPr>
            <w:r w:rsidRPr="00EA051A">
              <w:rPr>
                <w:rFonts w:ascii="Arial" w:hAnsi="Arial" w:cs="Arial"/>
                <w:sz w:val="22"/>
                <w:szCs w:val="22"/>
              </w:rPr>
              <w:t>2504913</w:t>
            </w:r>
          </w:p>
          <w:p w14:paraId="02DD1BE8" w14:textId="77777777" w:rsidR="00C17258" w:rsidRPr="004C3A0B" w:rsidRDefault="00C17258" w:rsidP="00E930B0">
            <w:pPr>
              <w:rPr>
                <w:rFonts w:ascii="Arial" w:hAnsi="Arial" w:cs="Arial"/>
                <w:sz w:val="22"/>
                <w:szCs w:val="22"/>
              </w:rPr>
            </w:pPr>
          </w:p>
        </w:tc>
      </w:tr>
      <w:tr w:rsidR="00C17258" w:rsidRPr="004C3A0B" w14:paraId="7A262D38" w14:textId="77777777" w:rsidTr="00E930B0">
        <w:trPr>
          <w:trHeight w:val="513"/>
        </w:trPr>
        <w:tc>
          <w:tcPr>
            <w:tcW w:w="559" w:type="dxa"/>
            <w:shd w:val="clear" w:color="auto" w:fill="F2F2F2" w:themeFill="background1" w:themeFillShade="F2"/>
            <w:vAlign w:val="center"/>
          </w:tcPr>
          <w:p w14:paraId="270BC421" w14:textId="77777777" w:rsidR="00C17258" w:rsidRPr="004C3A0B" w:rsidRDefault="00C17258" w:rsidP="00E930B0">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96FED66" w14:textId="77777777" w:rsidR="00C17258" w:rsidRPr="004C3A0B" w:rsidRDefault="00C17258" w:rsidP="00E930B0">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25F31981" w14:textId="77777777" w:rsidR="00C17258" w:rsidRPr="004C3A0B" w:rsidRDefault="00C17258" w:rsidP="00E930B0">
            <w:pPr>
              <w:rPr>
                <w:rFonts w:ascii="Arial" w:hAnsi="Arial" w:cs="Arial"/>
                <w:sz w:val="22"/>
                <w:szCs w:val="22"/>
              </w:rPr>
            </w:pPr>
            <w:r w:rsidRPr="00EA051A">
              <w:rPr>
                <w:rFonts w:ascii="Arial" w:hAnsi="Arial" w:cs="Arial"/>
                <w:sz w:val="22"/>
                <w:szCs w:val="22"/>
              </w:rPr>
              <w:t>mahipalsingh3434@gmail.com</w:t>
            </w:r>
          </w:p>
        </w:tc>
      </w:tr>
      <w:tr w:rsidR="00C17258" w:rsidRPr="004C3A0B" w14:paraId="075F71BD" w14:textId="77777777" w:rsidTr="00E930B0">
        <w:trPr>
          <w:trHeight w:val="549"/>
        </w:trPr>
        <w:tc>
          <w:tcPr>
            <w:tcW w:w="559" w:type="dxa"/>
            <w:shd w:val="clear" w:color="auto" w:fill="F2F2F2" w:themeFill="background1" w:themeFillShade="F2"/>
            <w:vAlign w:val="center"/>
          </w:tcPr>
          <w:p w14:paraId="25A1C8DD" w14:textId="77777777" w:rsidR="00C17258" w:rsidRPr="004C3A0B" w:rsidRDefault="00C17258" w:rsidP="00E930B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AA38227" w14:textId="77777777" w:rsidR="00C17258" w:rsidRPr="004C3A0B" w:rsidRDefault="00C17258" w:rsidP="00E930B0">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DC4F106" w14:textId="77777777" w:rsidR="00C17258" w:rsidRPr="004C3A0B" w:rsidRDefault="00C17258" w:rsidP="00E930B0">
            <w:pPr>
              <w:rPr>
                <w:rFonts w:ascii="Arial" w:hAnsi="Arial" w:cs="Arial"/>
                <w:sz w:val="22"/>
                <w:szCs w:val="22"/>
              </w:rPr>
            </w:pPr>
            <w:r w:rsidRPr="00EA051A">
              <w:rPr>
                <w:rFonts w:ascii="Arial" w:hAnsi="Arial" w:cs="Arial"/>
                <w:sz w:val="22"/>
                <w:szCs w:val="22"/>
              </w:rPr>
              <w:t xml:space="preserve">MBA (Master of Business </w:t>
            </w:r>
            <w:proofErr w:type="gramStart"/>
            <w:r w:rsidRPr="00EA051A">
              <w:rPr>
                <w:rFonts w:ascii="Arial" w:hAnsi="Arial" w:cs="Arial"/>
                <w:sz w:val="22"/>
                <w:szCs w:val="22"/>
              </w:rPr>
              <w:t>Administration)  LCMB</w:t>
            </w:r>
            <w:proofErr w:type="gramEnd"/>
            <w:r w:rsidRPr="00EA051A">
              <w:rPr>
                <w:rFonts w:ascii="Arial" w:hAnsi="Arial" w:cs="Arial"/>
                <w:sz w:val="22"/>
                <w:szCs w:val="22"/>
              </w:rPr>
              <w:t>7035</w:t>
            </w:r>
          </w:p>
        </w:tc>
      </w:tr>
      <w:tr w:rsidR="00C17258" w:rsidRPr="004C3A0B" w14:paraId="4B67BDCA" w14:textId="77777777" w:rsidTr="00E930B0">
        <w:trPr>
          <w:trHeight w:val="557"/>
        </w:trPr>
        <w:tc>
          <w:tcPr>
            <w:tcW w:w="559" w:type="dxa"/>
            <w:shd w:val="clear" w:color="auto" w:fill="F2F2F2" w:themeFill="background1" w:themeFillShade="F2"/>
            <w:vAlign w:val="center"/>
          </w:tcPr>
          <w:p w14:paraId="739B0B31" w14:textId="77777777" w:rsidR="00C17258" w:rsidRPr="004C3A0B" w:rsidRDefault="00C17258" w:rsidP="00E930B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E094519" w14:textId="77777777" w:rsidR="00C17258" w:rsidRPr="004C3A0B" w:rsidRDefault="00C17258" w:rsidP="00E930B0">
            <w:pPr>
              <w:rPr>
                <w:rFonts w:ascii="Arial" w:hAnsi="Arial" w:cs="Arial"/>
                <w:sz w:val="22"/>
                <w:szCs w:val="22"/>
              </w:rPr>
            </w:pPr>
            <w:r w:rsidRPr="004C3A0B">
              <w:rPr>
                <w:rFonts w:ascii="Arial" w:hAnsi="Arial" w:cs="Arial"/>
                <w:sz w:val="22"/>
                <w:szCs w:val="22"/>
              </w:rPr>
              <w:t>Supervisor:</w:t>
            </w:r>
          </w:p>
        </w:tc>
        <w:tc>
          <w:tcPr>
            <w:tcW w:w="6636" w:type="dxa"/>
            <w:vAlign w:val="center"/>
          </w:tcPr>
          <w:p w14:paraId="64AC91F1" w14:textId="77777777" w:rsidR="00C17258" w:rsidRPr="004C3A0B" w:rsidRDefault="00C17258" w:rsidP="00E930B0">
            <w:pPr>
              <w:rPr>
                <w:rFonts w:ascii="Arial" w:hAnsi="Arial" w:cs="Arial"/>
                <w:sz w:val="22"/>
                <w:szCs w:val="22"/>
              </w:rPr>
            </w:pPr>
            <w:r w:rsidRPr="00EA051A">
              <w:rPr>
                <w:rFonts w:ascii="Arial" w:hAnsi="Arial" w:cs="Arial"/>
                <w:sz w:val="22"/>
                <w:szCs w:val="22"/>
              </w:rPr>
              <w:t>Alireza Nazarian</w:t>
            </w:r>
          </w:p>
        </w:tc>
      </w:tr>
    </w:tbl>
    <w:p w14:paraId="65E8D628" w14:textId="77777777" w:rsidR="00C17258" w:rsidRDefault="00C17258" w:rsidP="00C17258">
      <w:pPr>
        <w:autoSpaceDE w:val="0"/>
        <w:autoSpaceDN w:val="0"/>
        <w:adjustRightInd w:val="0"/>
        <w:spacing w:after="240"/>
        <w:jc w:val="both"/>
        <w:rPr>
          <w:rFonts w:ascii="Arial" w:hAnsi="Arial" w:cs="Arial"/>
          <w:b/>
          <w:sz w:val="22"/>
          <w:szCs w:val="22"/>
        </w:rPr>
      </w:pPr>
    </w:p>
    <w:p w14:paraId="306CAC53" w14:textId="77777777" w:rsidR="00C17258" w:rsidRPr="004C3A0B" w:rsidRDefault="00C17258" w:rsidP="00C17258">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W w:w="10480" w:type="dxa"/>
        <w:tblCellMar>
          <w:left w:w="10" w:type="dxa"/>
          <w:right w:w="10" w:type="dxa"/>
        </w:tblCellMar>
        <w:tblLook w:val="04A0" w:firstRow="1" w:lastRow="0" w:firstColumn="1" w:lastColumn="0" w:noHBand="0" w:noVBand="1"/>
      </w:tblPr>
      <w:tblGrid>
        <w:gridCol w:w="562"/>
        <w:gridCol w:w="8784"/>
        <w:gridCol w:w="1134"/>
      </w:tblGrid>
      <w:tr w:rsidR="00C17258" w:rsidRPr="004C3A0B" w14:paraId="486B2EDE" w14:textId="77777777" w:rsidTr="00E930B0">
        <w:tc>
          <w:tcPr>
            <w:tcW w:w="562" w:type="dxa"/>
            <w:shd w:val="clear" w:color="auto" w:fill="F2F2F2" w:themeFill="background1" w:themeFillShade="F2"/>
          </w:tcPr>
          <w:p w14:paraId="541BC64A" w14:textId="77777777" w:rsidR="00C17258" w:rsidRPr="004C3A0B" w:rsidRDefault="00C17258" w:rsidP="00E930B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892F26E"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17258" w:rsidRPr="004C3A0B" w14:paraId="24B0BEAC" w14:textId="77777777" w:rsidTr="00E930B0">
        <w:trPr>
          <w:trHeight w:val="355"/>
        </w:trPr>
        <w:tc>
          <w:tcPr>
            <w:tcW w:w="562" w:type="dxa"/>
            <w:vAlign w:val="center"/>
          </w:tcPr>
          <w:p w14:paraId="52F1CA5F"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0ED828B" w14:textId="77777777" w:rsidR="00C17258" w:rsidRPr="003F6F7B" w:rsidRDefault="00C17258" w:rsidP="00E930B0">
            <w:pPr>
              <w:autoSpaceDE w:val="0"/>
              <w:autoSpaceDN w:val="0"/>
              <w:adjustRightInd w:val="0"/>
              <w:rPr>
                <w:rFonts w:ascii="Arial" w:hAnsi="Arial" w:cs="Arial"/>
                <w:b/>
                <w:bCs/>
                <w:sz w:val="22"/>
                <w:szCs w:val="22"/>
              </w:rPr>
            </w:pPr>
            <w:hyperlink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2B5D4C7" w14:textId="77777777" w:rsidR="00C17258" w:rsidRPr="00DD0929"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17258" w:rsidRPr="004C3A0B" w14:paraId="7694FE0A" w14:textId="77777777" w:rsidTr="00E930B0">
        <w:trPr>
          <w:trHeight w:val="417"/>
        </w:trPr>
        <w:tc>
          <w:tcPr>
            <w:tcW w:w="562" w:type="dxa"/>
            <w:vAlign w:val="center"/>
          </w:tcPr>
          <w:p w14:paraId="2B8F80F0"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B52305C" w14:textId="77777777" w:rsidR="00C17258" w:rsidRPr="006C1FDD" w:rsidRDefault="00C17258" w:rsidP="00E930B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B160399" w14:textId="77777777" w:rsidR="00C17258" w:rsidRPr="004C3A0B" w:rsidRDefault="00C17258" w:rsidP="00E930B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17258" w:rsidRPr="004C3A0B" w14:paraId="6A7F7981" w14:textId="77777777" w:rsidTr="00E930B0">
        <w:trPr>
          <w:trHeight w:val="409"/>
        </w:trPr>
        <w:tc>
          <w:tcPr>
            <w:tcW w:w="562" w:type="dxa"/>
            <w:vAlign w:val="center"/>
          </w:tcPr>
          <w:p w14:paraId="4CE2B055"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F937988" w14:textId="77777777" w:rsidR="00C17258" w:rsidRPr="001B41AD" w:rsidRDefault="00C17258" w:rsidP="00E930B0">
            <w:pPr>
              <w:autoSpaceDE w:val="0"/>
              <w:autoSpaceDN w:val="0"/>
              <w:adjustRightInd w:val="0"/>
              <w:rPr>
                <w:rFonts w:ascii="Arial" w:hAnsi="Arial" w:cs="Arial"/>
                <w:b/>
                <w:bCs/>
                <w:iCs/>
                <w:sz w:val="22"/>
                <w:szCs w:val="22"/>
              </w:rPr>
            </w:pPr>
          </w:p>
          <w:p w14:paraId="47AA2947" w14:textId="77777777" w:rsidR="00C17258" w:rsidRDefault="00C17258" w:rsidP="00E930B0">
            <w:r>
              <w:rPr>
                <w:color w:val="1F4E79"/>
              </w:rPr>
              <w:t>CIPD Code of Professional Conduct in HR and People Management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5FE5E95" w14:textId="77777777" w:rsidR="00C17258" w:rsidRPr="004C3A0B" w:rsidRDefault="00C17258" w:rsidP="00E930B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17258" w:rsidRPr="004C3A0B" w14:paraId="3197C1BA" w14:textId="77777777" w:rsidTr="00E930B0">
        <w:trPr>
          <w:trHeight w:val="409"/>
        </w:trPr>
        <w:tc>
          <w:tcPr>
            <w:tcW w:w="562" w:type="dxa"/>
            <w:vAlign w:val="center"/>
          </w:tcPr>
          <w:p w14:paraId="376541F9"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2A0CDD1" w14:textId="77777777" w:rsidR="00C17258" w:rsidRPr="004C3A0B" w:rsidRDefault="00C17258" w:rsidP="00E930B0">
            <w:pPr>
              <w:autoSpaceDE w:val="0"/>
              <w:autoSpaceDN w:val="0"/>
              <w:adjustRightInd w:val="0"/>
              <w:rPr>
                <w:rFonts w:ascii="Arial" w:hAnsi="Arial" w:cs="Arial"/>
                <w:b/>
                <w:bCs/>
                <w:i/>
                <w:sz w:val="22"/>
                <w:szCs w:val="22"/>
              </w:rPr>
            </w:pPr>
          </w:p>
          <w:p w14:paraId="2E049508" w14:textId="77777777" w:rsidR="00C17258" w:rsidRDefault="00C17258" w:rsidP="00E930B0">
            <w:r>
              <w:rPr>
                <w:color w:val="1F4E79"/>
              </w:rPr>
              <w:t>UWTSD Guidance on the Responsible Use of Artificial Intelligence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00D6200A" w14:textId="77777777" w:rsidR="00C17258"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5EFC8DA" w14:textId="77777777" w:rsidR="00C17258" w:rsidRDefault="00C17258" w:rsidP="00C17258">
      <w:pPr>
        <w:autoSpaceDE w:val="0"/>
        <w:autoSpaceDN w:val="0"/>
        <w:adjustRightInd w:val="0"/>
        <w:spacing w:after="240"/>
        <w:jc w:val="both"/>
        <w:rPr>
          <w:rFonts w:ascii="Arial" w:hAnsi="Arial" w:cs="Arial"/>
          <w:b/>
          <w:sz w:val="22"/>
          <w:szCs w:val="22"/>
        </w:rPr>
      </w:pPr>
    </w:p>
    <w:p w14:paraId="7AF90EB9" w14:textId="77777777" w:rsidR="00C17258" w:rsidRPr="004C3A0B" w:rsidRDefault="00C17258" w:rsidP="00C1725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1488"/>
        <w:gridCol w:w="3019"/>
        <w:gridCol w:w="1566"/>
        <w:gridCol w:w="3133"/>
      </w:tblGrid>
      <w:tr w:rsidR="00C17258" w:rsidRPr="004C3A0B" w14:paraId="027F9A3C" w14:textId="77777777" w:rsidTr="00E930B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6C841" w14:textId="77777777" w:rsidR="00C17258" w:rsidRPr="00D66471" w:rsidRDefault="00C17258" w:rsidP="00E930B0">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D3D34" w14:textId="77777777" w:rsidR="00C17258" w:rsidRPr="004C3A0B" w:rsidRDefault="00C17258" w:rsidP="00E930B0">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C91DAB0" w14:textId="77777777" w:rsidR="00C17258" w:rsidRPr="004C3A0B" w:rsidRDefault="00C17258" w:rsidP="00E930B0">
            <w:pPr>
              <w:rPr>
                <w:rFonts w:ascii="Arial" w:hAnsi="Arial" w:cs="Arial"/>
                <w:sz w:val="22"/>
                <w:szCs w:val="22"/>
              </w:rPr>
            </w:pPr>
            <w:r>
              <w:rPr>
                <w:rFonts w:ascii="Calibri" w:hAnsi="Calibri"/>
                <w:color w:val="1F4E79"/>
                <w:sz w:val="22"/>
              </w:rPr>
              <w:t>The HR Impact of Artificial Intelligence on Employee Wellbeing and Job Security: An Extended Literature Review</w:t>
            </w:r>
          </w:p>
        </w:tc>
      </w:tr>
      <w:tr w:rsidR="00C17258" w:rsidRPr="004C3A0B" w14:paraId="5AB176CB" w14:textId="77777777" w:rsidTr="00E930B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CB2DB" w14:textId="77777777" w:rsidR="00C17258" w:rsidRPr="00D66471" w:rsidRDefault="00C17258" w:rsidP="00E930B0">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66B34" w14:textId="77777777" w:rsidR="00C17258" w:rsidRPr="00D839CD" w:rsidRDefault="00C17258" w:rsidP="00E930B0">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2FB8D2D" w14:textId="77777777" w:rsidR="00C17258" w:rsidRPr="00D839CD" w:rsidRDefault="00C17258" w:rsidP="00E930B0">
            <w:pPr>
              <w:rPr>
                <w:rFonts w:ascii="Arial" w:hAnsi="Arial" w:cs="Arial"/>
                <w:sz w:val="22"/>
                <w:szCs w:val="22"/>
              </w:rPr>
            </w:pPr>
            <w:r>
              <w:rPr>
                <w:rFonts w:ascii="Arial" w:hAnsi="Arial" w:cs="Arial"/>
                <w:sz w:val="22"/>
                <w:szCs w:val="22"/>
              </w:rPr>
              <w:t>20/7/2026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39E50" w14:textId="77777777" w:rsidR="00C17258" w:rsidRPr="00D839CD" w:rsidRDefault="00C17258" w:rsidP="00E930B0">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3BD27ED" w14:textId="77777777" w:rsidR="00C17258" w:rsidRPr="004C3A0B" w:rsidRDefault="00C17258" w:rsidP="00E930B0">
            <w:pPr>
              <w:rPr>
                <w:rFonts w:ascii="Arial" w:hAnsi="Arial" w:cs="Arial"/>
                <w:sz w:val="22"/>
                <w:szCs w:val="22"/>
              </w:rPr>
            </w:pPr>
            <w:r>
              <w:rPr>
                <w:rFonts w:ascii="Arial" w:hAnsi="Arial" w:cs="Arial"/>
                <w:sz w:val="22"/>
                <w:szCs w:val="22"/>
              </w:rPr>
              <w:t>1/09/2026</w:t>
            </w:r>
          </w:p>
        </w:tc>
      </w:tr>
      <w:tr w:rsidR="00C17258" w:rsidRPr="004C3A0B" w14:paraId="1A213A6A" w14:textId="77777777" w:rsidTr="00E930B0">
        <w:trPr>
          <w:trHeight w:val="454"/>
        </w:trPr>
        <w:tc>
          <w:tcPr>
            <w:tcW w:w="237" w:type="pct"/>
            <w:tcBorders>
              <w:top w:val="single" w:sz="4" w:space="0" w:color="auto"/>
            </w:tcBorders>
            <w:shd w:val="clear" w:color="auto" w:fill="F2F2F2" w:themeFill="background1" w:themeFillShade="F2"/>
            <w:vAlign w:val="center"/>
          </w:tcPr>
          <w:p w14:paraId="6527342E" w14:textId="77777777" w:rsidR="00C17258" w:rsidRPr="002132F9" w:rsidRDefault="00C17258" w:rsidP="00E930B0">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2C09B68F" w14:textId="77777777" w:rsidR="00C17258" w:rsidRDefault="00C17258" w:rsidP="00E930B0">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BAD4A5E" w14:textId="77777777" w:rsidR="00C17258" w:rsidRPr="009D2E0B" w:rsidRDefault="00C17258" w:rsidP="00E930B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20AB764" w14:textId="77777777" w:rsidR="00C17258" w:rsidRPr="006C1FDD" w:rsidRDefault="00C17258" w:rsidP="00C17258">
            <w:pPr>
              <w:pStyle w:val="ListParagraph"/>
              <w:numPr>
                <w:ilvl w:val="0"/>
                <w:numId w:val="6"/>
              </w:numPr>
              <w:rPr>
                <w:rFonts w:ascii="Arial" w:hAnsi="Arial" w:cs="Arial"/>
                <w:i/>
              </w:rPr>
            </w:pPr>
            <w:r>
              <w:rPr>
                <w:rFonts w:ascii="Arial" w:hAnsi="Arial" w:cs="Arial"/>
                <w:i/>
              </w:rPr>
              <w:t>Purpose of Research Activity</w:t>
            </w:r>
          </w:p>
          <w:p w14:paraId="402A367E" w14:textId="77777777" w:rsidR="00C17258" w:rsidRPr="006C1FDD" w:rsidRDefault="00C17258" w:rsidP="00C17258">
            <w:pPr>
              <w:pStyle w:val="ListParagraph"/>
              <w:numPr>
                <w:ilvl w:val="0"/>
                <w:numId w:val="6"/>
              </w:numPr>
              <w:rPr>
                <w:rFonts w:ascii="Arial" w:hAnsi="Arial" w:cs="Arial"/>
                <w:i/>
              </w:rPr>
            </w:pPr>
            <w:r>
              <w:rPr>
                <w:rFonts w:ascii="Arial" w:hAnsi="Arial" w:cs="Arial"/>
                <w:i/>
              </w:rPr>
              <w:t>Proposed Research Question</w:t>
            </w:r>
          </w:p>
          <w:p w14:paraId="2E795E56" w14:textId="77777777" w:rsidR="00C17258" w:rsidRPr="009D2E0B" w:rsidRDefault="00C17258" w:rsidP="00C17258">
            <w:pPr>
              <w:pStyle w:val="ListParagraph"/>
              <w:numPr>
                <w:ilvl w:val="0"/>
                <w:numId w:val="6"/>
              </w:numPr>
              <w:rPr>
                <w:rFonts w:ascii="Arial" w:hAnsi="Arial" w:cs="Arial"/>
                <w:i/>
              </w:rPr>
            </w:pPr>
            <w:r>
              <w:rPr>
                <w:rFonts w:ascii="Arial" w:hAnsi="Arial" w:cs="Arial"/>
                <w:i/>
              </w:rPr>
              <w:t>Aims of Research Activity</w:t>
            </w:r>
          </w:p>
          <w:p w14:paraId="0124C590" w14:textId="77777777" w:rsidR="00C17258" w:rsidRPr="009D2E0B" w:rsidRDefault="00C17258" w:rsidP="00C17258">
            <w:pPr>
              <w:pStyle w:val="ListParagraph"/>
              <w:numPr>
                <w:ilvl w:val="0"/>
                <w:numId w:val="6"/>
              </w:numPr>
              <w:ind w:left="714" w:hanging="357"/>
              <w:rPr>
                <w:rFonts w:ascii="Arial" w:hAnsi="Arial" w:cs="Arial"/>
                <w:i/>
              </w:rPr>
            </w:pPr>
            <w:r>
              <w:rPr>
                <w:rFonts w:ascii="Arial" w:hAnsi="Arial" w:cs="Arial"/>
                <w:i/>
              </w:rPr>
              <w:t>Objectives of Research Activity</w:t>
            </w:r>
          </w:p>
          <w:p w14:paraId="7ABBE140" w14:textId="77777777" w:rsidR="00C17258" w:rsidRDefault="00C17258" w:rsidP="00E930B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BD6072" w14:textId="77777777" w:rsidR="00C17258" w:rsidRPr="009D2E0B" w:rsidRDefault="00C17258" w:rsidP="00C17258">
            <w:pPr>
              <w:pStyle w:val="ListParagraph"/>
              <w:numPr>
                <w:ilvl w:val="0"/>
                <w:numId w:val="6"/>
              </w:numPr>
              <w:rPr>
                <w:rFonts w:ascii="Arial" w:hAnsi="Arial" w:cs="Arial"/>
                <w:i/>
              </w:rPr>
            </w:pPr>
            <w:r>
              <w:rPr>
                <w:rFonts w:ascii="Arial" w:hAnsi="Arial" w:cs="Arial"/>
                <w:i/>
              </w:rPr>
              <w:t xml:space="preserve">What the research activity will add to the body of knowledge </w:t>
            </w:r>
          </w:p>
          <w:p w14:paraId="4029AEBC" w14:textId="77777777" w:rsidR="00C17258" w:rsidRPr="009D2E0B" w:rsidRDefault="00C17258" w:rsidP="00C17258">
            <w:pPr>
              <w:pStyle w:val="ListParagraph"/>
              <w:numPr>
                <w:ilvl w:val="0"/>
                <w:numId w:val="6"/>
              </w:numPr>
              <w:rPr>
                <w:rFonts w:ascii="Arial" w:hAnsi="Arial" w:cs="Arial"/>
              </w:rPr>
            </w:pPr>
            <w:r>
              <w:rPr>
                <w:rFonts w:ascii="Arial" w:hAnsi="Arial" w:cs="Arial"/>
                <w:i/>
              </w:rPr>
              <w:t xml:space="preserve">How it addresses an area of importance. </w:t>
            </w:r>
          </w:p>
        </w:tc>
      </w:tr>
      <w:tr w:rsidR="00C17258" w:rsidRPr="004C3A0B" w:rsidDel="002A152D" w14:paraId="37E4528F" w14:textId="77777777" w:rsidTr="00E930B0">
        <w:trPr>
          <w:trHeight w:val="454"/>
        </w:trPr>
        <w:tc>
          <w:tcPr>
            <w:tcW w:w="237" w:type="pct"/>
            <w:vAlign w:val="center"/>
          </w:tcPr>
          <w:p w14:paraId="07CABF5D"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81C17DF" w14:textId="77777777" w:rsidR="00C17258" w:rsidRPr="009D2E0B" w:rsidRDefault="00C17258" w:rsidP="00E930B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8CC8B9F" w14:textId="77777777" w:rsidR="00C17258" w:rsidRPr="002A152D" w:rsidDel="00425DA7" w:rsidRDefault="00C17258" w:rsidP="00E930B0">
            <w:pPr>
              <w:rPr>
                <w:rFonts w:ascii="Arial" w:hAnsi="Arial" w:cs="Arial"/>
              </w:rPr>
            </w:pPr>
          </w:p>
          <w:p w14:paraId="1A1522CA" w14:textId="77777777" w:rsidR="00C17258" w:rsidRDefault="00C17258" w:rsidP="00E930B0">
            <w:r>
              <w:rPr>
                <w:rFonts w:ascii="Calibri" w:hAnsi="Calibri"/>
                <w:color w:val="1F4E79"/>
                <w:sz w:val="22"/>
              </w:rPr>
              <w:lastRenderedPageBreak/>
              <w:t>Purpose of Research Activity: Artificial intelligence (AI) is increasingly used in recruitment, performance management, scheduling and other HR processes. While AI can improve efficiency, growing evidence suggests it can also increase employees' anxiety about job security and negatively affect their psychological wellbeing. This research systematically reviews existing academic and industry literature to understand how AI adoption affects employee wellbeing and job security, and, specifically, what HR practices the evidence suggests can help protect employees during AI-driven organisational change. The purpose is both academic (synthesising a fast-growing, fragmented field) and practical (producing recommendations HR practitioners can use).</w:t>
            </w:r>
          </w:p>
        </w:tc>
      </w:tr>
      <w:tr w:rsidR="00C17258" w:rsidRPr="006C1FDD" w:rsidDel="002A152D" w14:paraId="54852F0D" w14:textId="77777777" w:rsidTr="00E930B0">
        <w:trPr>
          <w:trHeight w:val="454"/>
        </w:trPr>
        <w:tc>
          <w:tcPr>
            <w:tcW w:w="237" w:type="pct"/>
            <w:vAlign w:val="center"/>
          </w:tcPr>
          <w:p w14:paraId="4D40141C"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2E50600C" w14:textId="77777777" w:rsidR="00C17258" w:rsidRPr="006C1FDD" w:rsidRDefault="00C17258" w:rsidP="00E930B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C817916" w14:textId="77777777" w:rsidR="00C17258" w:rsidRPr="006C1FDD" w:rsidRDefault="00C17258" w:rsidP="00E930B0">
            <w:pPr>
              <w:autoSpaceDE w:val="0"/>
              <w:autoSpaceDN w:val="0"/>
              <w:adjustRightInd w:val="0"/>
              <w:rPr>
                <w:rFonts w:ascii="Arial" w:hAnsi="Arial" w:cs="Arial"/>
                <w:b/>
                <w:bCs/>
                <w:sz w:val="22"/>
                <w:szCs w:val="22"/>
              </w:rPr>
            </w:pPr>
          </w:p>
          <w:p w14:paraId="6E0F1AD4" w14:textId="77777777" w:rsidR="00C17258" w:rsidRDefault="00C17258" w:rsidP="00E930B0">
            <w:r>
              <w:rPr>
                <w:rFonts w:ascii="Calibri" w:hAnsi="Calibri"/>
                <w:color w:val="1F4E79"/>
                <w:sz w:val="22"/>
              </w:rPr>
              <w:t>Research Question: The overarching question is: What does the existing literature reveal about how AI adoption affects employee wellbeing and perceived job security, and what role can HR practices play in mitigating any adverse effects? This is broken into: (1) What does the literature indicate about how AI adoption influences perceptions of job security? (2) What is the relationship between AI-related job insecurity and employee wellbeing, as reported in existing studies? (3) Which HR interventions does the literature identify as most effective in reducing AI-related anxiety? (4) What recommendations can be synthesised for HR practitioners, and where does the evidence base remain limited?</w:t>
            </w:r>
          </w:p>
        </w:tc>
      </w:tr>
      <w:tr w:rsidR="00C17258" w:rsidRPr="004C3A0B" w14:paraId="316AD89A" w14:textId="77777777" w:rsidTr="00E930B0">
        <w:trPr>
          <w:trHeight w:val="454"/>
        </w:trPr>
        <w:tc>
          <w:tcPr>
            <w:tcW w:w="237" w:type="pct"/>
            <w:vAlign w:val="center"/>
          </w:tcPr>
          <w:p w14:paraId="146ADF44"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6303E980" w14:textId="77777777" w:rsidR="00C17258" w:rsidRPr="009D2E0B" w:rsidRDefault="00C17258" w:rsidP="00E930B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2821BD60" w14:textId="77777777" w:rsidR="00C17258" w:rsidRDefault="00C17258" w:rsidP="00E930B0">
            <w:r>
              <w:rPr>
                <w:rFonts w:ascii="Calibri" w:hAnsi="Calibri"/>
                <w:color w:val="1F4E79"/>
                <w:sz w:val="22"/>
              </w:rPr>
              <w:t>Aims of Research Activity: 1) To critically review literature on AI adoption, job insecurity and employee wellbeing, linked to Objective 1. 2) To synthesise what published empirical studies report about the effect of AI adoption on job security and wellbeing, linked to Objective 2. 3) To identify, from the literature, HR practices that mitigate AI-related employee anxiety, linked to Objective 3. 4) To produce evidence-based recommendations for HR practitioners and identify gaps for future research, linked to Objective 4.</w:t>
            </w:r>
          </w:p>
        </w:tc>
      </w:tr>
      <w:tr w:rsidR="00C17258" w:rsidRPr="004C3A0B" w14:paraId="160C1ABB" w14:textId="77777777" w:rsidTr="00E930B0">
        <w:trPr>
          <w:trHeight w:val="454"/>
        </w:trPr>
        <w:tc>
          <w:tcPr>
            <w:tcW w:w="237" w:type="pct"/>
            <w:vAlign w:val="center"/>
          </w:tcPr>
          <w:p w14:paraId="6B0465C8" w14:textId="77777777" w:rsidR="00C17258" w:rsidRPr="002132F9" w:rsidRDefault="00C17258" w:rsidP="00E930B0">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22C1A1B2" w14:textId="77777777" w:rsidR="00C17258" w:rsidRPr="009D2E0B" w:rsidRDefault="00C17258" w:rsidP="00E930B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964DCD6" w14:textId="77777777" w:rsidR="00C17258" w:rsidRDefault="00C17258" w:rsidP="00E930B0">
            <w:pPr>
              <w:rPr>
                <w:rFonts w:ascii="Arial" w:hAnsi="Arial" w:cs="Arial"/>
              </w:rPr>
            </w:pPr>
          </w:p>
          <w:p w14:paraId="2D790045" w14:textId="77777777" w:rsidR="00C17258" w:rsidRDefault="00C17258" w:rsidP="00E930B0">
            <w:r>
              <w:rPr>
                <w:rFonts w:ascii="Calibri" w:hAnsi="Calibri"/>
                <w:color w:val="1F4E79"/>
                <w:sz w:val="22"/>
              </w:rPr>
              <w:t>Objectives of Research Activity: 1) Systematically search and review academic and industry literature on AI adoption, job insecurity and wellbeing. 2) Critically appraise and synthesise findings on how AI adoption affects employees' job security and wellbeing. 3) Identify, through thematic synthesis, which HR communication, reskilling, leadership and support practices the literature associates with reduced AI related anxiety. 4) Synthesise findings into practical recommendations for HR management of AI driven change, highlighting gaps warranting further primary research.</w:t>
            </w:r>
          </w:p>
        </w:tc>
      </w:tr>
      <w:tr w:rsidR="00C17258" w:rsidRPr="004C3A0B" w14:paraId="2A023F7B" w14:textId="77777777" w:rsidTr="00E930B0">
        <w:trPr>
          <w:trHeight w:val="454"/>
        </w:trPr>
        <w:tc>
          <w:tcPr>
            <w:tcW w:w="237" w:type="pct"/>
            <w:shd w:val="clear" w:color="auto" w:fill="F2F2F2" w:themeFill="background1" w:themeFillShade="F2"/>
            <w:vAlign w:val="center"/>
          </w:tcPr>
          <w:p w14:paraId="696A2C3B" w14:textId="77777777" w:rsidR="00C17258" w:rsidRPr="002132F9" w:rsidRDefault="00C17258" w:rsidP="00E930B0">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292FCB65" w14:textId="77777777" w:rsidR="00C17258" w:rsidRPr="004C3A0B" w:rsidRDefault="00C17258" w:rsidP="00E930B0">
            <w:pPr>
              <w:spacing w:before="120" w:after="120"/>
              <w:rPr>
                <w:rFonts w:ascii="Arial" w:hAnsi="Arial" w:cs="Arial"/>
                <w:b/>
                <w:sz w:val="22"/>
                <w:szCs w:val="22"/>
              </w:rPr>
            </w:pPr>
            <w:r>
              <w:rPr>
                <w:rFonts w:ascii="Arial" w:hAnsi="Arial" w:cs="Arial"/>
                <w:b/>
                <w:sz w:val="22"/>
                <w:szCs w:val="22"/>
              </w:rPr>
              <w:t>Proposed data collection methods (maximum 600 words)</w:t>
            </w:r>
          </w:p>
          <w:p w14:paraId="299AB41D" w14:textId="77777777" w:rsidR="00C17258" w:rsidRPr="004C3A0B" w:rsidRDefault="00C17258" w:rsidP="00E930B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2EFC8EE2" w14:textId="77777777" w:rsidR="00C17258" w:rsidRDefault="00C17258" w:rsidP="00E930B0">
            <w:r>
              <w:rPr>
                <w:rFonts w:ascii="Calibri" w:hAnsi="Calibri"/>
                <w:color w:val="1F4E79"/>
                <w:sz w:val="22"/>
              </w:rPr>
              <w:t>Proposed data collection methods: This dissertation involves no primary data collection and no human participants. It is based entirely on secondary data in the form of previously published, publicly available academic and industry literature (journal articles, books, and credible industry/practitioner reports). A systematic search will be conducted across academic databases (e.g. Business Source Complete, Scopus, Web of Science, Google Scholar) and practitioner sources (e.g. CIPD, AIHR), using a documented search strategy, exclusion criteria, and a PRISMA style screening process, as set out in the dissertation proposal.</w:t>
            </w:r>
          </w:p>
        </w:tc>
      </w:tr>
      <w:tr w:rsidR="00C17258" w:rsidRPr="004C3A0B" w14:paraId="64F0ADF9" w14:textId="77777777" w:rsidTr="00E930B0">
        <w:trPr>
          <w:trHeight w:val="454"/>
        </w:trPr>
        <w:tc>
          <w:tcPr>
            <w:tcW w:w="237" w:type="pct"/>
            <w:vAlign w:val="center"/>
          </w:tcPr>
          <w:p w14:paraId="334A212F" w14:textId="77777777" w:rsidR="00C17258" w:rsidRPr="00D66471" w:rsidRDefault="00C17258" w:rsidP="00E930B0">
            <w:pPr>
              <w:rPr>
                <w:rFonts w:ascii="Arial" w:hAnsi="Arial" w:cs="Arial"/>
                <w:sz w:val="22"/>
                <w:szCs w:val="22"/>
              </w:rPr>
            </w:pPr>
            <w:r>
              <w:rPr>
                <w:rFonts w:ascii="Arial" w:hAnsi="Arial" w:cs="Arial"/>
                <w:sz w:val="22"/>
                <w:szCs w:val="22"/>
              </w:rPr>
              <w:t>7</w:t>
            </w:r>
          </w:p>
        </w:tc>
        <w:tc>
          <w:tcPr>
            <w:tcW w:w="4763" w:type="pct"/>
            <w:gridSpan w:val="4"/>
            <w:vAlign w:val="center"/>
          </w:tcPr>
          <w:p w14:paraId="3DE7D733" w14:textId="77777777" w:rsidR="00C17258" w:rsidRPr="004C3A0B" w:rsidRDefault="00C17258" w:rsidP="00E930B0">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237922D" w14:textId="77777777" w:rsidR="00C17258" w:rsidRPr="004C3A0B" w:rsidRDefault="00C17258" w:rsidP="00E930B0">
            <w:pPr>
              <w:rPr>
                <w:rFonts w:ascii="Arial" w:hAnsi="Arial" w:cs="Arial"/>
                <w:sz w:val="22"/>
                <w:szCs w:val="22"/>
              </w:rPr>
            </w:pPr>
          </w:p>
          <w:p w14:paraId="28EF893D" w14:textId="77777777" w:rsidR="00C17258" w:rsidRPr="004C3A0B" w:rsidRDefault="00C17258" w:rsidP="00E930B0">
            <w:pPr>
              <w:rPr>
                <w:rFonts w:ascii="Arial" w:hAnsi="Arial" w:cs="Arial"/>
                <w:b/>
                <w:sz w:val="22"/>
                <w:szCs w:val="22"/>
              </w:rPr>
            </w:pPr>
            <w:r>
              <w:rPr>
                <w:rFonts w:ascii="Arial" w:hAnsi="Arial" w:cs="Arial"/>
                <w:color w:val="808080"/>
                <w:sz w:val="18"/>
                <w:szCs w:val="18"/>
              </w:rPr>
              <w:t>(this box should expand as you type)</w:t>
            </w:r>
          </w:p>
          <w:p w14:paraId="0870A82E" w14:textId="77777777" w:rsidR="00C17258" w:rsidRDefault="00C17258" w:rsidP="00E930B0">
            <w:r>
              <w:rPr>
                <w:rFonts w:ascii="Calibri" w:hAnsi="Calibri"/>
                <w:color w:val="1F4E79"/>
                <w:sz w:val="22"/>
              </w:rPr>
              <w:lastRenderedPageBreak/>
              <w:t xml:space="preserve">As this is a literature </w:t>
            </w:r>
            <w:proofErr w:type="gramStart"/>
            <w:r>
              <w:rPr>
                <w:rFonts w:ascii="Calibri" w:hAnsi="Calibri"/>
                <w:color w:val="1F4E79"/>
                <w:sz w:val="22"/>
              </w:rPr>
              <w:t>review based</w:t>
            </w:r>
            <w:proofErr w:type="gramEnd"/>
            <w:r>
              <w:rPr>
                <w:rFonts w:ascii="Calibri" w:hAnsi="Calibri"/>
                <w:color w:val="1F4E79"/>
                <w:sz w:val="22"/>
              </w:rPr>
              <w:t xml:space="preserve"> dissertation, 'data collection' consists of retrieving and recording full text academic and industry sources via institutional and open access databases and search engines, and extracting relevant findings into a structured data extraction matrix maintained by the researcher. No surveys, interviews, or contact with human participants will take place, and no personal or confidential data will be collected.</w:t>
            </w:r>
          </w:p>
        </w:tc>
      </w:tr>
    </w:tbl>
    <w:p w14:paraId="004F0B51" w14:textId="77777777" w:rsidR="00C17258" w:rsidRDefault="00C17258" w:rsidP="00C17258"/>
    <w:p w14:paraId="7371DE71" w14:textId="77777777" w:rsidR="00C17258" w:rsidRPr="004C3A0B" w:rsidRDefault="00C17258" w:rsidP="00C17258">
      <w:pPr>
        <w:spacing w:after="240"/>
        <w:rPr>
          <w:rFonts w:ascii="Arial" w:hAnsi="Arial" w:cs="Arial"/>
          <w:b/>
          <w:sz w:val="22"/>
          <w:szCs w:val="22"/>
        </w:rPr>
      </w:pPr>
      <w:r>
        <w:rPr>
          <w:rFonts w:ascii="Arial" w:hAnsi="Arial" w:cs="Arial"/>
          <w:b/>
          <w:sz w:val="22"/>
          <w:szCs w:val="22"/>
        </w:rPr>
        <w:t>SECTION D: Scope of Research Activity</w:t>
      </w:r>
    </w:p>
    <w:tbl>
      <w:tblPr>
        <w:tblW w:w="10451" w:type="dxa"/>
        <w:tblCellMar>
          <w:left w:w="10" w:type="dxa"/>
          <w:right w:w="10" w:type="dxa"/>
        </w:tblCellMar>
        <w:tblLook w:val="04A0" w:firstRow="1" w:lastRow="0" w:firstColumn="1" w:lastColumn="0" w:noHBand="0" w:noVBand="1"/>
      </w:tblPr>
      <w:tblGrid>
        <w:gridCol w:w="562"/>
        <w:gridCol w:w="8227"/>
        <w:gridCol w:w="846"/>
        <w:gridCol w:w="816"/>
      </w:tblGrid>
      <w:tr w:rsidR="00C17258" w:rsidRPr="004C3A0B" w14:paraId="05E2FC05" w14:textId="77777777" w:rsidTr="00E930B0">
        <w:trPr>
          <w:trHeight w:val="558"/>
        </w:trPr>
        <w:tc>
          <w:tcPr>
            <w:tcW w:w="562" w:type="dxa"/>
            <w:shd w:val="clear" w:color="auto" w:fill="F2F2F2" w:themeFill="background1" w:themeFillShade="F2"/>
            <w:vAlign w:val="center"/>
          </w:tcPr>
          <w:p w14:paraId="726F81D8" w14:textId="77777777" w:rsidR="00C17258" w:rsidRPr="004C3A0B" w:rsidRDefault="00C17258" w:rsidP="00E930B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AD5402B" w14:textId="77777777" w:rsidR="00C17258" w:rsidRPr="004C3A0B" w:rsidRDefault="00C17258" w:rsidP="00E930B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220B7F79"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2E26143C"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7258" w:rsidRPr="004C3A0B" w14:paraId="5A665E47" w14:textId="77777777" w:rsidTr="00E930B0">
        <w:trPr>
          <w:trHeight w:val="439"/>
        </w:trPr>
        <w:tc>
          <w:tcPr>
            <w:tcW w:w="562" w:type="dxa"/>
            <w:shd w:val="clear" w:color="auto" w:fill="F2F2F2" w:themeFill="background1" w:themeFillShade="F2"/>
            <w:vAlign w:val="center"/>
          </w:tcPr>
          <w:p w14:paraId="6FEB047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61708FF"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CC0E84A"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F9C4DED"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7AD92564" w14:textId="77777777" w:rsidTr="00E930B0">
        <w:trPr>
          <w:trHeight w:val="439"/>
        </w:trPr>
        <w:tc>
          <w:tcPr>
            <w:tcW w:w="562" w:type="dxa"/>
            <w:shd w:val="clear" w:color="auto" w:fill="F2F2F2" w:themeFill="background1" w:themeFillShade="F2"/>
            <w:vAlign w:val="center"/>
          </w:tcPr>
          <w:p w14:paraId="243BBA43"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2656878"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7658C0D"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DBA9AFF"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15D13C2" w14:textId="77777777" w:rsidTr="00E930B0">
        <w:trPr>
          <w:trHeight w:val="439"/>
        </w:trPr>
        <w:tc>
          <w:tcPr>
            <w:tcW w:w="562" w:type="dxa"/>
            <w:shd w:val="clear" w:color="auto" w:fill="F2F2F2" w:themeFill="background1" w:themeFillShade="F2"/>
            <w:vAlign w:val="center"/>
          </w:tcPr>
          <w:p w14:paraId="777C57CC"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84131A8"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781AE04E" w14:textId="77777777" w:rsidR="00C17258"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A1C0E4B" w14:textId="77777777" w:rsidR="00C17258"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7258" w:rsidRPr="004C3A0B" w14:paraId="11AA83FF" w14:textId="77777777" w:rsidTr="00E930B0">
        <w:trPr>
          <w:trHeight w:val="403"/>
        </w:trPr>
        <w:tc>
          <w:tcPr>
            <w:tcW w:w="562" w:type="dxa"/>
            <w:shd w:val="clear" w:color="auto" w:fill="F2F2F2" w:themeFill="background1" w:themeFillShade="F2"/>
            <w:vAlign w:val="center"/>
          </w:tcPr>
          <w:p w14:paraId="4ACBE260"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AB8621B"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E98687E"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7ED9CF1"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7AEB26C8" w14:textId="77777777" w:rsidTr="00E930B0">
        <w:trPr>
          <w:trHeight w:val="403"/>
        </w:trPr>
        <w:tc>
          <w:tcPr>
            <w:tcW w:w="562" w:type="dxa"/>
            <w:shd w:val="clear" w:color="auto" w:fill="F2F2F2" w:themeFill="background1" w:themeFillShade="F2"/>
            <w:vAlign w:val="center"/>
          </w:tcPr>
          <w:p w14:paraId="55969B30"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DCC5A34"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73AD4797" w14:textId="77777777" w:rsidR="00C17258"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59A06FBA" w14:textId="77777777" w:rsidR="00C17258"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7258" w:rsidRPr="004C3A0B" w14:paraId="71A62DAE" w14:textId="77777777" w:rsidTr="00E930B0">
        <w:trPr>
          <w:trHeight w:val="403"/>
        </w:trPr>
        <w:tc>
          <w:tcPr>
            <w:tcW w:w="562" w:type="dxa"/>
            <w:shd w:val="clear" w:color="auto" w:fill="F2F2F2" w:themeFill="background1" w:themeFillShade="F2"/>
            <w:vAlign w:val="center"/>
          </w:tcPr>
          <w:p w14:paraId="2A3BBC4C"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0B369FA"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DF588C5"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F8CA51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BCB8ADC" w14:textId="77777777" w:rsidTr="00E930B0">
        <w:trPr>
          <w:trHeight w:val="439"/>
        </w:trPr>
        <w:tc>
          <w:tcPr>
            <w:tcW w:w="562" w:type="dxa"/>
            <w:shd w:val="clear" w:color="auto" w:fill="F2F2F2" w:themeFill="background1" w:themeFillShade="F2"/>
            <w:vAlign w:val="center"/>
          </w:tcPr>
          <w:p w14:paraId="0F33739C"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3E6E3D7"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BBF837A"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D23A70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310381F7" w14:textId="77777777" w:rsidTr="00E930B0">
        <w:trPr>
          <w:trHeight w:val="403"/>
        </w:trPr>
        <w:tc>
          <w:tcPr>
            <w:tcW w:w="562" w:type="dxa"/>
            <w:shd w:val="clear" w:color="auto" w:fill="F2F2F2" w:themeFill="background1" w:themeFillShade="F2"/>
            <w:vAlign w:val="center"/>
          </w:tcPr>
          <w:p w14:paraId="7A9B198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B2F1068"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79540D2"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3E4865D"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2D91AF1C" w14:textId="77777777" w:rsidTr="00E930B0">
        <w:trPr>
          <w:trHeight w:val="439"/>
        </w:trPr>
        <w:tc>
          <w:tcPr>
            <w:tcW w:w="562" w:type="dxa"/>
            <w:shd w:val="clear" w:color="auto" w:fill="F2F2F2" w:themeFill="background1" w:themeFillShade="F2"/>
            <w:vAlign w:val="center"/>
          </w:tcPr>
          <w:p w14:paraId="6E9DB4F3"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333AE69"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0B6CDC8"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001511D"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1559E33C" w14:textId="77777777" w:rsidTr="00E930B0">
        <w:trPr>
          <w:trHeight w:val="403"/>
        </w:trPr>
        <w:tc>
          <w:tcPr>
            <w:tcW w:w="562" w:type="dxa"/>
            <w:shd w:val="clear" w:color="auto" w:fill="F2F2F2" w:themeFill="background1" w:themeFillShade="F2"/>
            <w:vAlign w:val="center"/>
          </w:tcPr>
          <w:p w14:paraId="48F79C63"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E376C49"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F42230F"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747B78F"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30C4CC81" w14:textId="77777777" w:rsidTr="00E930B0">
        <w:trPr>
          <w:trHeight w:val="403"/>
        </w:trPr>
        <w:tc>
          <w:tcPr>
            <w:tcW w:w="562" w:type="dxa"/>
            <w:shd w:val="clear" w:color="auto" w:fill="F2F2F2" w:themeFill="background1" w:themeFillShade="F2"/>
            <w:vAlign w:val="center"/>
          </w:tcPr>
          <w:p w14:paraId="346F390F"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9ECBA22"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9AD8157"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047E264"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2E23905A" w14:textId="77777777" w:rsidTr="00E930B0">
        <w:trPr>
          <w:trHeight w:val="403"/>
        </w:trPr>
        <w:tc>
          <w:tcPr>
            <w:tcW w:w="562" w:type="dxa"/>
            <w:shd w:val="clear" w:color="auto" w:fill="F2F2F2" w:themeFill="background1" w:themeFillShade="F2"/>
            <w:vAlign w:val="center"/>
          </w:tcPr>
          <w:p w14:paraId="08E630DB"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1ECF9AF"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B3363EB"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D8D3B29"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19B43233" w14:textId="77777777" w:rsidTr="00E930B0">
        <w:trPr>
          <w:trHeight w:val="403"/>
        </w:trPr>
        <w:tc>
          <w:tcPr>
            <w:tcW w:w="562" w:type="dxa"/>
            <w:shd w:val="clear" w:color="auto" w:fill="F2F2F2" w:themeFill="background1" w:themeFillShade="F2"/>
            <w:vAlign w:val="center"/>
          </w:tcPr>
          <w:p w14:paraId="25659B4C"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6037AD7"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E8C67D8"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B7885DD"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5880EE00" w14:textId="77777777" w:rsidTr="00E930B0">
        <w:trPr>
          <w:trHeight w:val="403"/>
        </w:trPr>
        <w:tc>
          <w:tcPr>
            <w:tcW w:w="562" w:type="dxa"/>
            <w:shd w:val="clear" w:color="auto" w:fill="F2F2F2" w:themeFill="background1" w:themeFillShade="F2"/>
            <w:vAlign w:val="center"/>
          </w:tcPr>
          <w:p w14:paraId="30F689DF"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D140474"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3FBCB2F"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DAE730F"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7C097420" w14:textId="77777777" w:rsidTr="00E930B0">
        <w:trPr>
          <w:trHeight w:val="403"/>
        </w:trPr>
        <w:tc>
          <w:tcPr>
            <w:tcW w:w="562" w:type="dxa"/>
            <w:shd w:val="clear" w:color="auto" w:fill="F2F2F2" w:themeFill="background1" w:themeFillShade="F2"/>
            <w:vAlign w:val="center"/>
          </w:tcPr>
          <w:p w14:paraId="65375109"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162CBAB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D0395EF"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D9BC60C"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64602068" w14:textId="77777777" w:rsidTr="00E930B0">
        <w:trPr>
          <w:trHeight w:val="403"/>
        </w:trPr>
        <w:tc>
          <w:tcPr>
            <w:tcW w:w="562" w:type="dxa"/>
            <w:shd w:val="clear" w:color="auto" w:fill="F2F2F2" w:themeFill="background1" w:themeFillShade="F2"/>
            <w:vAlign w:val="center"/>
          </w:tcPr>
          <w:p w14:paraId="11B8F18E"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7F1786DC"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449DA18E" w14:textId="77777777" w:rsidR="00C17258"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6E4B9355" w14:textId="77777777" w:rsidR="00C17258"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7258" w:rsidRPr="006C1FDD" w14:paraId="71D1A8C4" w14:textId="77777777" w:rsidTr="00E930B0">
        <w:trPr>
          <w:trHeight w:val="403"/>
        </w:trPr>
        <w:tc>
          <w:tcPr>
            <w:tcW w:w="562" w:type="dxa"/>
            <w:shd w:val="clear" w:color="auto" w:fill="F2F2F2" w:themeFill="background1" w:themeFillShade="F2"/>
            <w:vAlign w:val="center"/>
          </w:tcPr>
          <w:p w14:paraId="56C831C9" w14:textId="77777777" w:rsidR="00C17258" w:rsidRPr="006C1FDD" w:rsidRDefault="00C17258" w:rsidP="00E930B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92ADD76" w14:textId="77777777" w:rsidR="00C17258" w:rsidRPr="006C1FDD" w:rsidRDefault="00C17258" w:rsidP="00E930B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C7ED1DB" w14:textId="77777777" w:rsidR="00C17258" w:rsidRPr="006C1FDD"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8459E2C" w14:textId="77777777" w:rsidR="00C17258" w:rsidRPr="006C1FDD" w:rsidRDefault="00C17258" w:rsidP="00E930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7258" w:rsidRPr="006C1FDD" w14:paraId="3C9D8D1E" w14:textId="77777777" w:rsidTr="00E930B0">
        <w:trPr>
          <w:trHeight w:val="403"/>
        </w:trPr>
        <w:tc>
          <w:tcPr>
            <w:tcW w:w="562" w:type="dxa"/>
            <w:vAlign w:val="center"/>
          </w:tcPr>
          <w:p w14:paraId="13445C8B" w14:textId="77777777" w:rsidR="00C17258" w:rsidRPr="006C1FDD" w:rsidRDefault="00C17258" w:rsidP="00E930B0">
            <w:pPr>
              <w:autoSpaceDE w:val="0"/>
              <w:autoSpaceDN w:val="0"/>
              <w:adjustRightInd w:val="0"/>
              <w:rPr>
                <w:rFonts w:ascii="Arial" w:hAnsi="Arial" w:cs="Arial"/>
                <w:sz w:val="22"/>
                <w:szCs w:val="22"/>
              </w:rPr>
            </w:pPr>
          </w:p>
        </w:tc>
        <w:tc>
          <w:tcPr>
            <w:tcW w:w="8227" w:type="dxa"/>
            <w:vAlign w:val="center"/>
          </w:tcPr>
          <w:p w14:paraId="409F055B" w14:textId="77777777" w:rsidR="00C17258" w:rsidRPr="006C1FDD" w:rsidRDefault="00C17258" w:rsidP="00E930B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F9D4B20" w14:textId="77777777" w:rsidR="00C17258" w:rsidRPr="006C1FDD" w:rsidRDefault="00C17258" w:rsidP="00E930B0">
            <w:pPr>
              <w:rPr>
                <w:rFonts w:ascii="Arial" w:hAnsi="Arial" w:cs="Arial"/>
              </w:rPr>
            </w:pPr>
          </w:p>
          <w:p w14:paraId="4057E703" w14:textId="77777777" w:rsidR="00C17258" w:rsidRPr="006C1FDD" w:rsidRDefault="00C17258" w:rsidP="00E930B0">
            <w:pPr>
              <w:rPr>
                <w:rFonts w:ascii="Arial" w:hAnsi="Arial" w:cs="Arial"/>
              </w:rPr>
            </w:pPr>
          </w:p>
          <w:p w14:paraId="07463682" w14:textId="77777777" w:rsidR="00C17258" w:rsidRPr="006C1FDD" w:rsidRDefault="00C17258" w:rsidP="00E930B0">
            <w:pPr>
              <w:rPr>
                <w:rFonts w:ascii="Arial" w:hAnsi="Arial" w:cs="Arial"/>
                <w:sz w:val="22"/>
                <w:szCs w:val="22"/>
              </w:rPr>
            </w:pPr>
          </w:p>
          <w:p w14:paraId="2BA5D997" w14:textId="77777777" w:rsidR="00C17258" w:rsidRPr="006C1FDD" w:rsidRDefault="00C17258" w:rsidP="00E930B0">
            <w:pPr>
              <w:autoSpaceDE w:val="0"/>
              <w:autoSpaceDN w:val="0"/>
              <w:adjustRightInd w:val="0"/>
              <w:rPr>
                <w:rFonts w:ascii="Arial" w:hAnsi="Arial" w:cs="Arial"/>
                <w:sz w:val="22"/>
                <w:szCs w:val="22"/>
              </w:rPr>
            </w:pPr>
            <w:r>
              <w:rPr>
                <w:rFonts w:ascii="Arial" w:hAnsi="Arial" w:cs="Arial"/>
                <w:sz w:val="18"/>
                <w:szCs w:val="18"/>
              </w:rPr>
              <w:t>(this box should expand as you type)</w:t>
            </w:r>
          </w:p>
          <w:p w14:paraId="149950D2" w14:textId="77777777" w:rsidR="00C17258" w:rsidRDefault="00C17258" w:rsidP="00E930B0">
            <w:r>
              <w:rPr>
                <w:rFonts w:ascii="Calibri" w:hAnsi="Calibri"/>
                <w:color w:val="1F4E79"/>
                <w:sz w:val="22"/>
              </w:rPr>
              <w:t>N/A – this dissertation involves no primary data collection of any kind. It is based entirely on secondary, publicly available published literature, in line with the extended literature review methodology set out in the dissertation proposal. As all questions above are answered NO, in accordance with the instructions on this form, Section E (Intended Participants) has been left blank/not applicable, and this application proceeds directly to Section F.</w:t>
            </w:r>
          </w:p>
        </w:tc>
        <w:tc>
          <w:tcPr>
            <w:tcW w:w="846" w:type="dxa"/>
            <w:vMerge/>
            <w:shd w:val="clear" w:color="auto" w:fill="BFBFBF" w:themeFill="background1" w:themeFillShade="BF"/>
            <w:vAlign w:val="center"/>
          </w:tcPr>
          <w:p w14:paraId="58BE4F65" w14:textId="77777777" w:rsidR="00C17258" w:rsidRPr="006C1FDD" w:rsidRDefault="00C17258" w:rsidP="00E930B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7F8BDFF" w14:textId="77777777" w:rsidR="00C17258" w:rsidRPr="006C1FDD" w:rsidRDefault="00C17258" w:rsidP="00E930B0">
            <w:pPr>
              <w:autoSpaceDE w:val="0"/>
              <w:autoSpaceDN w:val="0"/>
              <w:adjustRightInd w:val="0"/>
              <w:jc w:val="center"/>
              <w:rPr>
                <w:rFonts w:ascii="Arial" w:hAnsi="Arial" w:cs="Arial"/>
                <w:b/>
                <w:bCs/>
                <w:sz w:val="22"/>
                <w:szCs w:val="22"/>
              </w:rPr>
            </w:pPr>
          </w:p>
        </w:tc>
      </w:tr>
    </w:tbl>
    <w:p w14:paraId="033B9B8F" w14:textId="77777777" w:rsidR="00C17258" w:rsidRDefault="00C17258" w:rsidP="00C17258">
      <w:pPr>
        <w:jc w:val="both"/>
        <w:rPr>
          <w:rFonts w:ascii="Arial" w:hAnsi="Arial" w:cs="Arial"/>
          <w:bCs/>
          <w:iCs/>
          <w:sz w:val="22"/>
          <w:szCs w:val="22"/>
        </w:rPr>
      </w:pPr>
    </w:p>
    <w:p w14:paraId="20CB6064" w14:textId="77777777" w:rsidR="00C17258" w:rsidRPr="003D0884" w:rsidRDefault="00C17258" w:rsidP="00C17258">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353DB2F3" w14:textId="77777777" w:rsidR="00C17258" w:rsidRPr="004C3A0B" w:rsidRDefault="00C17258" w:rsidP="00C17258">
      <w:pPr>
        <w:rPr>
          <w:rFonts w:ascii="Arial" w:hAnsi="Arial" w:cs="Arial"/>
          <w:bCs/>
          <w:iCs/>
          <w:sz w:val="22"/>
          <w:szCs w:val="22"/>
        </w:rPr>
      </w:pPr>
    </w:p>
    <w:p w14:paraId="1B06DDDC" w14:textId="77777777" w:rsidR="00C17258" w:rsidRDefault="00C17258" w:rsidP="00C1725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17A02A2" w14:textId="77777777" w:rsidR="00C17258" w:rsidRPr="004C3A0B" w:rsidRDefault="00C17258" w:rsidP="00C17258">
      <w:pPr>
        <w:rPr>
          <w:rFonts w:ascii="Arial" w:hAnsi="Arial" w:cs="Arial"/>
          <w:bCs/>
          <w:iCs/>
          <w:sz w:val="22"/>
          <w:szCs w:val="22"/>
        </w:rPr>
      </w:pPr>
    </w:p>
    <w:p w14:paraId="70C3E627" w14:textId="77777777" w:rsidR="00C17258" w:rsidRPr="00354F34" w:rsidRDefault="00C17258" w:rsidP="00C17258">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W w:w="10451" w:type="dxa"/>
        <w:tblCellMar>
          <w:left w:w="10" w:type="dxa"/>
          <w:right w:w="10" w:type="dxa"/>
        </w:tblCellMar>
        <w:tblLook w:val="04A0" w:firstRow="1" w:lastRow="0" w:firstColumn="1" w:lastColumn="0" w:noHBand="0" w:noVBand="1"/>
      </w:tblPr>
      <w:tblGrid>
        <w:gridCol w:w="562"/>
        <w:gridCol w:w="8217"/>
        <w:gridCol w:w="850"/>
        <w:gridCol w:w="822"/>
      </w:tblGrid>
      <w:tr w:rsidR="00C17258" w:rsidRPr="004C3A0B" w14:paraId="675AF98C" w14:textId="77777777" w:rsidTr="00E930B0">
        <w:tc>
          <w:tcPr>
            <w:tcW w:w="562" w:type="dxa"/>
            <w:shd w:val="clear" w:color="auto" w:fill="F2F2F2" w:themeFill="background1" w:themeFillShade="F2"/>
            <w:vAlign w:val="center"/>
          </w:tcPr>
          <w:p w14:paraId="26615630" w14:textId="77777777" w:rsidR="00C17258" w:rsidRPr="004C3A0B" w:rsidRDefault="00C17258" w:rsidP="00E930B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F343830" w14:textId="77777777" w:rsidR="00C17258" w:rsidRPr="004C3A0B" w:rsidRDefault="00C17258" w:rsidP="00E930B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C97F4" w14:textId="77777777" w:rsidR="00C17258" w:rsidRPr="004C3A0B" w:rsidRDefault="00C17258" w:rsidP="00E930B0">
            <w:pPr>
              <w:autoSpaceDE w:val="0"/>
              <w:autoSpaceDN w:val="0"/>
              <w:adjustRightInd w:val="0"/>
              <w:jc w:val="center"/>
              <w:rPr>
                <w:rFonts w:ascii="Arial" w:hAnsi="Arial" w:cs="Arial"/>
                <w:b/>
                <w:bCs/>
                <w:sz w:val="22"/>
                <w:szCs w:val="22"/>
              </w:rPr>
            </w:pPr>
          </w:p>
          <w:p w14:paraId="283E31B3"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505737F" w14:textId="77777777" w:rsidR="00C17258" w:rsidRPr="004C3A0B" w:rsidRDefault="00C17258" w:rsidP="00E930B0">
            <w:pPr>
              <w:autoSpaceDE w:val="0"/>
              <w:autoSpaceDN w:val="0"/>
              <w:adjustRightInd w:val="0"/>
              <w:jc w:val="center"/>
              <w:rPr>
                <w:rFonts w:ascii="Arial" w:hAnsi="Arial" w:cs="Arial"/>
                <w:b/>
                <w:bCs/>
                <w:sz w:val="22"/>
                <w:szCs w:val="22"/>
              </w:rPr>
            </w:pPr>
          </w:p>
          <w:p w14:paraId="6D2CB650"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7258" w:rsidRPr="004C3A0B" w14:paraId="03D15E6F" w14:textId="77777777" w:rsidTr="00E930B0">
        <w:trPr>
          <w:trHeight w:val="439"/>
        </w:trPr>
        <w:tc>
          <w:tcPr>
            <w:tcW w:w="562" w:type="dxa"/>
            <w:shd w:val="clear" w:color="auto" w:fill="F2F2F2" w:themeFill="background1" w:themeFillShade="F2"/>
            <w:vAlign w:val="center"/>
          </w:tcPr>
          <w:p w14:paraId="28244BA6"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376E657"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36F5293"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0BFA95E"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4A7D4046" w14:textId="77777777" w:rsidTr="00E930B0">
        <w:trPr>
          <w:trHeight w:val="403"/>
        </w:trPr>
        <w:tc>
          <w:tcPr>
            <w:tcW w:w="562" w:type="dxa"/>
            <w:shd w:val="clear" w:color="auto" w:fill="F2F2F2" w:themeFill="background1" w:themeFillShade="F2"/>
            <w:vAlign w:val="center"/>
          </w:tcPr>
          <w:p w14:paraId="12206F5D"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15D0E9E"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066FFB"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402CCF3"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26A2E58B" w14:textId="77777777" w:rsidTr="00E930B0">
        <w:trPr>
          <w:trHeight w:val="439"/>
        </w:trPr>
        <w:tc>
          <w:tcPr>
            <w:tcW w:w="562" w:type="dxa"/>
            <w:shd w:val="clear" w:color="auto" w:fill="F2F2F2" w:themeFill="background1" w:themeFillShade="F2"/>
            <w:vAlign w:val="center"/>
          </w:tcPr>
          <w:p w14:paraId="42178789"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BB75EE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C06602"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4164D5E"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BDD6D88" w14:textId="77777777" w:rsidTr="00E930B0">
        <w:trPr>
          <w:trHeight w:val="403"/>
        </w:trPr>
        <w:tc>
          <w:tcPr>
            <w:tcW w:w="562" w:type="dxa"/>
            <w:shd w:val="clear" w:color="auto" w:fill="F2F2F2" w:themeFill="background1" w:themeFillShade="F2"/>
            <w:vAlign w:val="center"/>
          </w:tcPr>
          <w:p w14:paraId="524CC988"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6DC3D8C"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2073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C4B9D46"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7E9B0352" w14:textId="77777777" w:rsidTr="00E930B0">
        <w:trPr>
          <w:trHeight w:val="403"/>
        </w:trPr>
        <w:tc>
          <w:tcPr>
            <w:tcW w:w="562" w:type="dxa"/>
            <w:shd w:val="clear" w:color="auto" w:fill="F2F2F2" w:themeFill="background1" w:themeFillShade="F2"/>
            <w:vAlign w:val="center"/>
          </w:tcPr>
          <w:p w14:paraId="58BFD1D9"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51E24AB2"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15878D6"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6A20925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49E270A1" w14:textId="77777777" w:rsidTr="00E930B0">
        <w:trPr>
          <w:trHeight w:val="439"/>
        </w:trPr>
        <w:tc>
          <w:tcPr>
            <w:tcW w:w="562" w:type="dxa"/>
            <w:shd w:val="clear" w:color="auto" w:fill="F2F2F2" w:themeFill="background1" w:themeFillShade="F2"/>
            <w:vAlign w:val="center"/>
          </w:tcPr>
          <w:p w14:paraId="1BDB5A53"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924ED9B"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8BC29C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59B824C"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3A8D35FC" w14:textId="77777777" w:rsidTr="00E930B0">
        <w:trPr>
          <w:trHeight w:val="403"/>
        </w:trPr>
        <w:tc>
          <w:tcPr>
            <w:tcW w:w="562" w:type="dxa"/>
            <w:shd w:val="clear" w:color="auto" w:fill="F2F2F2" w:themeFill="background1" w:themeFillShade="F2"/>
            <w:vAlign w:val="center"/>
          </w:tcPr>
          <w:p w14:paraId="0F07B439"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599991E"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093E665"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24FA8A02"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53EFCE72" w14:textId="77777777" w:rsidTr="00E930B0">
        <w:trPr>
          <w:trHeight w:val="403"/>
        </w:trPr>
        <w:tc>
          <w:tcPr>
            <w:tcW w:w="562" w:type="dxa"/>
            <w:shd w:val="clear" w:color="auto" w:fill="F2F2F2" w:themeFill="background1" w:themeFillShade="F2"/>
            <w:vAlign w:val="center"/>
          </w:tcPr>
          <w:p w14:paraId="565CD46B"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24DFED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5363C25"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4CAE4091"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61ED3CA0" w14:textId="77777777" w:rsidTr="00E930B0">
        <w:trPr>
          <w:trHeight w:val="403"/>
        </w:trPr>
        <w:tc>
          <w:tcPr>
            <w:tcW w:w="562" w:type="dxa"/>
            <w:shd w:val="clear" w:color="auto" w:fill="F2F2F2" w:themeFill="background1" w:themeFillShade="F2"/>
            <w:vAlign w:val="center"/>
          </w:tcPr>
          <w:p w14:paraId="31CFC81A"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B3C5B60"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58A21C2" w14:textId="77777777" w:rsidR="00C17258" w:rsidRPr="004C3A0B" w:rsidRDefault="00C17258" w:rsidP="00E930B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F3DC593"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FD177C9"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7258" w:rsidRPr="004C3A0B" w14:paraId="75EB0834" w14:textId="77777777" w:rsidTr="00E930B0">
        <w:trPr>
          <w:trHeight w:val="403"/>
        </w:trPr>
        <w:tc>
          <w:tcPr>
            <w:tcW w:w="562" w:type="dxa"/>
            <w:vAlign w:val="center"/>
          </w:tcPr>
          <w:p w14:paraId="653BA176" w14:textId="77777777" w:rsidR="00C17258" w:rsidRPr="006C1FDD" w:rsidRDefault="00C17258" w:rsidP="00E930B0">
            <w:pPr>
              <w:autoSpaceDE w:val="0"/>
              <w:autoSpaceDN w:val="0"/>
              <w:adjustRightInd w:val="0"/>
              <w:jc w:val="center"/>
              <w:rPr>
                <w:rFonts w:ascii="Arial" w:hAnsi="Arial" w:cs="Arial"/>
                <w:sz w:val="22"/>
                <w:szCs w:val="22"/>
              </w:rPr>
            </w:pPr>
          </w:p>
        </w:tc>
        <w:tc>
          <w:tcPr>
            <w:tcW w:w="8217" w:type="dxa"/>
            <w:vAlign w:val="center"/>
          </w:tcPr>
          <w:p w14:paraId="3BAE15D1" w14:textId="77777777" w:rsidR="00C17258" w:rsidRPr="006C1FDD" w:rsidRDefault="00C17258" w:rsidP="00E930B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087C69F" w14:textId="77777777" w:rsidR="00C17258" w:rsidRDefault="00C17258" w:rsidP="00E930B0">
            <w:pPr>
              <w:rPr>
                <w:rFonts w:ascii="Arial" w:hAnsi="Arial" w:cs="Arial"/>
              </w:rPr>
            </w:pPr>
            <w:r>
              <w:rPr>
                <w:rFonts w:ascii="Arial" w:hAnsi="Arial" w:cs="Arial"/>
                <w:color w:val="00B050"/>
                <w:sz w:val="22"/>
              </w:rPr>
              <w:t>Complete this only if your participants cannot give consent. This includes animals</w:t>
            </w:r>
          </w:p>
          <w:p w14:paraId="13DB977C" w14:textId="77777777" w:rsidR="00C17258" w:rsidRDefault="00C17258" w:rsidP="00E930B0">
            <w:pPr>
              <w:rPr>
                <w:rFonts w:ascii="Arial" w:hAnsi="Arial" w:cs="Arial"/>
              </w:rPr>
            </w:pPr>
          </w:p>
          <w:p w14:paraId="6A4F1BBA"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7E7AACC" w14:textId="77777777" w:rsidR="00C17258" w:rsidRDefault="00C17258" w:rsidP="00E930B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D905A76" w14:textId="77777777" w:rsidR="00C17258" w:rsidRDefault="00C17258" w:rsidP="00E930B0">
            <w:pPr>
              <w:autoSpaceDE w:val="0"/>
              <w:autoSpaceDN w:val="0"/>
              <w:adjustRightInd w:val="0"/>
              <w:jc w:val="center"/>
              <w:rPr>
                <w:rFonts w:ascii="Arial" w:hAnsi="Arial" w:cs="Arial"/>
                <w:b/>
                <w:bCs/>
                <w:sz w:val="22"/>
                <w:szCs w:val="22"/>
              </w:rPr>
            </w:pPr>
          </w:p>
        </w:tc>
      </w:tr>
    </w:tbl>
    <w:p w14:paraId="54A69A97" w14:textId="77777777" w:rsidR="00C17258" w:rsidRPr="00D71982" w:rsidRDefault="00C17258" w:rsidP="00C17258">
      <w:pPr>
        <w:rPr>
          <w:rFonts w:ascii="Arial" w:hAnsi="Arial" w:cs="Arial"/>
          <w:bCs/>
          <w:sz w:val="24"/>
          <w:szCs w:val="24"/>
        </w:rPr>
      </w:pPr>
    </w:p>
    <w:tbl>
      <w:tblPr>
        <w:tblW w:w="10451" w:type="dxa"/>
        <w:tblCellMar>
          <w:left w:w="10" w:type="dxa"/>
          <w:right w:w="10" w:type="dxa"/>
        </w:tblCellMar>
        <w:tblLook w:val="04A0" w:firstRow="1" w:lastRow="0" w:firstColumn="1" w:lastColumn="0" w:noHBand="0" w:noVBand="1"/>
      </w:tblPr>
      <w:tblGrid>
        <w:gridCol w:w="562"/>
        <w:gridCol w:w="3256"/>
        <w:gridCol w:w="6633"/>
      </w:tblGrid>
      <w:tr w:rsidR="00C17258" w:rsidRPr="004C3A0B" w14:paraId="060813A2" w14:textId="77777777" w:rsidTr="00E930B0">
        <w:trPr>
          <w:trHeight w:val="403"/>
        </w:trPr>
        <w:tc>
          <w:tcPr>
            <w:tcW w:w="562" w:type="dxa"/>
            <w:tcBorders>
              <w:bottom w:val="single" w:sz="4" w:space="0" w:color="auto"/>
            </w:tcBorders>
            <w:shd w:val="clear" w:color="auto" w:fill="F2F2F2" w:themeFill="background1" w:themeFillShade="F2"/>
          </w:tcPr>
          <w:p w14:paraId="16857BAF" w14:textId="77777777" w:rsidR="00C17258" w:rsidRPr="002132F9" w:rsidRDefault="00C17258" w:rsidP="00E930B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9E6A079" w14:textId="77777777" w:rsidR="00C17258" w:rsidRPr="004C3A0B" w:rsidRDefault="00C17258" w:rsidP="00E930B0">
            <w:pPr>
              <w:rPr>
                <w:rFonts w:ascii="Arial" w:hAnsi="Arial" w:cs="Arial"/>
                <w:b/>
                <w:sz w:val="22"/>
                <w:szCs w:val="22"/>
              </w:rPr>
            </w:pPr>
            <w:r>
              <w:rPr>
                <w:rFonts w:ascii="Arial" w:hAnsi="Arial" w:cs="Arial"/>
                <w:b/>
                <w:sz w:val="22"/>
                <w:szCs w:val="22"/>
              </w:rPr>
              <w:t>Participant numbers and source</w:t>
            </w:r>
          </w:p>
          <w:p w14:paraId="3FA708C4"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17258" w:rsidRPr="004C3A0B" w14:paraId="6EB3AC57" w14:textId="77777777" w:rsidTr="00E930B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5EBD0" w14:textId="77777777" w:rsidR="00C17258" w:rsidRDefault="00C17258" w:rsidP="00E930B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49315" w14:textId="77777777" w:rsidR="00C17258" w:rsidRPr="004C3A0B" w:rsidRDefault="00C17258" w:rsidP="00E930B0">
            <w:pPr>
              <w:rPr>
                <w:rFonts w:ascii="Arial" w:hAnsi="Arial" w:cs="Arial"/>
                <w:sz w:val="22"/>
                <w:szCs w:val="22"/>
              </w:rPr>
            </w:pPr>
            <w:r>
              <w:rPr>
                <w:rFonts w:ascii="Arial" w:hAnsi="Arial" w:cs="Arial"/>
                <w:sz w:val="22"/>
                <w:szCs w:val="22"/>
              </w:rPr>
              <w:t>How many participants are expected?</w:t>
            </w:r>
          </w:p>
          <w:p w14:paraId="3FDB64AC" w14:textId="77777777" w:rsidR="00C17258" w:rsidRPr="004C3A0B" w:rsidRDefault="00C17258" w:rsidP="00E930B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B1DE5E" w14:textId="77777777" w:rsidR="00C17258" w:rsidRPr="00AA34BD" w:rsidRDefault="00C17258" w:rsidP="00E930B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68ACABB7" w14:textId="77777777" w:rsidR="00C17258" w:rsidRDefault="00C17258" w:rsidP="00E930B0">
            <w:pPr>
              <w:rPr>
                <w:rFonts w:ascii="Arial" w:hAnsi="Arial" w:cs="Arial"/>
                <w:sz w:val="22"/>
                <w:szCs w:val="22"/>
              </w:rPr>
            </w:pPr>
          </w:p>
          <w:p w14:paraId="43447714" w14:textId="77777777" w:rsidR="00C17258" w:rsidRPr="004C3A0B" w:rsidRDefault="00C17258" w:rsidP="00E930B0">
            <w:pPr>
              <w:rPr>
                <w:rFonts w:ascii="Arial" w:hAnsi="Arial" w:cs="Arial"/>
                <w:sz w:val="22"/>
                <w:szCs w:val="22"/>
              </w:rPr>
            </w:pPr>
          </w:p>
          <w:p w14:paraId="34990DD0" w14:textId="77777777" w:rsidR="00C17258" w:rsidRPr="004C3A0B" w:rsidRDefault="00C17258" w:rsidP="00E930B0">
            <w:pPr>
              <w:rPr>
                <w:rFonts w:ascii="Arial" w:hAnsi="Arial" w:cs="Arial"/>
                <w:b/>
                <w:sz w:val="22"/>
                <w:szCs w:val="22"/>
              </w:rPr>
            </w:pPr>
            <w:r>
              <w:rPr>
                <w:rFonts w:ascii="Arial" w:hAnsi="Arial" w:cs="Arial"/>
                <w:i/>
                <w:color w:val="808080"/>
                <w:sz w:val="18"/>
                <w:szCs w:val="18"/>
              </w:rPr>
              <w:t>(this box should expand as you type)</w:t>
            </w:r>
          </w:p>
        </w:tc>
      </w:tr>
      <w:tr w:rsidR="00C17258" w:rsidRPr="004C3A0B" w14:paraId="349218FD" w14:textId="77777777" w:rsidTr="00E930B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E78641" w14:textId="77777777" w:rsidR="00C17258" w:rsidRDefault="00C17258" w:rsidP="00E930B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6672C" w14:textId="77777777" w:rsidR="00C17258" w:rsidRDefault="00C17258" w:rsidP="00E930B0">
            <w:pPr>
              <w:rPr>
                <w:rFonts w:ascii="Arial" w:hAnsi="Arial" w:cs="Arial"/>
                <w:sz w:val="22"/>
                <w:szCs w:val="22"/>
              </w:rPr>
            </w:pPr>
            <w:r>
              <w:rPr>
                <w:rFonts w:ascii="Arial" w:hAnsi="Arial" w:cs="Arial"/>
                <w:sz w:val="22"/>
                <w:szCs w:val="22"/>
              </w:rPr>
              <w:t>Who will the participants be?</w:t>
            </w:r>
          </w:p>
          <w:p w14:paraId="1480CAB2" w14:textId="77777777" w:rsidR="00C17258" w:rsidRDefault="00C17258" w:rsidP="00E930B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ECBB9F" w14:textId="77777777" w:rsidR="00C17258" w:rsidRDefault="00C17258" w:rsidP="00E930B0">
            <w:pPr>
              <w:rPr>
                <w:rFonts w:ascii="Arial" w:hAnsi="Arial" w:cs="Arial"/>
                <w:sz w:val="22"/>
                <w:szCs w:val="22"/>
              </w:rPr>
            </w:pPr>
          </w:p>
          <w:p w14:paraId="33E69C01" w14:textId="77777777" w:rsidR="00C17258" w:rsidRDefault="00C17258" w:rsidP="00E930B0">
            <w:pPr>
              <w:rPr>
                <w:rFonts w:ascii="Arial" w:hAnsi="Arial" w:cs="Arial"/>
                <w:sz w:val="22"/>
                <w:szCs w:val="22"/>
              </w:rPr>
            </w:pPr>
          </w:p>
          <w:p w14:paraId="30FB92A7" w14:textId="77777777" w:rsidR="00C17258" w:rsidRPr="004C3A0B" w:rsidRDefault="00C17258" w:rsidP="00E930B0">
            <w:pPr>
              <w:rPr>
                <w:rFonts w:ascii="Arial" w:hAnsi="Arial" w:cs="Arial"/>
                <w:sz w:val="22"/>
                <w:szCs w:val="22"/>
              </w:rPr>
            </w:pPr>
          </w:p>
          <w:p w14:paraId="3E35E4AA" w14:textId="77777777" w:rsidR="00C17258" w:rsidRPr="003257BD" w:rsidRDefault="00C17258" w:rsidP="00E930B0">
            <w:pPr>
              <w:rPr>
                <w:rFonts w:ascii="Arial" w:hAnsi="Arial" w:cs="Arial"/>
                <w:i/>
                <w:color w:val="808080"/>
                <w:sz w:val="18"/>
                <w:szCs w:val="18"/>
              </w:rPr>
            </w:pPr>
            <w:r>
              <w:rPr>
                <w:rFonts w:ascii="Arial" w:hAnsi="Arial" w:cs="Arial"/>
                <w:i/>
                <w:color w:val="808080"/>
                <w:sz w:val="18"/>
                <w:szCs w:val="18"/>
              </w:rPr>
              <w:t>(this box should expand as you type)</w:t>
            </w:r>
          </w:p>
        </w:tc>
      </w:tr>
      <w:tr w:rsidR="00C17258" w:rsidRPr="004C3A0B" w14:paraId="64B4EC19" w14:textId="77777777" w:rsidTr="00E930B0">
        <w:trPr>
          <w:trHeight w:val="403"/>
        </w:trPr>
        <w:tc>
          <w:tcPr>
            <w:tcW w:w="562" w:type="dxa"/>
            <w:tcBorders>
              <w:top w:val="single" w:sz="4" w:space="0" w:color="auto"/>
            </w:tcBorders>
            <w:shd w:val="clear" w:color="auto" w:fill="F2F2F2" w:themeFill="background1" w:themeFillShade="F2"/>
            <w:vAlign w:val="center"/>
          </w:tcPr>
          <w:p w14:paraId="63D56378" w14:textId="77777777" w:rsidR="00C17258" w:rsidRDefault="00C17258" w:rsidP="00E930B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C55F054" w14:textId="77777777" w:rsidR="00C17258" w:rsidRDefault="00C17258" w:rsidP="00E930B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F1720C" w14:textId="77777777" w:rsidR="00C17258" w:rsidRDefault="00C17258" w:rsidP="00E930B0">
            <w:pPr>
              <w:rPr>
                <w:rFonts w:ascii="Arial" w:hAnsi="Arial" w:cs="Arial"/>
                <w:sz w:val="22"/>
                <w:szCs w:val="22"/>
              </w:rPr>
            </w:pPr>
          </w:p>
          <w:p w14:paraId="64B124A7" w14:textId="77777777" w:rsidR="00C17258" w:rsidRDefault="00C17258" w:rsidP="00E930B0">
            <w:pPr>
              <w:rPr>
                <w:rFonts w:ascii="Arial" w:hAnsi="Arial" w:cs="Arial"/>
                <w:sz w:val="22"/>
                <w:szCs w:val="22"/>
              </w:rPr>
            </w:pPr>
          </w:p>
          <w:p w14:paraId="7AD802E4" w14:textId="77777777" w:rsidR="00C17258" w:rsidRPr="004C3A0B" w:rsidRDefault="00C17258" w:rsidP="00E930B0">
            <w:pPr>
              <w:rPr>
                <w:rFonts w:ascii="Arial" w:hAnsi="Arial" w:cs="Arial"/>
                <w:sz w:val="22"/>
                <w:szCs w:val="22"/>
              </w:rPr>
            </w:pPr>
          </w:p>
          <w:p w14:paraId="4BF3D811" w14:textId="77777777" w:rsidR="00C17258" w:rsidRPr="004C3A0B" w:rsidRDefault="00C17258" w:rsidP="00E930B0">
            <w:pPr>
              <w:rPr>
                <w:rFonts w:ascii="Arial" w:hAnsi="Arial" w:cs="Arial"/>
                <w:color w:val="808080"/>
                <w:sz w:val="18"/>
                <w:szCs w:val="18"/>
              </w:rPr>
            </w:pPr>
            <w:r>
              <w:rPr>
                <w:rFonts w:ascii="Arial" w:hAnsi="Arial" w:cs="Arial"/>
                <w:i/>
                <w:color w:val="808080"/>
                <w:sz w:val="18"/>
                <w:szCs w:val="18"/>
              </w:rPr>
              <w:t>(this box should expand as you type)</w:t>
            </w:r>
          </w:p>
        </w:tc>
      </w:tr>
    </w:tbl>
    <w:p w14:paraId="0BD278D1" w14:textId="77777777" w:rsidR="00C17258" w:rsidRPr="00D71982" w:rsidRDefault="00C17258" w:rsidP="00C17258">
      <w:pPr>
        <w:rPr>
          <w:rFonts w:ascii="Arial" w:hAnsi="Arial" w:cs="Arial"/>
          <w:bCs/>
          <w:sz w:val="24"/>
          <w:szCs w:val="24"/>
        </w:rPr>
      </w:pPr>
    </w:p>
    <w:p w14:paraId="24719576" w14:textId="77777777" w:rsidR="00C17258" w:rsidRDefault="00C17258" w:rsidP="00C17258"/>
    <w:tbl>
      <w:tblPr>
        <w:tblW w:w="10485" w:type="dxa"/>
        <w:tblCellMar>
          <w:left w:w="10" w:type="dxa"/>
          <w:right w:w="10" w:type="dxa"/>
        </w:tblCellMar>
        <w:tblLook w:val="04A0" w:firstRow="1" w:lastRow="0" w:firstColumn="1" w:lastColumn="0" w:noHBand="0" w:noVBand="1"/>
      </w:tblPr>
      <w:tblGrid>
        <w:gridCol w:w="562"/>
        <w:gridCol w:w="7088"/>
        <w:gridCol w:w="992"/>
        <w:gridCol w:w="851"/>
        <w:gridCol w:w="992"/>
      </w:tblGrid>
      <w:tr w:rsidR="00C17258" w:rsidRPr="004C3A0B" w14:paraId="39BACCFB" w14:textId="77777777" w:rsidTr="00E930B0">
        <w:tc>
          <w:tcPr>
            <w:tcW w:w="562" w:type="dxa"/>
            <w:shd w:val="clear" w:color="auto" w:fill="F2F2F2" w:themeFill="background1" w:themeFillShade="F2"/>
            <w:vAlign w:val="center"/>
          </w:tcPr>
          <w:p w14:paraId="347F97CD" w14:textId="77777777" w:rsidR="00C17258" w:rsidRPr="002132F9" w:rsidRDefault="00C17258" w:rsidP="00E930B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DEF5556" w14:textId="77777777" w:rsidR="00C17258" w:rsidRPr="004C3A0B" w:rsidRDefault="00C17258" w:rsidP="00E930B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1A9911F" w14:textId="77777777" w:rsidR="00C17258" w:rsidRPr="004C3A0B" w:rsidRDefault="00C17258" w:rsidP="00E930B0">
            <w:pPr>
              <w:autoSpaceDE w:val="0"/>
              <w:autoSpaceDN w:val="0"/>
              <w:adjustRightInd w:val="0"/>
              <w:jc w:val="center"/>
              <w:rPr>
                <w:rFonts w:ascii="Arial" w:hAnsi="Arial" w:cs="Arial"/>
                <w:b/>
                <w:bCs/>
                <w:sz w:val="16"/>
                <w:szCs w:val="16"/>
              </w:rPr>
            </w:pPr>
          </w:p>
          <w:p w14:paraId="613113AC"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32CC9D48"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6EBA9265" w14:textId="77777777" w:rsidR="00C17258" w:rsidRPr="004C3A0B" w:rsidRDefault="00C17258" w:rsidP="00E930B0">
            <w:pPr>
              <w:autoSpaceDE w:val="0"/>
              <w:autoSpaceDN w:val="0"/>
              <w:adjustRightInd w:val="0"/>
              <w:jc w:val="center"/>
              <w:rPr>
                <w:rFonts w:ascii="Arial" w:hAnsi="Arial" w:cs="Arial"/>
                <w:b/>
                <w:bCs/>
                <w:sz w:val="16"/>
                <w:szCs w:val="16"/>
              </w:rPr>
            </w:pPr>
          </w:p>
          <w:p w14:paraId="068F1239"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7258" w:rsidRPr="004C3A0B" w14:paraId="4B51CEB8" w14:textId="77777777" w:rsidTr="00E930B0">
        <w:trPr>
          <w:trHeight w:val="439"/>
        </w:trPr>
        <w:tc>
          <w:tcPr>
            <w:tcW w:w="562" w:type="dxa"/>
            <w:shd w:val="clear" w:color="auto" w:fill="F2F2F2" w:themeFill="background1" w:themeFillShade="F2"/>
            <w:vAlign w:val="center"/>
          </w:tcPr>
          <w:p w14:paraId="4E567C78"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6F1E5C7"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908E97E"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5F27DB0"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2CC8688"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43622897" w14:textId="77777777" w:rsidTr="00E930B0">
        <w:trPr>
          <w:trHeight w:val="403"/>
        </w:trPr>
        <w:tc>
          <w:tcPr>
            <w:tcW w:w="562" w:type="dxa"/>
            <w:shd w:val="clear" w:color="auto" w:fill="F2F2F2" w:themeFill="background1" w:themeFillShade="F2"/>
            <w:vAlign w:val="center"/>
          </w:tcPr>
          <w:p w14:paraId="1C745558"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35FAC50B"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0661A0C"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8024382"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9E4A38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1D96F276" w14:textId="77777777" w:rsidTr="00E930B0">
        <w:trPr>
          <w:trHeight w:val="439"/>
        </w:trPr>
        <w:tc>
          <w:tcPr>
            <w:tcW w:w="562" w:type="dxa"/>
            <w:shd w:val="clear" w:color="auto" w:fill="F2F2F2" w:themeFill="background1" w:themeFillShade="F2"/>
            <w:vAlign w:val="center"/>
          </w:tcPr>
          <w:p w14:paraId="27BC0BB0"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741928D0"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43FB784"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B6FF17C"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08FF42B"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DAC50F2" w14:textId="77777777" w:rsidTr="00E930B0">
        <w:trPr>
          <w:trHeight w:val="403"/>
        </w:trPr>
        <w:tc>
          <w:tcPr>
            <w:tcW w:w="562" w:type="dxa"/>
            <w:shd w:val="clear" w:color="auto" w:fill="F2F2F2" w:themeFill="background1" w:themeFillShade="F2"/>
            <w:vAlign w:val="center"/>
          </w:tcPr>
          <w:p w14:paraId="42E04E5E"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22B3A2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F62A104"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5C7EECB"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220C182"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3B594EB7" w14:textId="77777777" w:rsidTr="00E930B0">
        <w:trPr>
          <w:trHeight w:val="439"/>
        </w:trPr>
        <w:tc>
          <w:tcPr>
            <w:tcW w:w="562" w:type="dxa"/>
            <w:shd w:val="clear" w:color="auto" w:fill="F2F2F2" w:themeFill="background1" w:themeFillShade="F2"/>
            <w:vAlign w:val="center"/>
          </w:tcPr>
          <w:p w14:paraId="36AA4103"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C8CD58D"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1E94450"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CEE6C7A"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1C4861A"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D81158E" w14:textId="77777777" w:rsidTr="00E930B0">
        <w:trPr>
          <w:trHeight w:val="403"/>
        </w:trPr>
        <w:tc>
          <w:tcPr>
            <w:tcW w:w="562" w:type="dxa"/>
            <w:shd w:val="clear" w:color="auto" w:fill="F2F2F2" w:themeFill="background1" w:themeFillShade="F2"/>
            <w:vAlign w:val="center"/>
          </w:tcPr>
          <w:p w14:paraId="6C2D8FF4"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AF87CCD"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9D89360"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49A879E"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75185A6"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7996A15" w14:textId="77777777" w:rsidTr="00E930B0">
        <w:trPr>
          <w:trHeight w:val="439"/>
        </w:trPr>
        <w:tc>
          <w:tcPr>
            <w:tcW w:w="562" w:type="dxa"/>
            <w:shd w:val="clear" w:color="auto" w:fill="F2F2F2" w:themeFill="background1" w:themeFillShade="F2"/>
            <w:vAlign w:val="center"/>
          </w:tcPr>
          <w:p w14:paraId="0C24EA24"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7F371CCC"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058C762"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8E5A515"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FB1675"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2E358B3" w14:textId="77777777" w:rsidTr="00E930B0">
        <w:trPr>
          <w:trHeight w:val="403"/>
        </w:trPr>
        <w:tc>
          <w:tcPr>
            <w:tcW w:w="562" w:type="dxa"/>
            <w:shd w:val="clear" w:color="auto" w:fill="F2F2F2" w:themeFill="background1" w:themeFillShade="F2"/>
            <w:vAlign w:val="center"/>
          </w:tcPr>
          <w:p w14:paraId="338790D4"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2CBEFC0"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4B997AE"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EFCBCAA"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0DE800E"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F9E93A0" w14:textId="77777777" w:rsidTr="00E930B0">
        <w:trPr>
          <w:trHeight w:val="439"/>
        </w:trPr>
        <w:tc>
          <w:tcPr>
            <w:tcW w:w="562" w:type="dxa"/>
            <w:shd w:val="clear" w:color="auto" w:fill="F2F2F2" w:themeFill="background1" w:themeFillShade="F2"/>
            <w:vAlign w:val="center"/>
          </w:tcPr>
          <w:p w14:paraId="46CEAD09"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1D0FC3A"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968FB43"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B7C0A0A"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09A042A"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6BCC228" w14:textId="77777777" w:rsidTr="00E930B0">
        <w:trPr>
          <w:trHeight w:val="403"/>
        </w:trPr>
        <w:tc>
          <w:tcPr>
            <w:tcW w:w="562" w:type="dxa"/>
            <w:tcBorders>
              <w:bottom w:val="single" w:sz="4" w:space="0" w:color="auto"/>
            </w:tcBorders>
            <w:shd w:val="clear" w:color="auto" w:fill="F2F2F2" w:themeFill="background1" w:themeFillShade="F2"/>
            <w:vAlign w:val="center"/>
          </w:tcPr>
          <w:p w14:paraId="31924F32"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4F5048F"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17258" w:rsidRPr="004C3A0B" w14:paraId="3B413DEE" w14:textId="77777777" w:rsidTr="00E930B0">
        <w:trPr>
          <w:trHeight w:val="403"/>
        </w:trPr>
        <w:tc>
          <w:tcPr>
            <w:tcW w:w="562" w:type="dxa"/>
            <w:vAlign w:val="center"/>
          </w:tcPr>
          <w:p w14:paraId="22715B10" w14:textId="77777777" w:rsidR="00C17258" w:rsidRDefault="00C17258" w:rsidP="00E930B0">
            <w:pPr>
              <w:jc w:val="center"/>
              <w:rPr>
                <w:rFonts w:ascii="Arial" w:hAnsi="Arial" w:cs="Arial"/>
                <w:sz w:val="22"/>
                <w:szCs w:val="22"/>
              </w:rPr>
            </w:pPr>
          </w:p>
        </w:tc>
        <w:tc>
          <w:tcPr>
            <w:tcW w:w="9923" w:type="dxa"/>
            <w:gridSpan w:val="4"/>
            <w:vAlign w:val="center"/>
          </w:tcPr>
          <w:p w14:paraId="71BF492E" w14:textId="77777777" w:rsidR="00C17258" w:rsidRPr="00AA34BD" w:rsidRDefault="00C17258" w:rsidP="00E930B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526757C8" w14:textId="77777777" w:rsidR="00C17258" w:rsidRPr="004C3A0B" w:rsidRDefault="00C17258" w:rsidP="00E930B0">
            <w:pPr>
              <w:rPr>
                <w:rFonts w:ascii="Arial" w:hAnsi="Arial" w:cs="Arial"/>
                <w:sz w:val="22"/>
                <w:szCs w:val="22"/>
              </w:rPr>
            </w:pPr>
          </w:p>
          <w:p w14:paraId="619F670D"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tc>
      </w:tr>
    </w:tbl>
    <w:p w14:paraId="50F1B5FE" w14:textId="77777777" w:rsidR="00C17258" w:rsidRPr="004C3A0B" w:rsidRDefault="00C17258" w:rsidP="00C17258"/>
    <w:tbl>
      <w:tblPr>
        <w:tblW w:w="10485" w:type="dxa"/>
        <w:tblCellMar>
          <w:left w:w="10" w:type="dxa"/>
          <w:right w:w="10" w:type="dxa"/>
        </w:tblCellMar>
        <w:tblLook w:val="04A0" w:firstRow="1" w:lastRow="0" w:firstColumn="1" w:lastColumn="0" w:noHBand="0" w:noVBand="1"/>
      </w:tblPr>
      <w:tblGrid>
        <w:gridCol w:w="562"/>
        <w:gridCol w:w="7088"/>
        <w:gridCol w:w="992"/>
        <w:gridCol w:w="851"/>
        <w:gridCol w:w="992"/>
      </w:tblGrid>
      <w:tr w:rsidR="00C17258" w:rsidRPr="004C3A0B" w14:paraId="39AE8E0D" w14:textId="77777777" w:rsidTr="00E930B0">
        <w:tc>
          <w:tcPr>
            <w:tcW w:w="562" w:type="dxa"/>
            <w:shd w:val="clear" w:color="auto" w:fill="F2F2F2" w:themeFill="background1" w:themeFillShade="F2"/>
          </w:tcPr>
          <w:p w14:paraId="63DFA5A4" w14:textId="77777777" w:rsidR="00C17258" w:rsidRPr="002132F9" w:rsidRDefault="00C17258" w:rsidP="00E930B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5E272A7" w14:textId="77777777" w:rsidR="00C17258" w:rsidRPr="004C3A0B" w:rsidRDefault="00C17258" w:rsidP="00E930B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B551DA0" w14:textId="77777777" w:rsidR="00C17258" w:rsidRPr="004C3A0B" w:rsidRDefault="00C17258" w:rsidP="00E930B0">
            <w:pPr>
              <w:autoSpaceDE w:val="0"/>
              <w:autoSpaceDN w:val="0"/>
              <w:adjustRightInd w:val="0"/>
              <w:jc w:val="center"/>
              <w:rPr>
                <w:rFonts w:ascii="Arial" w:hAnsi="Arial" w:cs="Arial"/>
                <w:b/>
                <w:bCs/>
                <w:sz w:val="16"/>
                <w:szCs w:val="16"/>
              </w:rPr>
            </w:pPr>
          </w:p>
          <w:p w14:paraId="7B5E5C5C"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6E0A426F"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1AA396D6" w14:textId="77777777" w:rsidR="00C17258" w:rsidRPr="004C3A0B" w:rsidRDefault="00C17258" w:rsidP="00E930B0">
            <w:pPr>
              <w:autoSpaceDE w:val="0"/>
              <w:autoSpaceDN w:val="0"/>
              <w:adjustRightInd w:val="0"/>
              <w:jc w:val="center"/>
              <w:rPr>
                <w:rFonts w:ascii="Arial" w:hAnsi="Arial" w:cs="Arial"/>
                <w:b/>
                <w:bCs/>
                <w:sz w:val="16"/>
                <w:szCs w:val="16"/>
              </w:rPr>
            </w:pPr>
          </w:p>
          <w:p w14:paraId="10DE429F"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7258" w:rsidRPr="004C3A0B" w14:paraId="0E6C919E" w14:textId="77777777" w:rsidTr="00E930B0">
        <w:trPr>
          <w:trHeight w:val="439"/>
        </w:trPr>
        <w:tc>
          <w:tcPr>
            <w:tcW w:w="562" w:type="dxa"/>
            <w:shd w:val="clear" w:color="auto" w:fill="F2F2F2" w:themeFill="background1" w:themeFillShade="F2"/>
            <w:vAlign w:val="center"/>
          </w:tcPr>
          <w:p w14:paraId="788C5CB7"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BCDCA13"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0CDFC7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95B3898"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B97177B"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3428DB90" w14:textId="77777777" w:rsidTr="00E930B0">
        <w:trPr>
          <w:trHeight w:val="403"/>
        </w:trPr>
        <w:tc>
          <w:tcPr>
            <w:tcW w:w="562" w:type="dxa"/>
            <w:shd w:val="clear" w:color="auto" w:fill="F2F2F2" w:themeFill="background1" w:themeFillShade="F2"/>
            <w:vAlign w:val="center"/>
          </w:tcPr>
          <w:p w14:paraId="761B1C42"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9180338"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9403CE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06D67A6"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02E1D59"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D1DEA40" w14:textId="77777777" w:rsidTr="00E930B0">
        <w:trPr>
          <w:trHeight w:val="439"/>
        </w:trPr>
        <w:tc>
          <w:tcPr>
            <w:tcW w:w="562" w:type="dxa"/>
            <w:shd w:val="clear" w:color="auto" w:fill="F2F2F2" w:themeFill="background1" w:themeFillShade="F2"/>
            <w:vAlign w:val="center"/>
          </w:tcPr>
          <w:p w14:paraId="1E7C0373"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69D07FB"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147DA50"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C8EF665"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38F5788"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73FC1373" w14:textId="77777777" w:rsidTr="00E930B0">
        <w:trPr>
          <w:trHeight w:val="403"/>
        </w:trPr>
        <w:tc>
          <w:tcPr>
            <w:tcW w:w="562" w:type="dxa"/>
            <w:shd w:val="clear" w:color="auto" w:fill="F2F2F2" w:themeFill="background1" w:themeFillShade="F2"/>
            <w:vAlign w:val="center"/>
          </w:tcPr>
          <w:p w14:paraId="5FB07E2D"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10E577E4"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E351CC0"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69CD10F"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90D0817"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ED547D6" w14:textId="77777777" w:rsidTr="00E930B0">
        <w:trPr>
          <w:trHeight w:val="403"/>
        </w:trPr>
        <w:tc>
          <w:tcPr>
            <w:tcW w:w="562" w:type="dxa"/>
            <w:shd w:val="clear" w:color="auto" w:fill="F2F2F2" w:themeFill="background1" w:themeFillShade="F2"/>
            <w:vAlign w:val="center"/>
          </w:tcPr>
          <w:p w14:paraId="28830C5A" w14:textId="77777777" w:rsidR="00C17258" w:rsidRPr="004C3A0B" w:rsidRDefault="00C17258" w:rsidP="00E930B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67DAFFD"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17258" w:rsidRPr="004C3A0B" w14:paraId="4394425F" w14:textId="77777777" w:rsidTr="00E930B0">
        <w:trPr>
          <w:trHeight w:val="403"/>
        </w:trPr>
        <w:tc>
          <w:tcPr>
            <w:tcW w:w="562" w:type="dxa"/>
            <w:vAlign w:val="center"/>
          </w:tcPr>
          <w:p w14:paraId="3731CF29" w14:textId="77777777" w:rsidR="00C17258" w:rsidRDefault="00C17258" w:rsidP="00E930B0">
            <w:pPr>
              <w:jc w:val="center"/>
              <w:rPr>
                <w:rFonts w:ascii="Arial" w:hAnsi="Arial" w:cs="Arial"/>
                <w:sz w:val="22"/>
                <w:szCs w:val="22"/>
              </w:rPr>
            </w:pPr>
          </w:p>
        </w:tc>
        <w:tc>
          <w:tcPr>
            <w:tcW w:w="9923" w:type="dxa"/>
            <w:gridSpan w:val="4"/>
            <w:vAlign w:val="center"/>
          </w:tcPr>
          <w:p w14:paraId="0CE51963" w14:textId="77777777" w:rsidR="00C17258" w:rsidRPr="00AA34BD" w:rsidRDefault="00C17258" w:rsidP="00E930B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4C0B9500" w14:textId="77777777" w:rsidR="00C17258" w:rsidRPr="004C3A0B" w:rsidRDefault="00C17258" w:rsidP="00E930B0">
            <w:pPr>
              <w:rPr>
                <w:rFonts w:ascii="Arial" w:hAnsi="Arial" w:cs="Arial"/>
                <w:sz w:val="22"/>
                <w:szCs w:val="22"/>
              </w:rPr>
            </w:pPr>
          </w:p>
          <w:p w14:paraId="735FF704"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tc>
      </w:tr>
    </w:tbl>
    <w:p w14:paraId="29C32256" w14:textId="77777777" w:rsidR="00C17258" w:rsidRPr="00354F34" w:rsidRDefault="00C17258" w:rsidP="00C17258">
      <w:pPr>
        <w:autoSpaceDE w:val="0"/>
        <w:autoSpaceDN w:val="0"/>
        <w:adjustRightInd w:val="0"/>
        <w:spacing w:after="240"/>
        <w:jc w:val="both"/>
        <w:rPr>
          <w:rFonts w:ascii="Arial" w:hAnsi="Arial" w:cs="Arial"/>
          <w:b/>
          <w:sz w:val="22"/>
          <w:szCs w:val="22"/>
        </w:rPr>
      </w:pPr>
    </w:p>
    <w:p w14:paraId="3E08FF54" w14:textId="77777777" w:rsidR="00C17258" w:rsidRDefault="00C17258" w:rsidP="00C17258">
      <w:pPr>
        <w:rPr>
          <w:rFonts w:ascii="Arial" w:hAnsi="Arial" w:cs="Arial"/>
          <w:b/>
          <w:sz w:val="22"/>
          <w:szCs w:val="22"/>
        </w:rPr>
      </w:pPr>
      <w:r>
        <w:rPr>
          <w:rFonts w:ascii="Arial" w:hAnsi="Arial" w:cs="Arial"/>
          <w:b/>
          <w:sz w:val="22"/>
          <w:szCs w:val="22"/>
        </w:rPr>
        <w:t>SECTION F: Anticipated Risks</w:t>
      </w:r>
    </w:p>
    <w:p w14:paraId="7A381B4B" w14:textId="77777777" w:rsidR="00C17258" w:rsidRPr="00354F34" w:rsidRDefault="00C17258" w:rsidP="00C1725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6"/>
        <w:gridCol w:w="4991"/>
        <w:gridCol w:w="4932"/>
      </w:tblGrid>
      <w:tr w:rsidR="00C17258" w:rsidRPr="004C3A0B" w14:paraId="1DFEE9E0" w14:textId="77777777" w:rsidTr="00E930B0">
        <w:tc>
          <w:tcPr>
            <w:tcW w:w="596" w:type="dxa"/>
            <w:tcBorders>
              <w:bottom w:val="single" w:sz="4" w:space="0" w:color="auto"/>
            </w:tcBorders>
            <w:shd w:val="clear" w:color="auto" w:fill="F2F2F2" w:themeFill="background1" w:themeFillShade="F2"/>
          </w:tcPr>
          <w:p w14:paraId="557C0E05" w14:textId="77777777" w:rsidR="00C17258" w:rsidRPr="002132F9" w:rsidRDefault="00C17258" w:rsidP="00E930B0">
            <w:pPr>
              <w:pStyle w:val="Heading1"/>
              <w:rPr>
                <w:rFonts w:ascii="Arial" w:hAnsi="Arial" w:cs="Arial"/>
              </w:rPr>
            </w:pPr>
          </w:p>
        </w:tc>
        <w:tc>
          <w:tcPr>
            <w:tcW w:w="9923" w:type="dxa"/>
            <w:gridSpan w:val="2"/>
            <w:tcBorders>
              <w:bottom w:val="single" w:sz="4" w:space="0" w:color="auto"/>
            </w:tcBorders>
            <w:shd w:val="clear" w:color="auto" w:fill="F2F2F2" w:themeFill="background1" w:themeFillShade="F2"/>
          </w:tcPr>
          <w:p w14:paraId="1332C6BD" w14:textId="77777777" w:rsidR="00C17258" w:rsidRPr="00204E14" w:rsidRDefault="00C17258" w:rsidP="00E930B0">
            <w:pPr>
              <w:pStyle w:val="Heading1"/>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C17258" w:rsidRPr="004C3A0B" w14:paraId="038072CC" w14:textId="77777777" w:rsidTr="00E930B0">
        <w:tc>
          <w:tcPr>
            <w:tcW w:w="596" w:type="dxa"/>
            <w:tcBorders>
              <w:bottom w:val="single" w:sz="4" w:space="0" w:color="auto"/>
            </w:tcBorders>
            <w:shd w:val="clear" w:color="auto" w:fill="F2F2F2" w:themeFill="background1" w:themeFillShade="F2"/>
            <w:vAlign w:val="center"/>
          </w:tcPr>
          <w:p w14:paraId="575EE61A" w14:textId="77777777" w:rsidR="00C17258" w:rsidRPr="002132F9" w:rsidRDefault="00C17258" w:rsidP="00E930B0">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EAE6855" w14:textId="77777777" w:rsidR="00C17258" w:rsidRPr="004C3A0B" w:rsidRDefault="00C17258" w:rsidP="00E930B0">
            <w:pPr>
              <w:rPr>
                <w:rFonts w:ascii="Arial" w:hAnsi="Arial" w:cs="Arial"/>
                <w:sz w:val="22"/>
                <w:szCs w:val="22"/>
              </w:rPr>
            </w:pPr>
            <w:r>
              <w:rPr>
                <w:rFonts w:ascii="Arial" w:hAnsi="Arial" w:cs="Arial"/>
                <w:b/>
                <w:sz w:val="22"/>
                <w:szCs w:val="22"/>
              </w:rPr>
              <w:t>Risks to participants</w:t>
            </w:r>
          </w:p>
          <w:p w14:paraId="33E56C81" w14:textId="77777777" w:rsidR="00C17258" w:rsidRPr="004C3A0B" w:rsidRDefault="00C17258" w:rsidP="00E930B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17258" w:rsidRPr="004C3A0B" w14:paraId="08548253" w14:textId="77777777" w:rsidTr="00E930B0">
        <w:tc>
          <w:tcPr>
            <w:tcW w:w="596" w:type="dxa"/>
            <w:tcBorders>
              <w:top w:val="single" w:sz="4" w:space="0" w:color="auto"/>
              <w:bottom w:val="single" w:sz="4" w:space="0" w:color="auto"/>
            </w:tcBorders>
            <w:vAlign w:val="center"/>
          </w:tcPr>
          <w:p w14:paraId="71C0BF18" w14:textId="77777777" w:rsidR="00C17258" w:rsidRPr="00CE0890" w:rsidRDefault="00C17258" w:rsidP="00E930B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6FE466"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Risk to participants:</w:t>
            </w:r>
          </w:p>
          <w:p w14:paraId="0199C718" w14:textId="77777777" w:rsidR="00C17258" w:rsidRPr="004C3A0B" w:rsidRDefault="00C17258" w:rsidP="00E930B0">
            <w:pPr>
              <w:rPr>
                <w:rFonts w:ascii="Arial" w:hAnsi="Arial" w:cs="Arial"/>
                <w:sz w:val="22"/>
                <w:szCs w:val="22"/>
              </w:rPr>
            </w:pPr>
          </w:p>
          <w:p w14:paraId="03779361" w14:textId="77777777" w:rsidR="00C17258" w:rsidRDefault="00C17258" w:rsidP="00E930B0">
            <w:pPr>
              <w:autoSpaceDE w:val="0"/>
              <w:autoSpaceDN w:val="0"/>
              <w:adjustRightInd w:val="0"/>
            </w:pPr>
            <w:r>
              <w:rPr>
                <w:rFonts w:ascii="Calibri" w:hAnsi="Calibri"/>
                <w:color w:val="1F4E79"/>
                <w:sz w:val="22"/>
              </w:rPr>
              <w:t>As this is a desk-based literature review with no human participants, there are no direct risks of harm to research participants.</w:t>
            </w:r>
          </w:p>
        </w:tc>
        <w:tc>
          <w:tcPr>
            <w:tcW w:w="4932" w:type="dxa"/>
            <w:tcBorders>
              <w:top w:val="single" w:sz="4" w:space="0" w:color="auto"/>
              <w:bottom w:val="single" w:sz="4" w:space="0" w:color="auto"/>
            </w:tcBorders>
          </w:tcPr>
          <w:p w14:paraId="1D5D916F" w14:textId="77777777" w:rsidR="00C17258" w:rsidRDefault="00C17258" w:rsidP="00E930B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9A12035" w14:textId="77777777" w:rsidR="00C17258" w:rsidRDefault="00C17258" w:rsidP="00E930B0">
            <w:pPr>
              <w:rPr>
                <w:rFonts w:ascii="Arial" w:hAnsi="Arial" w:cs="Arial"/>
                <w:sz w:val="22"/>
                <w:szCs w:val="22"/>
              </w:rPr>
            </w:pPr>
          </w:p>
          <w:p w14:paraId="255D5361" w14:textId="77777777" w:rsidR="00C17258" w:rsidRDefault="00C17258" w:rsidP="00E930B0">
            <w:r>
              <w:rPr>
                <w:rFonts w:ascii="Calibri" w:hAnsi="Calibri"/>
                <w:color w:val="1F4E79"/>
                <w:sz w:val="22"/>
              </w:rPr>
              <w:t xml:space="preserve"> The main integrity related risk is of misrepresenting or inaccurately summarising published </w:t>
            </w:r>
            <w:proofErr w:type="gramStart"/>
            <w:r>
              <w:rPr>
                <w:rFonts w:ascii="Calibri" w:hAnsi="Calibri"/>
                <w:color w:val="1F4E79"/>
                <w:sz w:val="22"/>
              </w:rPr>
              <w:t>authors</w:t>
            </w:r>
            <w:proofErr w:type="gramEnd"/>
            <w:r>
              <w:rPr>
                <w:rFonts w:ascii="Calibri" w:hAnsi="Calibri"/>
                <w:color w:val="1F4E79"/>
                <w:sz w:val="22"/>
              </w:rPr>
              <w:t xml:space="preserve"> work; this is mitigated through careful, accurate paraphrasing, correct UWTSD Harvard referencing throughout, and </w:t>
            </w:r>
            <w:proofErr w:type="gramStart"/>
            <w:r>
              <w:rPr>
                <w:rFonts w:ascii="Calibri" w:hAnsi="Calibri"/>
                <w:color w:val="1F4E79"/>
                <w:sz w:val="22"/>
              </w:rPr>
              <w:t>cross checking</w:t>
            </w:r>
            <w:proofErr w:type="gramEnd"/>
            <w:r>
              <w:rPr>
                <w:rFonts w:ascii="Calibri" w:hAnsi="Calibri"/>
                <w:color w:val="1F4E79"/>
                <w:sz w:val="22"/>
              </w:rPr>
              <w:t xml:space="preserve"> extracted findings against original sources.</w:t>
            </w:r>
          </w:p>
        </w:tc>
      </w:tr>
      <w:tr w:rsidR="00C17258" w:rsidRPr="004C3A0B" w14:paraId="34D52101" w14:textId="77777777" w:rsidTr="00E930B0">
        <w:tc>
          <w:tcPr>
            <w:tcW w:w="596" w:type="dxa"/>
            <w:tcBorders>
              <w:bottom w:val="single" w:sz="4" w:space="0" w:color="auto"/>
            </w:tcBorders>
            <w:shd w:val="clear" w:color="auto" w:fill="F2F2F2" w:themeFill="background1" w:themeFillShade="F2"/>
            <w:vAlign w:val="center"/>
          </w:tcPr>
          <w:p w14:paraId="2D187053" w14:textId="77777777" w:rsidR="00C17258" w:rsidRPr="00E32138" w:rsidRDefault="00C17258" w:rsidP="00E930B0">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1D99EAE5" w14:textId="77777777" w:rsidR="00C17258" w:rsidRPr="004C3A0B" w:rsidRDefault="00C17258" w:rsidP="00E930B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17258" w:rsidRPr="004C3A0B" w14:paraId="7EEFAFF4" w14:textId="77777777" w:rsidTr="00E930B0">
        <w:tc>
          <w:tcPr>
            <w:tcW w:w="596" w:type="dxa"/>
            <w:tcBorders>
              <w:top w:val="single" w:sz="4" w:space="0" w:color="auto"/>
              <w:bottom w:val="single" w:sz="4" w:space="0" w:color="auto"/>
            </w:tcBorders>
            <w:vAlign w:val="center"/>
          </w:tcPr>
          <w:p w14:paraId="6F600255" w14:textId="77777777" w:rsidR="00C17258" w:rsidRPr="00CE0890" w:rsidRDefault="00C17258" w:rsidP="00E930B0">
            <w:pPr>
              <w:jc w:val="center"/>
              <w:rPr>
                <w:rFonts w:ascii="Arial" w:hAnsi="Arial" w:cs="Arial"/>
                <w:sz w:val="22"/>
                <w:szCs w:val="22"/>
              </w:rPr>
            </w:pPr>
          </w:p>
        </w:tc>
        <w:tc>
          <w:tcPr>
            <w:tcW w:w="9923" w:type="dxa"/>
            <w:gridSpan w:val="2"/>
            <w:tcBorders>
              <w:top w:val="single" w:sz="4" w:space="0" w:color="auto"/>
              <w:bottom w:val="single" w:sz="4" w:space="0" w:color="auto"/>
            </w:tcBorders>
          </w:tcPr>
          <w:p w14:paraId="51466CB4" w14:textId="77777777" w:rsidR="00C17258" w:rsidRDefault="00C17258" w:rsidP="00E930B0">
            <w:pPr>
              <w:rPr>
                <w:rFonts w:ascii="Arial" w:hAnsi="Arial" w:cs="Arial"/>
                <w:sz w:val="22"/>
                <w:szCs w:val="22"/>
              </w:rPr>
            </w:pPr>
          </w:p>
          <w:p w14:paraId="15C51454" w14:textId="77777777" w:rsidR="00C17258" w:rsidRDefault="00C17258" w:rsidP="00E930B0">
            <w:pPr>
              <w:rPr>
                <w:rFonts w:ascii="Arial" w:hAnsi="Arial" w:cs="Arial"/>
                <w:sz w:val="22"/>
                <w:szCs w:val="22"/>
              </w:rPr>
            </w:pPr>
          </w:p>
          <w:p w14:paraId="44A99350" w14:textId="77777777" w:rsidR="00C17258" w:rsidRPr="004C3A0B" w:rsidRDefault="00C17258" w:rsidP="00E930B0">
            <w:pPr>
              <w:rPr>
                <w:rFonts w:ascii="Arial" w:hAnsi="Arial" w:cs="Arial"/>
                <w:sz w:val="22"/>
                <w:szCs w:val="22"/>
              </w:rPr>
            </w:pPr>
          </w:p>
          <w:p w14:paraId="388531C4"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p w14:paraId="68D2ED8A" w14:textId="77777777" w:rsidR="00C17258" w:rsidRDefault="00C17258" w:rsidP="00E930B0">
            <w:r>
              <w:rPr>
                <w:rFonts w:ascii="Calibri" w:hAnsi="Calibri"/>
                <w:color w:val="1F4E79"/>
                <w:sz w:val="22"/>
              </w:rPr>
              <w:lastRenderedPageBreak/>
              <w:t>N/A the topic (AI, job insecurity and employee wellbeing) is discussed only in relation to previously published, anonymised/aggregated research findings, not in relation to any identifiable individual. No sensitive or upsetting material involving real, identifiable people will be collected or generated.</w:t>
            </w:r>
          </w:p>
        </w:tc>
      </w:tr>
      <w:tr w:rsidR="00C17258" w:rsidRPr="004C3A0B" w14:paraId="298FFE91" w14:textId="77777777" w:rsidTr="00E930B0">
        <w:tc>
          <w:tcPr>
            <w:tcW w:w="596" w:type="dxa"/>
            <w:tcBorders>
              <w:top w:val="single" w:sz="4" w:space="0" w:color="auto"/>
              <w:bottom w:val="single" w:sz="4" w:space="0" w:color="auto"/>
            </w:tcBorders>
            <w:shd w:val="clear" w:color="auto" w:fill="F2F2F2" w:themeFill="background1" w:themeFillShade="F2"/>
            <w:vAlign w:val="center"/>
          </w:tcPr>
          <w:p w14:paraId="4C3E2843" w14:textId="77777777" w:rsidR="00C17258" w:rsidRPr="002132F9" w:rsidRDefault="00C17258" w:rsidP="00E930B0">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079B7FAA" w14:textId="77777777" w:rsidR="00C17258" w:rsidRPr="004C3A0B" w:rsidRDefault="00C17258" w:rsidP="00E930B0">
            <w:pPr>
              <w:rPr>
                <w:rFonts w:ascii="Arial" w:hAnsi="Arial" w:cs="Arial"/>
                <w:sz w:val="22"/>
                <w:szCs w:val="22"/>
              </w:rPr>
            </w:pPr>
            <w:r>
              <w:rPr>
                <w:rFonts w:ascii="Arial" w:hAnsi="Arial" w:cs="Arial"/>
                <w:b/>
                <w:sz w:val="22"/>
                <w:szCs w:val="22"/>
              </w:rPr>
              <w:t>Risks to the investigator</w:t>
            </w:r>
          </w:p>
          <w:p w14:paraId="737D50C1" w14:textId="77777777" w:rsidR="00C17258" w:rsidRPr="004C3A0B" w:rsidRDefault="00C17258" w:rsidP="00E930B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C17258" w:rsidRPr="004C3A0B" w14:paraId="082AE5B9" w14:textId="77777777" w:rsidTr="00E930B0">
        <w:tc>
          <w:tcPr>
            <w:tcW w:w="596" w:type="dxa"/>
            <w:tcBorders>
              <w:top w:val="single" w:sz="4" w:space="0" w:color="auto"/>
              <w:bottom w:val="single" w:sz="4" w:space="0" w:color="auto"/>
            </w:tcBorders>
            <w:vAlign w:val="center"/>
          </w:tcPr>
          <w:p w14:paraId="1425BD4C" w14:textId="77777777" w:rsidR="00C17258" w:rsidRPr="00CE0890" w:rsidRDefault="00C17258" w:rsidP="00E930B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DBBE11"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Risk to the investigator:</w:t>
            </w:r>
          </w:p>
          <w:p w14:paraId="37174128" w14:textId="77777777" w:rsidR="00C17258" w:rsidRPr="004033FC" w:rsidRDefault="00C17258" w:rsidP="00E930B0">
            <w:pPr>
              <w:rPr>
                <w:rFonts w:ascii="Arial" w:hAnsi="Arial" w:cs="Arial"/>
                <w:color w:val="00B050"/>
                <w:sz w:val="22"/>
                <w:szCs w:val="22"/>
              </w:rPr>
            </w:pPr>
            <w:r>
              <w:rPr>
                <w:rFonts w:ascii="Arial" w:hAnsi="Arial" w:cs="Arial"/>
                <w:color w:val="00B050"/>
                <w:sz w:val="22"/>
                <w:szCs w:val="22"/>
              </w:rPr>
              <w:t>There are always risks. Do not write NA.</w:t>
            </w:r>
          </w:p>
          <w:p w14:paraId="122B711A" w14:textId="77777777" w:rsidR="00C17258" w:rsidRDefault="00C17258" w:rsidP="00E930B0">
            <w:pPr>
              <w:rPr>
                <w:rFonts w:ascii="Arial" w:hAnsi="Arial" w:cs="Arial"/>
                <w:sz w:val="22"/>
                <w:szCs w:val="22"/>
              </w:rPr>
            </w:pPr>
          </w:p>
          <w:p w14:paraId="279EB68F" w14:textId="77777777" w:rsidR="00C17258" w:rsidRDefault="00C17258" w:rsidP="00E930B0">
            <w:r>
              <w:rPr>
                <w:rFonts w:ascii="Calibri" w:hAnsi="Calibri"/>
                <w:color w:val="1F4E79"/>
                <w:sz w:val="22"/>
              </w:rPr>
              <w:t>Minimal risk of reading fatigue or exposure to distressing material described in some source studies (e.g. accounts of workplace stress or depression reported in the secondary literature).</w:t>
            </w:r>
          </w:p>
        </w:tc>
        <w:tc>
          <w:tcPr>
            <w:tcW w:w="4932" w:type="dxa"/>
            <w:tcBorders>
              <w:top w:val="single" w:sz="4" w:space="0" w:color="auto"/>
              <w:bottom w:val="single" w:sz="4" w:space="0" w:color="auto"/>
            </w:tcBorders>
          </w:tcPr>
          <w:p w14:paraId="0ECE43B3" w14:textId="77777777" w:rsidR="00C17258" w:rsidRPr="00354F34" w:rsidRDefault="00C17258" w:rsidP="00E930B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A07E2E7" w14:textId="77777777" w:rsidR="00C17258" w:rsidRDefault="00C17258" w:rsidP="00E930B0">
            <w:pPr>
              <w:rPr>
                <w:rFonts w:ascii="Arial" w:hAnsi="Arial" w:cs="Arial"/>
                <w:sz w:val="22"/>
                <w:szCs w:val="22"/>
              </w:rPr>
            </w:pPr>
          </w:p>
          <w:p w14:paraId="3B986639" w14:textId="77777777" w:rsidR="00C17258" w:rsidRPr="004C3A0B" w:rsidRDefault="00C17258" w:rsidP="00E930B0">
            <w:pPr>
              <w:autoSpaceDE w:val="0"/>
              <w:autoSpaceDN w:val="0"/>
              <w:adjustRightInd w:val="0"/>
              <w:rPr>
                <w:rFonts w:cs="Arial"/>
              </w:rPr>
            </w:pPr>
          </w:p>
          <w:p w14:paraId="60967C49" w14:textId="77777777" w:rsidR="00C17258" w:rsidRDefault="00C17258" w:rsidP="00E930B0">
            <w:r>
              <w:rPr>
                <w:rFonts w:ascii="Calibri" w:hAnsi="Calibri"/>
                <w:color w:val="1F4E79"/>
                <w:sz w:val="22"/>
              </w:rPr>
              <w:t>The researcher will engage with sensitive findings from a critical, academic distance; regular supervision meetings provide a space to discuss any concerns arising from the literature.</w:t>
            </w:r>
          </w:p>
        </w:tc>
      </w:tr>
      <w:tr w:rsidR="00C17258" w:rsidRPr="004C3A0B" w14:paraId="6FDE8A31" w14:textId="77777777" w:rsidTr="00E930B0">
        <w:tc>
          <w:tcPr>
            <w:tcW w:w="596" w:type="dxa"/>
            <w:tcBorders>
              <w:top w:val="single" w:sz="4" w:space="0" w:color="auto"/>
              <w:bottom w:val="single" w:sz="4" w:space="0" w:color="auto"/>
            </w:tcBorders>
            <w:shd w:val="clear" w:color="auto" w:fill="F2F2F2" w:themeFill="background1" w:themeFillShade="F2"/>
            <w:vAlign w:val="center"/>
          </w:tcPr>
          <w:p w14:paraId="70BB9E94" w14:textId="77777777" w:rsidR="00C17258" w:rsidRPr="002132F9" w:rsidRDefault="00C17258" w:rsidP="00E930B0">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8BF92B1" w14:textId="77777777" w:rsidR="00C17258" w:rsidRPr="004C3A0B" w:rsidRDefault="00C17258" w:rsidP="00E930B0">
            <w:pPr>
              <w:rPr>
                <w:rFonts w:ascii="Arial" w:hAnsi="Arial" w:cs="Arial"/>
                <w:sz w:val="22"/>
                <w:szCs w:val="22"/>
              </w:rPr>
            </w:pPr>
            <w:r>
              <w:rPr>
                <w:rFonts w:ascii="Arial" w:hAnsi="Arial" w:cs="Arial"/>
                <w:b/>
                <w:sz w:val="22"/>
                <w:szCs w:val="22"/>
              </w:rPr>
              <w:t>University/institutional risks</w:t>
            </w:r>
          </w:p>
          <w:p w14:paraId="186B851E" w14:textId="77777777" w:rsidR="00C17258" w:rsidRPr="004C3A0B" w:rsidRDefault="00C17258" w:rsidP="00E930B0">
            <w:pPr>
              <w:rPr>
                <w:rFonts w:ascii="Arial" w:hAnsi="Arial" w:cs="Arial"/>
                <w:sz w:val="22"/>
                <w:szCs w:val="22"/>
              </w:rPr>
            </w:pPr>
            <w:r>
              <w:rPr>
                <w:rFonts w:ascii="Arial" w:hAnsi="Arial" w:cs="Arial"/>
                <w:sz w:val="22"/>
                <w:szCs w:val="22"/>
              </w:rPr>
              <w:t>For example: adverse publicity, financial loss, data protection</w:t>
            </w:r>
          </w:p>
        </w:tc>
      </w:tr>
      <w:tr w:rsidR="00C17258" w:rsidRPr="004C3A0B" w14:paraId="2BB82438" w14:textId="77777777" w:rsidTr="00E930B0">
        <w:tc>
          <w:tcPr>
            <w:tcW w:w="596" w:type="dxa"/>
            <w:tcBorders>
              <w:top w:val="single" w:sz="4" w:space="0" w:color="auto"/>
              <w:bottom w:val="single" w:sz="4" w:space="0" w:color="auto"/>
            </w:tcBorders>
            <w:vAlign w:val="center"/>
          </w:tcPr>
          <w:p w14:paraId="47685FC7" w14:textId="77777777" w:rsidR="00C17258" w:rsidRPr="00CE0890" w:rsidRDefault="00C17258" w:rsidP="00E930B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2F3761"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Risk to the University:</w:t>
            </w:r>
          </w:p>
          <w:p w14:paraId="506C2ECC" w14:textId="77777777" w:rsidR="00C17258" w:rsidRPr="004033FC" w:rsidRDefault="00C17258" w:rsidP="00E930B0">
            <w:pPr>
              <w:rPr>
                <w:rFonts w:ascii="Arial" w:hAnsi="Arial" w:cs="Arial"/>
                <w:color w:val="00B050"/>
                <w:sz w:val="22"/>
                <w:szCs w:val="22"/>
              </w:rPr>
            </w:pPr>
            <w:r>
              <w:rPr>
                <w:rFonts w:ascii="Arial" w:hAnsi="Arial" w:cs="Arial"/>
                <w:color w:val="00B050"/>
                <w:sz w:val="22"/>
                <w:szCs w:val="22"/>
              </w:rPr>
              <w:t>There are always risks. Do not write NA.</w:t>
            </w:r>
          </w:p>
          <w:p w14:paraId="614C288A" w14:textId="77777777" w:rsidR="00C17258" w:rsidRDefault="00C17258" w:rsidP="00E930B0">
            <w:pPr>
              <w:rPr>
                <w:rFonts w:ascii="Arial" w:hAnsi="Arial" w:cs="Arial"/>
                <w:sz w:val="22"/>
                <w:szCs w:val="22"/>
              </w:rPr>
            </w:pPr>
          </w:p>
          <w:p w14:paraId="41BC2D92" w14:textId="77777777" w:rsidR="00C17258" w:rsidRPr="004C3A0B" w:rsidRDefault="00C17258" w:rsidP="00E930B0">
            <w:pPr>
              <w:rPr>
                <w:rFonts w:ascii="Arial" w:hAnsi="Arial" w:cs="Arial"/>
                <w:sz w:val="22"/>
                <w:szCs w:val="22"/>
              </w:rPr>
            </w:pPr>
          </w:p>
          <w:p w14:paraId="6B2D020B"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38B44F31" w14:textId="77777777" w:rsidR="00C17258" w:rsidRDefault="00C17258" w:rsidP="00E930B0">
            <w:r>
              <w:rPr>
                <w:rFonts w:ascii="Calibri" w:hAnsi="Calibri"/>
                <w:color w:val="1F4E79"/>
                <w:sz w:val="22"/>
              </w:rPr>
              <w:t>Risk of copyright infringement or plagiarism if source material is reproduced without proper attribution; reputational risk if the review misrepresents the literature.</w:t>
            </w:r>
          </w:p>
        </w:tc>
        <w:tc>
          <w:tcPr>
            <w:tcW w:w="4932" w:type="dxa"/>
            <w:tcBorders>
              <w:top w:val="single" w:sz="4" w:space="0" w:color="auto"/>
              <w:bottom w:val="single" w:sz="4" w:space="0" w:color="auto"/>
            </w:tcBorders>
          </w:tcPr>
          <w:p w14:paraId="784ED38E" w14:textId="77777777" w:rsidR="00C17258" w:rsidRPr="00354F34" w:rsidRDefault="00C17258" w:rsidP="00E930B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316D6BE" w14:textId="77777777" w:rsidR="00C17258" w:rsidRDefault="00C17258" w:rsidP="00E930B0">
            <w:pPr>
              <w:rPr>
                <w:rFonts w:ascii="Arial" w:hAnsi="Arial" w:cs="Arial"/>
                <w:sz w:val="22"/>
                <w:szCs w:val="22"/>
              </w:rPr>
            </w:pPr>
          </w:p>
          <w:p w14:paraId="1E38D6B8" w14:textId="77777777" w:rsidR="00C17258" w:rsidRDefault="00C17258" w:rsidP="00E930B0">
            <w:pPr>
              <w:rPr>
                <w:rFonts w:ascii="Arial" w:hAnsi="Arial" w:cs="Arial"/>
                <w:sz w:val="22"/>
                <w:szCs w:val="22"/>
              </w:rPr>
            </w:pPr>
          </w:p>
          <w:p w14:paraId="05922452" w14:textId="77777777" w:rsidR="00C17258" w:rsidRPr="004C3A0B" w:rsidRDefault="00C17258" w:rsidP="00E930B0">
            <w:pPr>
              <w:rPr>
                <w:rFonts w:ascii="Arial" w:hAnsi="Arial" w:cs="Arial"/>
                <w:sz w:val="22"/>
                <w:szCs w:val="22"/>
              </w:rPr>
            </w:pPr>
          </w:p>
          <w:p w14:paraId="52880F3E"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p w14:paraId="48BD92DE" w14:textId="77777777" w:rsidR="00C17258" w:rsidRDefault="00C17258" w:rsidP="00E930B0">
            <w:r>
              <w:rPr>
                <w:rFonts w:ascii="Calibri" w:hAnsi="Calibri"/>
                <w:color w:val="1F4E79"/>
                <w:sz w:val="22"/>
              </w:rPr>
              <w:t xml:space="preserve">All sources will be properly cited using UWTSD Harvard </w:t>
            </w:r>
            <w:proofErr w:type="gramStart"/>
            <w:r>
              <w:rPr>
                <w:rFonts w:ascii="Calibri" w:hAnsi="Calibri"/>
                <w:color w:val="1F4E79"/>
                <w:sz w:val="22"/>
              </w:rPr>
              <w:t>referencing ;</w:t>
            </w:r>
            <w:proofErr w:type="gramEnd"/>
            <w:r>
              <w:rPr>
                <w:rFonts w:ascii="Calibri" w:hAnsi="Calibri"/>
                <w:color w:val="1F4E79"/>
                <w:sz w:val="22"/>
              </w:rPr>
              <w:t xml:space="preserve"> direct quotation will be used sparingly and always attributed; the dissertation will be submitted through the University's standard academic integrity/plagiarism checks.</w:t>
            </w:r>
          </w:p>
        </w:tc>
      </w:tr>
      <w:tr w:rsidR="00C17258" w:rsidRPr="004C3A0B" w14:paraId="7647B3B6" w14:textId="77777777" w:rsidTr="00E930B0">
        <w:tc>
          <w:tcPr>
            <w:tcW w:w="596" w:type="dxa"/>
            <w:tcBorders>
              <w:top w:val="single" w:sz="4" w:space="0" w:color="auto"/>
              <w:bottom w:val="single" w:sz="4" w:space="0" w:color="auto"/>
            </w:tcBorders>
            <w:shd w:val="clear" w:color="auto" w:fill="F2F2F2" w:themeFill="background1" w:themeFillShade="F2"/>
            <w:vAlign w:val="center"/>
          </w:tcPr>
          <w:p w14:paraId="52523C74" w14:textId="77777777" w:rsidR="00C17258" w:rsidRPr="002132F9" w:rsidRDefault="00C17258" w:rsidP="00E930B0">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37E60C40" w14:textId="77777777" w:rsidR="00C17258" w:rsidRPr="004C3A0B" w:rsidRDefault="00C17258" w:rsidP="00E930B0">
            <w:pPr>
              <w:rPr>
                <w:rFonts w:ascii="Arial" w:hAnsi="Arial" w:cs="Arial"/>
                <w:sz w:val="22"/>
                <w:szCs w:val="22"/>
              </w:rPr>
            </w:pPr>
            <w:r>
              <w:rPr>
                <w:rFonts w:ascii="Arial" w:hAnsi="Arial" w:cs="Arial"/>
                <w:b/>
                <w:sz w:val="22"/>
                <w:szCs w:val="22"/>
              </w:rPr>
              <w:t>Environmental risks</w:t>
            </w:r>
          </w:p>
          <w:p w14:paraId="0F70D27D" w14:textId="77777777" w:rsidR="00C17258" w:rsidRPr="004C3A0B" w:rsidRDefault="00C17258" w:rsidP="00E930B0">
            <w:pPr>
              <w:rPr>
                <w:rFonts w:ascii="Arial" w:hAnsi="Arial" w:cs="Arial"/>
                <w:sz w:val="22"/>
                <w:szCs w:val="22"/>
              </w:rPr>
            </w:pPr>
            <w:r>
              <w:rPr>
                <w:rFonts w:ascii="Arial" w:hAnsi="Arial" w:cs="Arial"/>
                <w:sz w:val="22"/>
                <w:szCs w:val="22"/>
              </w:rPr>
              <w:t>For example: accidental spillage of pollutants, damage to local ecosystems</w:t>
            </w:r>
          </w:p>
        </w:tc>
      </w:tr>
      <w:tr w:rsidR="00C17258" w:rsidRPr="004C3A0B" w14:paraId="243992C1" w14:textId="77777777" w:rsidTr="00E930B0">
        <w:tc>
          <w:tcPr>
            <w:tcW w:w="596" w:type="dxa"/>
            <w:tcBorders>
              <w:top w:val="single" w:sz="4" w:space="0" w:color="auto"/>
              <w:bottom w:val="single" w:sz="4" w:space="0" w:color="auto"/>
            </w:tcBorders>
            <w:vAlign w:val="center"/>
          </w:tcPr>
          <w:p w14:paraId="37C65710" w14:textId="77777777" w:rsidR="00C17258" w:rsidRPr="00CE0890" w:rsidRDefault="00C17258" w:rsidP="00E930B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06C3B9"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Risk to the environment:</w:t>
            </w:r>
          </w:p>
          <w:p w14:paraId="518F71EA" w14:textId="77777777" w:rsidR="00C17258" w:rsidRDefault="00C17258" w:rsidP="00E930B0">
            <w:pPr>
              <w:rPr>
                <w:rFonts w:ascii="Arial" w:hAnsi="Arial" w:cs="Arial"/>
                <w:sz w:val="22"/>
                <w:szCs w:val="22"/>
              </w:rPr>
            </w:pPr>
          </w:p>
          <w:p w14:paraId="0711F275" w14:textId="77777777" w:rsidR="00C17258" w:rsidRDefault="00C17258" w:rsidP="00E930B0">
            <w:pPr>
              <w:rPr>
                <w:rFonts w:ascii="Arial" w:hAnsi="Arial" w:cs="Arial"/>
                <w:sz w:val="22"/>
                <w:szCs w:val="22"/>
              </w:rPr>
            </w:pPr>
          </w:p>
          <w:p w14:paraId="568F1AD0" w14:textId="77777777" w:rsidR="00C17258" w:rsidRPr="004C3A0B" w:rsidRDefault="00C17258" w:rsidP="00E930B0">
            <w:pPr>
              <w:autoSpaceDE w:val="0"/>
              <w:autoSpaceDN w:val="0"/>
              <w:adjustRightInd w:val="0"/>
              <w:rPr>
                <w:rFonts w:ascii="Arial" w:hAnsi="Arial" w:cs="Arial"/>
                <w:sz w:val="22"/>
                <w:szCs w:val="22"/>
              </w:rPr>
            </w:pPr>
          </w:p>
          <w:p w14:paraId="4B049320" w14:textId="77777777" w:rsidR="00C17258" w:rsidRDefault="00C17258" w:rsidP="00E930B0">
            <w:r>
              <w:rPr>
                <w:rFonts w:ascii="Calibri" w:hAnsi="Calibri"/>
                <w:color w:val="1F4E79"/>
                <w:sz w:val="22"/>
              </w:rPr>
              <w:t xml:space="preserve">Minimal to </w:t>
            </w:r>
            <w:proofErr w:type="gramStart"/>
            <w:r>
              <w:rPr>
                <w:rFonts w:ascii="Calibri" w:hAnsi="Calibri"/>
                <w:color w:val="1F4E79"/>
                <w:sz w:val="22"/>
              </w:rPr>
              <w:t>none  the</w:t>
            </w:r>
            <w:proofErr w:type="gramEnd"/>
            <w:r>
              <w:rPr>
                <w:rFonts w:ascii="Calibri" w:hAnsi="Calibri"/>
                <w:color w:val="1F4E79"/>
                <w:sz w:val="22"/>
              </w:rPr>
              <w:t xml:space="preserve"> research is entirely desk based, using online academic databases and library resources.</w:t>
            </w:r>
          </w:p>
        </w:tc>
        <w:tc>
          <w:tcPr>
            <w:tcW w:w="4932" w:type="dxa"/>
            <w:tcBorders>
              <w:top w:val="single" w:sz="4" w:space="0" w:color="auto"/>
              <w:bottom w:val="single" w:sz="4" w:space="0" w:color="auto"/>
            </w:tcBorders>
          </w:tcPr>
          <w:p w14:paraId="098D0C3E" w14:textId="77777777" w:rsidR="00C17258" w:rsidRPr="00354F34" w:rsidRDefault="00C17258" w:rsidP="00E930B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31B634B" w14:textId="77777777" w:rsidR="00C17258" w:rsidRDefault="00C17258" w:rsidP="00E930B0">
            <w:pPr>
              <w:rPr>
                <w:rFonts w:ascii="Arial" w:hAnsi="Arial" w:cs="Arial"/>
                <w:sz w:val="22"/>
                <w:szCs w:val="22"/>
              </w:rPr>
            </w:pPr>
          </w:p>
          <w:p w14:paraId="4CBCF3A3" w14:textId="77777777" w:rsidR="00C17258" w:rsidRDefault="00C17258" w:rsidP="00E930B0">
            <w:pPr>
              <w:rPr>
                <w:rFonts w:ascii="Arial" w:hAnsi="Arial" w:cs="Arial"/>
                <w:sz w:val="22"/>
                <w:szCs w:val="22"/>
              </w:rPr>
            </w:pPr>
          </w:p>
          <w:p w14:paraId="07DB8152" w14:textId="77777777" w:rsidR="00C17258" w:rsidRPr="004C3A0B" w:rsidRDefault="00C17258" w:rsidP="00E930B0">
            <w:pPr>
              <w:rPr>
                <w:rFonts w:ascii="Arial" w:hAnsi="Arial" w:cs="Arial"/>
                <w:sz w:val="22"/>
                <w:szCs w:val="22"/>
              </w:rPr>
            </w:pPr>
          </w:p>
          <w:p w14:paraId="0AFCEDC0" w14:textId="77777777" w:rsidR="00C17258" w:rsidRDefault="00C17258" w:rsidP="00E930B0">
            <w:r>
              <w:rPr>
                <w:rFonts w:ascii="Calibri" w:hAnsi="Calibri"/>
                <w:color w:val="1F4E79"/>
                <w:sz w:val="22"/>
              </w:rPr>
              <w:t>No specific mitigation required beyond standard responsible use of electronic devices/computing resources.</w:t>
            </w:r>
          </w:p>
        </w:tc>
      </w:tr>
    </w:tbl>
    <w:p w14:paraId="4FBFABD6" w14:textId="77777777" w:rsidR="00C17258" w:rsidRDefault="00C17258" w:rsidP="00C17258"/>
    <w:p w14:paraId="073013A7" w14:textId="77777777" w:rsidR="00C17258" w:rsidRDefault="00C17258" w:rsidP="00C17258">
      <w:pPr>
        <w:rPr>
          <w:rFonts w:ascii="Arial" w:hAnsi="Arial" w:cs="Arial"/>
          <w:b/>
          <w:sz w:val="22"/>
          <w:szCs w:val="22"/>
        </w:rPr>
      </w:pPr>
      <w:r>
        <w:rPr>
          <w:rFonts w:ascii="Arial" w:hAnsi="Arial" w:cs="Arial"/>
          <w:b/>
          <w:sz w:val="22"/>
          <w:szCs w:val="22"/>
        </w:rPr>
        <w:t>SECTION G: Feedback, Consent and Confidentiality</w:t>
      </w:r>
    </w:p>
    <w:p w14:paraId="5A6E9827" w14:textId="77777777" w:rsidR="00C17258" w:rsidRDefault="00C17258" w:rsidP="00C17258">
      <w:pPr>
        <w:rPr>
          <w:rFonts w:ascii="Arial" w:hAnsi="Arial" w:cs="Arial"/>
          <w:b/>
          <w:sz w:val="22"/>
          <w:szCs w:val="22"/>
        </w:rPr>
      </w:pPr>
    </w:p>
    <w:p w14:paraId="5FCFE9A1" w14:textId="77777777" w:rsidR="00C17258" w:rsidRDefault="00C17258" w:rsidP="00C17258">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4642C10C" w14:textId="77777777" w:rsidR="00C17258" w:rsidRPr="00354F34" w:rsidRDefault="00C17258" w:rsidP="00C1725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6"/>
        <w:gridCol w:w="9923"/>
      </w:tblGrid>
      <w:tr w:rsidR="00C17258" w:rsidRPr="004C3A0B" w14:paraId="660DC252" w14:textId="77777777" w:rsidTr="00E930B0">
        <w:tc>
          <w:tcPr>
            <w:tcW w:w="596" w:type="dxa"/>
            <w:tcBorders>
              <w:top w:val="single" w:sz="4" w:space="0" w:color="auto"/>
              <w:bottom w:val="single" w:sz="4" w:space="0" w:color="auto"/>
            </w:tcBorders>
            <w:shd w:val="clear" w:color="auto" w:fill="F2F2F2" w:themeFill="background1" w:themeFillShade="F2"/>
          </w:tcPr>
          <w:p w14:paraId="09F4B0FF" w14:textId="77777777" w:rsidR="00C17258" w:rsidRPr="002132F9" w:rsidRDefault="00C17258" w:rsidP="00E930B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B36CCA1" w14:textId="77777777" w:rsidR="00C17258" w:rsidRPr="004C3A0B" w:rsidRDefault="00C17258" w:rsidP="00E930B0">
            <w:pPr>
              <w:rPr>
                <w:rFonts w:ascii="Arial" w:hAnsi="Arial" w:cs="Arial"/>
                <w:sz w:val="22"/>
                <w:szCs w:val="22"/>
              </w:rPr>
            </w:pPr>
            <w:r>
              <w:rPr>
                <w:rFonts w:ascii="Arial" w:hAnsi="Arial" w:cs="Arial"/>
                <w:b/>
                <w:sz w:val="22"/>
                <w:szCs w:val="22"/>
              </w:rPr>
              <w:t>Feedback</w:t>
            </w:r>
          </w:p>
          <w:p w14:paraId="5054F37C" w14:textId="77777777" w:rsidR="00C17258" w:rsidRPr="004C3A0B" w:rsidRDefault="00C17258" w:rsidP="00E930B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17258" w:rsidRPr="004C3A0B" w14:paraId="7955D50D" w14:textId="77777777" w:rsidTr="00E930B0">
        <w:tc>
          <w:tcPr>
            <w:tcW w:w="596" w:type="dxa"/>
            <w:tcBorders>
              <w:top w:val="single" w:sz="4" w:space="0" w:color="auto"/>
              <w:bottom w:val="single" w:sz="4" w:space="0" w:color="auto"/>
            </w:tcBorders>
          </w:tcPr>
          <w:p w14:paraId="38E4C1AB" w14:textId="77777777" w:rsidR="00C17258" w:rsidRPr="00E32138" w:rsidRDefault="00C17258" w:rsidP="00E930B0">
            <w:pPr>
              <w:rPr>
                <w:rFonts w:ascii="Arial" w:hAnsi="Arial" w:cs="Arial"/>
                <w:bCs/>
                <w:sz w:val="22"/>
                <w:szCs w:val="22"/>
              </w:rPr>
            </w:pPr>
          </w:p>
        </w:tc>
        <w:tc>
          <w:tcPr>
            <w:tcW w:w="9923" w:type="dxa"/>
            <w:tcBorders>
              <w:top w:val="single" w:sz="4" w:space="0" w:color="auto"/>
              <w:bottom w:val="single" w:sz="4" w:space="0" w:color="auto"/>
            </w:tcBorders>
          </w:tcPr>
          <w:p w14:paraId="3AE69CF4" w14:textId="77777777" w:rsidR="00C17258" w:rsidRPr="004033FC" w:rsidRDefault="00C17258" w:rsidP="00E930B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C2022B2" w14:textId="77777777" w:rsidR="00C17258" w:rsidRPr="004C3A0B" w:rsidRDefault="00C17258" w:rsidP="00E930B0">
            <w:pPr>
              <w:rPr>
                <w:rFonts w:ascii="Arial" w:hAnsi="Arial" w:cs="Arial"/>
                <w:sz w:val="22"/>
                <w:szCs w:val="22"/>
              </w:rPr>
            </w:pPr>
          </w:p>
          <w:p w14:paraId="37DFC947"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p w14:paraId="1F396EA1" w14:textId="77777777" w:rsidR="00C17258" w:rsidRDefault="00C17258" w:rsidP="00E930B0">
            <w:r>
              <w:rPr>
                <w:rFonts w:ascii="Calibri" w:hAnsi="Calibri"/>
                <w:color w:val="1F4E79"/>
                <w:sz w:val="22"/>
              </w:rPr>
              <w:t>N/A this dissertation involves no human participants, so no participant feedback or debriefing is required.</w:t>
            </w:r>
          </w:p>
        </w:tc>
      </w:tr>
      <w:tr w:rsidR="00C17258" w:rsidRPr="004C3A0B" w14:paraId="7EF90B1E" w14:textId="77777777" w:rsidTr="00E930B0">
        <w:tc>
          <w:tcPr>
            <w:tcW w:w="596" w:type="dxa"/>
            <w:tcBorders>
              <w:top w:val="single" w:sz="4" w:space="0" w:color="auto"/>
              <w:bottom w:val="single" w:sz="4" w:space="0" w:color="auto"/>
            </w:tcBorders>
            <w:shd w:val="clear" w:color="auto" w:fill="F2F2F2" w:themeFill="background1" w:themeFillShade="F2"/>
          </w:tcPr>
          <w:p w14:paraId="6CDB4742" w14:textId="77777777" w:rsidR="00C17258" w:rsidRPr="002132F9" w:rsidRDefault="00C17258" w:rsidP="00E930B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349B2C7" w14:textId="77777777" w:rsidR="00C17258" w:rsidRPr="004C3A0B" w:rsidRDefault="00C17258" w:rsidP="00E930B0">
            <w:pPr>
              <w:rPr>
                <w:rFonts w:ascii="Arial" w:hAnsi="Arial" w:cs="Arial"/>
                <w:sz w:val="22"/>
                <w:szCs w:val="22"/>
              </w:rPr>
            </w:pPr>
            <w:r>
              <w:rPr>
                <w:rFonts w:ascii="Arial" w:hAnsi="Arial" w:cs="Arial"/>
                <w:b/>
                <w:sz w:val="22"/>
                <w:szCs w:val="22"/>
              </w:rPr>
              <w:t>Informed consent</w:t>
            </w:r>
          </w:p>
          <w:p w14:paraId="2D5C4340" w14:textId="77777777" w:rsidR="00C17258" w:rsidRPr="004C3A0B" w:rsidRDefault="00C17258" w:rsidP="00E930B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478CC89D" w14:textId="77777777" w:rsidR="00C17258" w:rsidRDefault="00C17258" w:rsidP="00E930B0">
            <w:r>
              <w:rPr>
                <w:rFonts w:ascii="Calibri" w:hAnsi="Calibri"/>
                <w:color w:val="1F4E79"/>
                <w:sz w:val="22"/>
              </w:rPr>
              <w:t>N/A no participants are recruited, and therefore no informed consent process is required for this study.</w:t>
            </w:r>
          </w:p>
        </w:tc>
      </w:tr>
      <w:tr w:rsidR="00C17258" w:rsidRPr="004C3A0B" w14:paraId="72296AC0" w14:textId="77777777" w:rsidTr="00E930B0">
        <w:tc>
          <w:tcPr>
            <w:tcW w:w="596" w:type="dxa"/>
            <w:tcBorders>
              <w:top w:val="single" w:sz="4" w:space="0" w:color="auto"/>
              <w:bottom w:val="single" w:sz="4" w:space="0" w:color="auto"/>
            </w:tcBorders>
          </w:tcPr>
          <w:p w14:paraId="332C872B" w14:textId="77777777" w:rsidR="00C17258" w:rsidRPr="00E32138" w:rsidRDefault="00C17258" w:rsidP="00E930B0">
            <w:pPr>
              <w:rPr>
                <w:rFonts w:ascii="Arial" w:hAnsi="Arial" w:cs="Arial"/>
                <w:bCs/>
                <w:sz w:val="22"/>
                <w:szCs w:val="22"/>
              </w:rPr>
            </w:pPr>
          </w:p>
        </w:tc>
        <w:tc>
          <w:tcPr>
            <w:tcW w:w="9923" w:type="dxa"/>
            <w:tcBorders>
              <w:top w:val="single" w:sz="4" w:space="0" w:color="auto"/>
              <w:bottom w:val="single" w:sz="4" w:space="0" w:color="auto"/>
            </w:tcBorders>
          </w:tcPr>
          <w:p w14:paraId="4E4A4D78" w14:textId="77777777" w:rsidR="00C17258" w:rsidRPr="004033FC" w:rsidRDefault="00C17258" w:rsidP="00E930B0">
            <w:pPr>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138ACE10" w14:textId="77777777" w:rsidR="00C17258" w:rsidRPr="004033FC" w:rsidRDefault="00C17258" w:rsidP="00E930B0">
            <w:pPr>
              <w:rPr>
                <w:rFonts w:ascii="Arial" w:hAnsi="Arial" w:cs="Arial"/>
                <w:color w:val="00B050"/>
                <w:sz w:val="24"/>
                <w:szCs w:val="22"/>
              </w:rPr>
            </w:pPr>
            <w:r>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4F0FEAA4" w14:textId="77777777" w:rsidR="00C17258" w:rsidRPr="004C3A0B" w:rsidRDefault="00C17258" w:rsidP="00E930B0">
            <w:pPr>
              <w:rPr>
                <w:rFonts w:ascii="Arial" w:hAnsi="Arial" w:cs="Arial"/>
                <w:sz w:val="22"/>
                <w:szCs w:val="22"/>
              </w:rPr>
            </w:pPr>
          </w:p>
          <w:p w14:paraId="30A98393"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tc>
      </w:tr>
      <w:tr w:rsidR="00C17258" w:rsidRPr="004C3A0B" w14:paraId="18E92365" w14:textId="77777777" w:rsidTr="00E930B0">
        <w:tc>
          <w:tcPr>
            <w:tcW w:w="596" w:type="dxa"/>
            <w:tcBorders>
              <w:top w:val="single" w:sz="4" w:space="0" w:color="auto"/>
              <w:bottom w:val="single" w:sz="4" w:space="0" w:color="auto"/>
            </w:tcBorders>
            <w:shd w:val="clear" w:color="auto" w:fill="F2F2F2" w:themeFill="background1" w:themeFillShade="F2"/>
          </w:tcPr>
          <w:p w14:paraId="39F14B7A" w14:textId="77777777" w:rsidR="00C17258" w:rsidRPr="002132F9" w:rsidRDefault="00C17258" w:rsidP="00E930B0">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78E94761" w14:textId="77777777" w:rsidR="00C17258" w:rsidRPr="004C3A0B" w:rsidRDefault="00C17258" w:rsidP="00E930B0">
            <w:pPr>
              <w:rPr>
                <w:rFonts w:ascii="Arial" w:hAnsi="Arial" w:cs="Arial"/>
                <w:b/>
                <w:sz w:val="22"/>
                <w:szCs w:val="22"/>
              </w:rPr>
            </w:pPr>
            <w:r>
              <w:rPr>
                <w:rFonts w:ascii="Arial" w:hAnsi="Arial" w:cs="Arial"/>
                <w:b/>
                <w:sz w:val="22"/>
                <w:szCs w:val="22"/>
              </w:rPr>
              <w:t>Confidentiality / Anonymity</w:t>
            </w:r>
          </w:p>
          <w:p w14:paraId="2864600E" w14:textId="77777777" w:rsidR="00C17258" w:rsidRPr="004C3A0B" w:rsidRDefault="00C17258" w:rsidP="00E930B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p w14:paraId="2DC5D0D4" w14:textId="77777777" w:rsidR="00C17258" w:rsidRDefault="00C17258" w:rsidP="00E930B0">
            <w:r>
              <w:rPr>
                <w:rFonts w:ascii="Calibri" w:hAnsi="Calibri"/>
                <w:color w:val="1F4E79"/>
                <w:sz w:val="22"/>
              </w:rPr>
              <w:t>N/A no participant data is collected. Where individual authors, organisations, or named studies are discussed, this refers only to already-published, publicly attributed academic work, not to confidential or personal information about private individuals.</w:t>
            </w:r>
          </w:p>
        </w:tc>
      </w:tr>
      <w:tr w:rsidR="00C17258" w:rsidRPr="004C3A0B" w14:paraId="5A612D10" w14:textId="77777777" w:rsidTr="00E930B0">
        <w:tc>
          <w:tcPr>
            <w:tcW w:w="596" w:type="dxa"/>
            <w:tcBorders>
              <w:top w:val="single" w:sz="4" w:space="0" w:color="auto"/>
              <w:bottom w:val="single" w:sz="4" w:space="0" w:color="auto"/>
            </w:tcBorders>
          </w:tcPr>
          <w:p w14:paraId="42FF8D04" w14:textId="77777777" w:rsidR="00C17258" w:rsidRPr="00E32138" w:rsidRDefault="00C17258" w:rsidP="00E930B0">
            <w:pPr>
              <w:rPr>
                <w:rFonts w:ascii="Arial" w:hAnsi="Arial" w:cs="Arial"/>
                <w:bCs/>
                <w:sz w:val="22"/>
                <w:szCs w:val="22"/>
              </w:rPr>
            </w:pPr>
          </w:p>
        </w:tc>
        <w:tc>
          <w:tcPr>
            <w:tcW w:w="9923" w:type="dxa"/>
            <w:tcBorders>
              <w:top w:val="single" w:sz="4" w:space="0" w:color="auto"/>
              <w:bottom w:val="single" w:sz="4" w:space="0" w:color="auto"/>
            </w:tcBorders>
          </w:tcPr>
          <w:p w14:paraId="60D1BC8D" w14:textId="77777777" w:rsidR="00C17258" w:rsidRPr="004033FC" w:rsidRDefault="00C17258" w:rsidP="00E930B0">
            <w:pPr>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693B4EDA" w14:textId="77777777" w:rsidR="00C17258" w:rsidRPr="004C3A0B" w:rsidRDefault="00C17258" w:rsidP="00E930B0">
            <w:pPr>
              <w:rPr>
                <w:rFonts w:ascii="Arial" w:hAnsi="Arial" w:cs="Arial"/>
                <w:sz w:val="22"/>
                <w:szCs w:val="22"/>
              </w:rPr>
            </w:pPr>
          </w:p>
          <w:p w14:paraId="234CF509"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tc>
      </w:tr>
    </w:tbl>
    <w:p w14:paraId="5D0AB400" w14:textId="77777777" w:rsidR="00C17258" w:rsidRPr="004C3A0B" w:rsidRDefault="00C17258" w:rsidP="00C17258">
      <w:pPr>
        <w:rPr>
          <w:rFonts w:ascii="Arial" w:hAnsi="Arial" w:cs="Arial"/>
          <w:sz w:val="22"/>
          <w:szCs w:val="22"/>
        </w:rPr>
      </w:pPr>
    </w:p>
    <w:p w14:paraId="7EA84122" w14:textId="77777777" w:rsidR="00C17258" w:rsidRDefault="00C17258" w:rsidP="00C17258">
      <w:pPr>
        <w:rPr>
          <w:rFonts w:ascii="Arial" w:hAnsi="Arial" w:cs="Arial"/>
          <w:b/>
          <w:sz w:val="22"/>
          <w:szCs w:val="22"/>
        </w:rPr>
      </w:pPr>
      <w:r>
        <w:rPr>
          <w:rFonts w:ascii="Arial" w:hAnsi="Arial" w:cs="Arial"/>
          <w:b/>
          <w:sz w:val="22"/>
          <w:szCs w:val="22"/>
        </w:rPr>
        <w:t>SECTION H: Data Protection and Storage</w:t>
      </w:r>
    </w:p>
    <w:p w14:paraId="17D7AD17" w14:textId="77777777" w:rsidR="00C17258" w:rsidRPr="00354F34" w:rsidRDefault="00C17258" w:rsidP="00C1725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CellMar>
          <w:left w:w="10" w:type="dxa"/>
          <w:right w:w="10" w:type="dxa"/>
        </w:tblCellMar>
        <w:tblLook w:val="04A0" w:firstRow="1" w:lastRow="0" w:firstColumn="1" w:lastColumn="0" w:noHBand="0" w:noVBand="1"/>
      </w:tblPr>
      <w:tblGrid>
        <w:gridCol w:w="567"/>
        <w:gridCol w:w="7905"/>
        <w:gridCol w:w="992"/>
        <w:gridCol w:w="1026"/>
      </w:tblGrid>
      <w:tr w:rsidR="00C17258" w14:paraId="660577C6" w14:textId="77777777" w:rsidTr="00E930B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180905" w14:textId="77777777" w:rsidR="00C17258" w:rsidRDefault="00C17258" w:rsidP="00E930B0">
            <w:pPr>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1EF176"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2243F"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53956"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7258" w14:paraId="1C16453B" w14:textId="77777777" w:rsidTr="00E930B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D0D778" w14:textId="77777777" w:rsidR="00C17258" w:rsidRPr="00CF6CA5" w:rsidRDefault="00C17258" w:rsidP="00E930B0">
            <w:pPr>
              <w:autoSpaceDE w:val="0"/>
              <w:autoSpaceDN w:val="0"/>
              <w:adjustRightInd w:val="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E7100E" w14:textId="77777777" w:rsidR="00C17258" w:rsidRDefault="00C17258" w:rsidP="00E930B0">
            <w:pPr>
              <w:autoSpaceDE w:val="0"/>
              <w:autoSpaceDN w:val="0"/>
              <w:adjustRightInd w:val="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5FAD80"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8FB4C1"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17258" w14:paraId="7E7FF536" w14:textId="77777777" w:rsidTr="00E930B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6A983E" w14:textId="77777777" w:rsidR="00C17258" w:rsidRDefault="00C17258" w:rsidP="00E930B0">
            <w:pPr>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5F31A8" w14:textId="77777777" w:rsidR="00C17258" w:rsidRDefault="00C17258" w:rsidP="00E930B0">
            <w:pPr>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6800B72C" w14:textId="77777777" w:rsidR="00C17258" w:rsidRDefault="00C17258" w:rsidP="00E930B0">
            <w:r>
              <w:rPr>
                <w:rFonts w:ascii="Calibri" w:hAnsi="Calibri"/>
                <w:color w:val="1F4E79"/>
                <w:sz w:val="22"/>
              </w:rPr>
              <w:t>No – this dissertation does not involve personal data as defined by GDPR/DPA 2018. It uses only secondary, previously published academic and industry sources; no data is collected about any identifiable living individual, and no participants are recruited.</w:t>
            </w:r>
          </w:p>
        </w:tc>
      </w:tr>
      <w:tr w:rsidR="00C17258" w14:paraId="29750E46" w14:textId="77777777" w:rsidTr="00E930B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DEF1DD8" w14:textId="77777777" w:rsidR="00C17258" w:rsidRDefault="00C17258" w:rsidP="00E930B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9589973" w14:textId="77777777" w:rsidR="00C17258" w:rsidRPr="004033FC" w:rsidRDefault="00C17258" w:rsidP="00E930B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47038A2C" w14:textId="77777777" w:rsidR="00C17258" w:rsidRPr="004C3A0B" w:rsidRDefault="00C17258" w:rsidP="00E930B0">
            <w:pPr>
              <w:rPr>
                <w:rFonts w:ascii="Arial" w:hAnsi="Arial" w:cs="Arial"/>
                <w:sz w:val="22"/>
                <w:szCs w:val="22"/>
              </w:rPr>
            </w:pPr>
          </w:p>
          <w:p w14:paraId="6DD89911" w14:textId="77777777" w:rsidR="00C17258" w:rsidRPr="00354F34" w:rsidRDefault="00C17258" w:rsidP="00E930B0">
            <w:pPr>
              <w:autoSpaceDE w:val="0"/>
              <w:autoSpaceDN w:val="0"/>
              <w:adjustRightInd w:val="0"/>
              <w:rPr>
                <w:i/>
              </w:rPr>
            </w:pPr>
            <w:r>
              <w:rPr>
                <w:rFonts w:ascii="Arial" w:hAnsi="Arial" w:cs="Arial"/>
                <w:i/>
                <w:color w:val="808080"/>
                <w:sz w:val="18"/>
                <w:szCs w:val="18"/>
              </w:rPr>
              <w:t>(this box should expand as you type)</w:t>
            </w:r>
          </w:p>
        </w:tc>
      </w:tr>
      <w:tr w:rsidR="00C17258" w14:paraId="766072A9" w14:textId="77777777" w:rsidTr="00E930B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B158E4" w14:textId="77777777" w:rsidR="00C17258" w:rsidRDefault="00C17258" w:rsidP="00E930B0">
            <w:pPr>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ABE4EA" w14:textId="77777777" w:rsidR="00C17258" w:rsidRPr="00947984" w:rsidRDefault="00C17258" w:rsidP="00E930B0">
            <w:pPr>
              <w:autoSpaceDE w:val="0"/>
              <w:autoSpaceDN w:val="0"/>
              <w:adjustRightInd w:val="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79C6C9"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C0ECB"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7258" w14:paraId="1710FAB4" w14:textId="77777777" w:rsidTr="00E930B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BB367" w14:textId="77777777" w:rsidR="00C17258" w:rsidRPr="00CF6CA5" w:rsidRDefault="00C17258" w:rsidP="00E930B0">
            <w:pPr>
              <w:jc w:val="center"/>
              <w:rPr>
                <w:rFonts w:ascii="Arial" w:hAnsi="Arial" w:cs="Arial"/>
                <w:iCs/>
                <w:color w:val="000000"/>
                <w:szCs w:val="23"/>
              </w:rPr>
            </w:pPr>
            <w:r>
              <w:rPr>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BE79EA" w14:textId="77777777" w:rsidR="00C17258" w:rsidRDefault="00C17258" w:rsidP="00E930B0">
            <w:pPr>
              <w:ind w:left="567" w:right="567"/>
            </w:pPr>
            <w:r>
              <w:rPr>
                <w:rFonts w:ascii="Arial" w:hAnsi="Arial" w:cs="Arial"/>
                <w:i/>
                <w:iCs/>
                <w:color w:val="000000"/>
                <w:szCs w:val="23"/>
              </w:rPr>
              <w:t xml:space="preserve">“Special category data” means sensitive personal data consisting of information as to the data </w:t>
            </w:r>
            <w:proofErr w:type="gramStart"/>
            <w:r>
              <w:rPr>
                <w:rFonts w:ascii="Arial" w:hAnsi="Arial" w:cs="Arial"/>
                <w:i/>
                <w:iCs/>
                <w:color w:val="000000"/>
                <w:szCs w:val="23"/>
              </w:rPr>
              <w:t>subjects’</w:t>
            </w:r>
            <w:proofErr w:type="gramEnd"/>
            <w:r>
              <w:rPr>
                <w:rFonts w:ascii="Arial" w:hAnsi="Arial" w:cs="Arial"/>
                <w:i/>
                <w:iCs/>
                <w:color w:val="000000"/>
                <w:szCs w:val="23"/>
              </w:rPr>
              <w:t xml:space="preserve"> –</w:t>
            </w:r>
          </w:p>
          <w:p w14:paraId="5857FDD1" w14:textId="77777777" w:rsidR="00C17258" w:rsidRDefault="00C17258" w:rsidP="00E930B0">
            <w:pPr>
              <w:ind w:left="1134" w:right="567"/>
            </w:pPr>
            <w:r>
              <w:rPr>
                <w:rFonts w:ascii="Arial" w:hAnsi="Arial" w:cs="Arial"/>
                <w:i/>
                <w:iCs/>
                <w:color w:val="000000"/>
                <w:szCs w:val="23"/>
              </w:rPr>
              <w:t>(a) racial or ethnic origin,</w:t>
            </w:r>
          </w:p>
          <w:p w14:paraId="42B125C6" w14:textId="77777777" w:rsidR="00C17258" w:rsidRDefault="00C17258" w:rsidP="00E930B0">
            <w:pPr>
              <w:ind w:left="1134" w:right="567"/>
            </w:pPr>
            <w:r>
              <w:rPr>
                <w:rFonts w:ascii="Arial" w:hAnsi="Arial" w:cs="Arial"/>
                <w:i/>
                <w:iCs/>
                <w:color w:val="000000"/>
                <w:szCs w:val="23"/>
              </w:rPr>
              <w:t>(b) political opinions,</w:t>
            </w:r>
          </w:p>
          <w:p w14:paraId="2102F785" w14:textId="77777777" w:rsidR="00C17258" w:rsidRDefault="00C17258" w:rsidP="00E930B0">
            <w:pPr>
              <w:ind w:left="1134" w:right="567"/>
            </w:pPr>
            <w:r>
              <w:rPr>
                <w:rFonts w:ascii="Arial" w:hAnsi="Arial" w:cs="Arial"/>
                <w:i/>
                <w:iCs/>
                <w:color w:val="000000"/>
                <w:szCs w:val="23"/>
              </w:rPr>
              <w:t>(c) religious beliefs or other beliefs of a similar nature,</w:t>
            </w:r>
          </w:p>
          <w:p w14:paraId="09DE73F3" w14:textId="77777777" w:rsidR="00C17258" w:rsidRDefault="00C17258" w:rsidP="00E930B0">
            <w:pPr>
              <w:ind w:left="1134" w:right="567"/>
            </w:pPr>
            <w:r>
              <w:rPr>
                <w:rFonts w:ascii="Arial" w:hAnsi="Arial" w:cs="Arial"/>
                <w:i/>
                <w:iCs/>
                <w:color w:val="000000"/>
                <w:szCs w:val="23"/>
              </w:rPr>
              <w:t>(d) membership of a trade union (within the meaning of the Trade Union and Labour Relations (Consolidation) Act 1992),</w:t>
            </w:r>
          </w:p>
          <w:p w14:paraId="3612E175" w14:textId="77777777" w:rsidR="00C17258" w:rsidRDefault="00C17258" w:rsidP="00E930B0">
            <w:pPr>
              <w:ind w:left="1134" w:right="567"/>
            </w:pPr>
            <w:r>
              <w:rPr>
                <w:rFonts w:ascii="Arial" w:hAnsi="Arial" w:cs="Arial"/>
                <w:i/>
                <w:iCs/>
                <w:color w:val="000000"/>
                <w:szCs w:val="23"/>
              </w:rPr>
              <w:t>(e) physical or mental health or condition,</w:t>
            </w:r>
          </w:p>
          <w:p w14:paraId="0D60177B" w14:textId="77777777" w:rsidR="00C17258" w:rsidRDefault="00C17258" w:rsidP="00E930B0">
            <w:pPr>
              <w:ind w:left="1134" w:right="567"/>
            </w:pPr>
            <w:r>
              <w:rPr>
                <w:rFonts w:ascii="Arial" w:hAnsi="Arial" w:cs="Arial"/>
                <w:i/>
                <w:iCs/>
                <w:color w:val="000000"/>
                <w:szCs w:val="23"/>
              </w:rPr>
              <w:t>(f) sexual life,</w:t>
            </w:r>
          </w:p>
          <w:p w14:paraId="3A717238" w14:textId="77777777" w:rsidR="00C17258" w:rsidRDefault="00C17258" w:rsidP="00E930B0">
            <w:pPr>
              <w:ind w:left="1134" w:right="567"/>
            </w:pPr>
            <w:r>
              <w:rPr>
                <w:rFonts w:ascii="Arial" w:hAnsi="Arial" w:cs="Arial"/>
                <w:i/>
                <w:iCs/>
                <w:color w:val="000000"/>
                <w:szCs w:val="23"/>
              </w:rPr>
              <w:t>(g) genetics,</w:t>
            </w:r>
          </w:p>
          <w:p w14:paraId="2D37B273" w14:textId="77777777" w:rsidR="00C17258" w:rsidRPr="00354F34" w:rsidRDefault="00C17258" w:rsidP="00E930B0">
            <w:pPr>
              <w:ind w:left="1134" w:right="567"/>
              <w:rPr>
                <w:rFonts w:ascii="Arial" w:hAnsi="Arial" w:cs="Arial"/>
                <w:i/>
                <w:iCs/>
                <w:color w:val="000000"/>
                <w:szCs w:val="23"/>
              </w:rPr>
            </w:pPr>
            <w:r>
              <w:rPr>
                <w:rFonts w:ascii="Arial" w:hAnsi="Arial" w:cs="Arial"/>
                <w:i/>
                <w:iCs/>
                <w:color w:val="00000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C5B307"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p>
          <w:p w14:paraId="5771F7CC" w14:textId="77777777" w:rsidR="00C17258" w:rsidRDefault="00C17258" w:rsidP="00E930B0">
            <w:pPr>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A3C284C" w14:textId="77777777" w:rsidR="00C17258" w:rsidRDefault="00C17258" w:rsidP="00E930B0">
            <w:pPr>
              <w:autoSpaceDE w:val="0"/>
              <w:autoSpaceDN w:val="0"/>
              <w:adjustRightInd w:val="0"/>
              <w:jc w:val="center"/>
              <w:rPr>
                <w:rFonts w:ascii="MS Gothic" w:eastAsia="MS Gothic" w:hAnsi="MS Gothic" w:cs="Arial"/>
                <w:b/>
                <w:bCs/>
                <w:sz w:val="22"/>
                <w:szCs w:val="22"/>
                <w:lang w:val="en-US"/>
              </w:rPr>
            </w:pPr>
          </w:p>
          <w:p w14:paraId="00E2C7A0" w14:textId="77777777" w:rsidR="00C17258" w:rsidRDefault="00C17258" w:rsidP="00E930B0">
            <w:pPr>
              <w:autoSpaceDE w:val="0"/>
              <w:autoSpaceDN w:val="0"/>
              <w:adjustRightInd w:val="0"/>
              <w:jc w:val="center"/>
            </w:pPr>
            <w:r>
              <w:rPr>
                <w:rFonts w:ascii="MS Gothic" w:eastAsia="MS Gothic" w:hAnsi="MS Gothic" w:cs="Arial" w:hint="eastAsia"/>
                <w:b/>
                <w:bCs/>
                <w:sz w:val="22"/>
                <w:szCs w:val="22"/>
                <w:lang w:val="en-US"/>
              </w:rPr>
              <w:t>☒</w:t>
            </w:r>
          </w:p>
        </w:tc>
      </w:tr>
      <w:tr w:rsidR="00C17258" w14:paraId="72455278" w14:textId="77777777" w:rsidTr="00E930B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E7A00" w14:textId="77777777" w:rsidR="00C17258" w:rsidRDefault="00C17258" w:rsidP="00E930B0">
            <w:pPr>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B103B" w14:textId="77777777" w:rsidR="00C17258" w:rsidRDefault="00C17258" w:rsidP="00E930B0">
            <w:pPr>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p w14:paraId="08BA6870" w14:textId="77777777" w:rsidR="00C17258" w:rsidRDefault="00C17258" w:rsidP="00E930B0">
            <w:r>
              <w:rPr>
                <w:rFonts w:ascii="Calibri" w:hAnsi="Calibri"/>
                <w:color w:val="1F4E79"/>
                <w:sz w:val="22"/>
              </w:rPr>
              <w:t>No – no special category data will be collected. The review discusses wellbeing- and health-related themes only as reported in aggregate, anonymised form within already-published academic literature, never in relation to an identifiable individual.</w:t>
            </w:r>
          </w:p>
        </w:tc>
      </w:tr>
      <w:tr w:rsidR="00C17258" w14:paraId="130D0575" w14:textId="77777777" w:rsidTr="00E930B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79AA3D" w14:textId="77777777" w:rsidR="00C17258" w:rsidRDefault="00C17258" w:rsidP="00E930B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84DC79" w14:textId="77777777" w:rsidR="00C17258" w:rsidRPr="004033FC" w:rsidRDefault="00C17258" w:rsidP="00E930B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6A0AE087" w14:textId="77777777" w:rsidR="00C17258" w:rsidRDefault="00C17258" w:rsidP="00E930B0">
            <w:pPr>
              <w:rPr>
                <w:rFonts w:ascii="Arial" w:hAnsi="Arial" w:cs="Arial"/>
                <w:sz w:val="22"/>
                <w:szCs w:val="22"/>
              </w:rPr>
            </w:pPr>
          </w:p>
          <w:p w14:paraId="3E547B54" w14:textId="77777777" w:rsidR="00C17258" w:rsidRDefault="00C17258" w:rsidP="00E930B0">
            <w:pPr>
              <w:rPr>
                <w:rFonts w:ascii="Arial" w:hAnsi="Arial" w:cs="Arial"/>
                <w:sz w:val="22"/>
                <w:szCs w:val="22"/>
              </w:rPr>
            </w:pPr>
          </w:p>
          <w:p w14:paraId="4A0C08A7" w14:textId="77777777" w:rsidR="00C17258" w:rsidRPr="004C3A0B" w:rsidRDefault="00C17258" w:rsidP="00E930B0">
            <w:pPr>
              <w:rPr>
                <w:rFonts w:ascii="Arial" w:hAnsi="Arial" w:cs="Arial"/>
                <w:sz w:val="22"/>
                <w:szCs w:val="22"/>
              </w:rPr>
            </w:pPr>
          </w:p>
          <w:p w14:paraId="4AB4BEEA" w14:textId="77777777" w:rsidR="00C17258" w:rsidRDefault="00C17258" w:rsidP="00E930B0">
            <w:pPr>
              <w:autoSpaceDE w:val="0"/>
              <w:autoSpaceDN w:val="0"/>
              <w:adjustRightInd w:val="0"/>
            </w:pPr>
            <w:r>
              <w:rPr>
                <w:rFonts w:ascii="Arial" w:hAnsi="Arial" w:cs="Arial"/>
                <w:i/>
                <w:color w:val="808080"/>
                <w:sz w:val="18"/>
                <w:szCs w:val="18"/>
              </w:rPr>
              <w:t>(this box should expand as you type)</w:t>
            </w:r>
          </w:p>
        </w:tc>
      </w:tr>
    </w:tbl>
    <w:p w14:paraId="759702F0" w14:textId="77777777" w:rsidR="00C17258" w:rsidRDefault="00C17258" w:rsidP="00C17258"/>
    <w:tbl>
      <w:tblPr>
        <w:tblW w:w="10485" w:type="dxa"/>
        <w:tblCellMar>
          <w:left w:w="10" w:type="dxa"/>
          <w:right w:w="10" w:type="dxa"/>
        </w:tblCellMar>
        <w:tblLook w:val="04A0" w:firstRow="1" w:lastRow="0" w:firstColumn="1" w:lastColumn="0" w:noHBand="0" w:noVBand="1"/>
      </w:tblPr>
      <w:tblGrid>
        <w:gridCol w:w="562"/>
        <w:gridCol w:w="7905"/>
        <w:gridCol w:w="992"/>
        <w:gridCol w:w="1026"/>
      </w:tblGrid>
      <w:tr w:rsidR="00C17258" w:rsidRPr="004C3A0B" w14:paraId="4FCE47E9" w14:textId="77777777" w:rsidTr="00E930B0">
        <w:trPr>
          <w:trHeight w:val="439"/>
        </w:trPr>
        <w:tc>
          <w:tcPr>
            <w:tcW w:w="562" w:type="dxa"/>
            <w:shd w:val="clear" w:color="auto" w:fill="F2F2F2" w:themeFill="background1" w:themeFillShade="F2"/>
            <w:vAlign w:val="center"/>
          </w:tcPr>
          <w:p w14:paraId="3D589C30" w14:textId="77777777" w:rsidR="00C17258" w:rsidRPr="002132F9" w:rsidRDefault="00C17258" w:rsidP="00E930B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B6C9F9A" w14:textId="77777777" w:rsidR="00C17258" w:rsidRPr="009563B2" w:rsidRDefault="00C17258" w:rsidP="00E930B0">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1339955"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138E292C"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7258" w:rsidRPr="004C3A0B" w14:paraId="16115F0B" w14:textId="77777777" w:rsidTr="00E930B0">
        <w:trPr>
          <w:trHeight w:val="439"/>
        </w:trPr>
        <w:tc>
          <w:tcPr>
            <w:tcW w:w="562" w:type="dxa"/>
            <w:shd w:val="clear" w:color="auto" w:fill="F2F2F2" w:themeFill="background1" w:themeFillShade="F2"/>
            <w:vAlign w:val="center"/>
          </w:tcPr>
          <w:p w14:paraId="37A9A810" w14:textId="77777777" w:rsidR="00C17258" w:rsidRPr="00903B3C" w:rsidRDefault="00C17258" w:rsidP="00E930B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2A12F4E"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CA06D5E"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190AB88"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79157F6A" w14:textId="77777777" w:rsidTr="00E930B0">
        <w:trPr>
          <w:trHeight w:val="403"/>
        </w:trPr>
        <w:tc>
          <w:tcPr>
            <w:tcW w:w="562" w:type="dxa"/>
            <w:shd w:val="clear" w:color="auto" w:fill="F2F2F2" w:themeFill="background1" w:themeFillShade="F2"/>
            <w:vAlign w:val="center"/>
          </w:tcPr>
          <w:p w14:paraId="3377EC48" w14:textId="77777777" w:rsidR="00C17258" w:rsidRPr="00903B3C" w:rsidRDefault="00C17258" w:rsidP="00E930B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AB06458"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C0643CE"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7642CC0"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1CADFF20" w14:textId="77777777" w:rsidTr="00E930B0">
        <w:trPr>
          <w:trHeight w:val="439"/>
        </w:trPr>
        <w:tc>
          <w:tcPr>
            <w:tcW w:w="562" w:type="dxa"/>
            <w:shd w:val="clear" w:color="auto" w:fill="F2F2F2" w:themeFill="background1" w:themeFillShade="F2"/>
            <w:vAlign w:val="center"/>
          </w:tcPr>
          <w:p w14:paraId="48C5F227" w14:textId="77777777" w:rsidR="00C17258" w:rsidRPr="00903B3C" w:rsidRDefault="00C17258" w:rsidP="00E930B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CE7AAB1"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E8C310E"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342972A"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F510283" w14:textId="77777777" w:rsidTr="00E930B0">
        <w:trPr>
          <w:trHeight w:val="403"/>
        </w:trPr>
        <w:tc>
          <w:tcPr>
            <w:tcW w:w="562" w:type="dxa"/>
            <w:shd w:val="clear" w:color="auto" w:fill="F2F2F2" w:themeFill="background1" w:themeFillShade="F2"/>
            <w:vAlign w:val="center"/>
          </w:tcPr>
          <w:p w14:paraId="5A21326F" w14:textId="77777777" w:rsidR="00C17258" w:rsidRPr="00903B3C" w:rsidRDefault="00C17258" w:rsidP="00E930B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4698B4ED"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B61B173"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DE18250"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1BABCBB" w14:textId="77777777" w:rsidTr="00E930B0">
        <w:trPr>
          <w:trHeight w:val="403"/>
        </w:trPr>
        <w:tc>
          <w:tcPr>
            <w:tcW w:w="562" w:type="dxa"/>
            <w:shd w:val="clear" w:color="auto" w:fill="F2F2F2" w:themeFill="background1" w:themeFillShade="F2"/>
            <w:vAlign w:val="center"/>
          </w:tcPr>
          <w:p w14:paraId="11DA586C" w14:textId="77777777" w:rsidR="00C17258" w:rsidRPr="00903B3C" w:rsidRDefault="00C17258" w:rsidP="00E930B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07EF264"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125A0ED"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9B5939"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524E3B74" w14:textId="77777777" w:rsidTr="00E930B0">
        <w:trPr>
          <w:trHeight w:val="403"/>
        </w:trPr>
        <w:tc>
          <w:tcPr>
            <w:tcW w:w="562" w:type="dxa"/>
            <w:shd w:val="clear" w:color="auto" w:fill="F2F2F2" w:themeFill="background1" w:themeFillShade="F2"/>
            <w:vAlign w:val="center"/>
          </w:tcPr>
          <w:p w14:paraId="03E72C00" w14:textId="77777777" w:rsidR="00C17258" w:rsidRPr="00903B3C" w:rsidRDefault="00C17258" w:rsidP="00E930B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568FBC3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3345701"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9FAB713"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230FBCE" w14:textId="77777777" w:rsidTr="00E930B0">
        <w:trPr>
          <w:trHeight w:val="403"/>
        </w:trPr>
        <w:tc>
          <w:tcPr>
            <w:tcW w:w="562" w:type="dxa"/>
            <w:shd w:val="clear" w:color="auto" w:fill="F2F2F2" w:themeFill="background1" w:themeFillShade="F2"/>
            <w:vAlign w:val="center"/>
          </w:tcPr>
          <w:p w14:paraId="1E4BAC08" w14:textId="77777777" w:rsidR="00C17258" w:rsidRPr="00903B3C" w:rsidRDefault="00C17258" w:rsidP="00E930B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58136F0B"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Other – specify:</w:t>
            </w:r>
          </w:p>
          <w:p w14:paraId="7C97E56A" w14:textId="77777777" w:rsidR="00C17258" w:rsidRPr="004C3A0B" w:rsidRDefault="00C17258" w:rsidP="00E930B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A490D57"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F91A9EF"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65708DB4" w14:textId="77777777" w:rsidTr="00E930B0">
        <w:trPr>
          <w:trHeight w:val="403"/>
        </w:trPr>
        <w:tc>
          <w:tcPr>
            <w:tcW w:w="562" w:type="dxa"/>
            <w:shd w:val="clear" w:color="auto" w:fill="F2F2F2" w:themeFill="background1" w:themeFillShade="F2"/>
            <w:vAlign w:val="center"/>
          </w:tcPr>
          <w:p w14:paraId="0C3900B4" w14:textId="77777777" w:rsidR="00C17258" w:rsidRPr="00903B3C" w:rsidRDefault="00C17258" w:rsidP="00E930B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01DCBE54" w14:textId="77777777" w:rsidR="00C17258" w:rsidRDefault="00C17258" w:rsidP="00E930B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p w14:paraId="0C7E5431" w14:textId="77777777" w:rsidR="00C17258" w:rsidRDefault="00C17258" w:rsidP="00E930B0">
            <w:r>
              <w:rPr>
                <w:rFonts w:ascii="Calibri" w:hAnsi="Calibri"/>
                <w:color w:val="1F4E79"/>
                <w:sz w:val="22"/>
              </w:rPr>
              <w:t>As no personal data is collected, standard University data storage practice will still be followed for research materials (literature searches, extraction matrices, and draft chapters): all files will be kept in password protected University Office 365 cloud storage (OneDrive/SharePoint), accessible only to the researcher and, where relevant for supervision, the dissertation supervisor.</w:t>
            </w:r>
          </w:p>
        </w:tc>
      </w:tr>
      <w:tr w:rsidR="00C17258" w:rsidRPr="004C3A0B" w14:paraId="6B44E0D3" w14:textId="77777777" w:rsidTr="00E930B0">
        <w:trPr>
          <w:trHeight w:val="403"/>
        </w:trPr>
        <w:tc>
          <w:tcPr>
            <w:tcW w:w="562" w:type="dxa"/>
            <w:vAlign w:val="center"/>
          </w:tcPr>
          <w:p w14:paraId="29F9222D" w14:textId="77777777" w:rsidR="00C17258" w:rsidRPr="00E65973" w:rsidRDefault="00C17258" w:rsidP="00E930B0">
            <w:pPr>
              <w:jc w:val="center"/>
              <w:rPr>
                <w:rFonts w:ascii="Arial" w:hAnsi="Arial" w:cs="Arial"/>
                <w:sz w:val="22"/>
                <w:szCs w:val="22"/>
              </w:rPr>
            </w:pPr>
          </w:p>
        </w:tc>
        <w:tc>
          <w:tcPr>
            <w:tcW w:w="9923" w:type="dxa"/>
            <w:gridSpan w:val="3"/>
          </w:tcPr>
          <w:p w14:paraId="55A0E333" w14:textId="77777777" w:rsidR="00C17258" w:rsidRDefault="00C17258" w:rsidP="00E930B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183906FA" w14:textId="77777777" w:rsidR="00C17258" w:rsidRPr="004033FC" w:rsidRDefault="00C17258" w:rsidP="00E930B0">
            <w:pPr>
              <w:rPr>
                <w:rFonts w:ascii="Arial" w:hAnsi="Arial" w:cs="Arial"/>
                <w:color w:val="00B050"/>
                <w:sz w:val="22"/>
              </w:rPr>
            </w:pPr>
          </w:p>
          <w:p w14:paraId="5ECD6A6D" w14:textId="77777777" w:rsidR="00C17258" w:rsidRPr="006C06BB" w:rsidRDefault="00C17258" w:rsidP="00E930B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0978CDFD" w14:textId="77777777" w:rsidR="00C17258" w:rsidRPr="006C06BB" w:rsidRDefault="00C17258" w:rsidP="00E930B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7A831615" w14:textId="77777777" w:rsidR="00C17258" w:rsidRPr="006C06BB" w:rsidRDefault="00C17258" w:rsidP="00E930B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1F32628" w14:textId="77777777" w:rsidR="00C17258" w:rsidRDefault="00C17258" w:rsidP="00E930B0">
            <w:pPr>
              <w:rPr>
                <w:rFonts w:ascii="Arial" w:hAnsi="Arial" w:cs="Arial"/>
                <w:sz w:val="22"/>
                <w:szCs w:val="22"/>
              </w:rPr>
            </w:pPr>
          </w:p>
          <w:p w14:paraId="380B9031" w14:textId="77777777" w:rsidR="00C17258" w:rsidRPr="004C3A0B" w:rsidRDefault="00C17258" w:rsidP="00E930B0">
            <w:pPr>
              <w:rPr>
                <w:rFonts w:ascii="Arial" w:hAnsi="Arial" w:cs="Arial"/>
                <w:sz w:val="22"/>
                <w:szCs w:val="22"/>
              </w:rPr>
            </w:pPr>
          </w:p>
          <w:p w14:paraId="2EA78277" w14:textId="77777777" w:rsidR="00C17258" w:rsidRDefault="00C17258" w:rsidP="00E930B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4C71F770" w14:textId="77777777" w:rsidR="00C17258" w:rsidRDefault="00C17258" w:rsidP="00C17258"/>
    <w:tbl>
      <w:tblPr>
        <w:tblW w:w="10485" w:type="dxa"/>
        <w:tblCellMar>
          <w:left w:w="10" w:type="dxa"/>
          <w:right w:w="10" w:type="dxa"/>
        </w:tblCellMar>
        <w:tblLook w:val="04A0" w:firstRow="1" w:lastRow="0" w:firstColumn="1" w:lastColumn="0" w:noHBand="0" w:noVBand="1"/>
      </w:tblPr>
      <w:tblGrid>
        <w:gridCol w:w="562"/>
        <w:gridCol w:w="7905"/>
        <w:gridCol w:w="992"/>
        <w:gridCol w:w="1026"/>
      </w:tblGrid>
      <w:tr w:rsidR="00C17258" w:rsidRPr="004C3A0B" w14:paraId="6F8049CD" w14:textId="77777777" w:rsidTr="00E930B0">
        <w:trPr>
          <w:trHeight w:val="439"/>
        </w:trPr>
        <w:tc>
          <w:tcPr>
            <w:tcW w:w="562" w:type="dxa"/>
            <w:shd w:val="clear" w:color="auto" w:fill="F2F2F2" w:themeFill="background1" w:themeFillShade="F2"/>
          </w:tcPr>
          <w:p w14:paraId="4B2E5609" w14:textId="77777777" w:rsidR="00C17258" w:rsidRPr="002132F9" w:rsidRDefault="00C17258" w:rsidP="00E930B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BA762A6" w14:textId="77777777" w:rsidR="00C17258" w:rsidRPr="004C3A0B" w:rsidRDefault="00C17258" w:rsidP="00E930B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17258" w:rsidRPr="004C3A0B" w14:paraId="63FAF62B" w14:textId="77777777" w:rsidTr="00E930B0">
        <w:trPr>
          <w:trHeight w:val="439"/>
        </w:trPr>
        <w:tc>
          <w:tcPr>
            <w:tcW w:w="562" w:type="dxa"/>
            <w:shd w:val="clear" w:color="auto" w:fill="F2F2F2" w:themeFill="background1" w:themeFillShade="F2"/>
            <w:vAlign w:val="center"/>
          </w:tcPr>
          <w:p w14:paraId="279C32F6" w14:textId="77777777" w:rsidR="00C17258" w:rsidRPr="00842FC0" w:rsidRDefault="00C17258" w:rsidP="00E930B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E5BDA04" w14:textId="77777777" w:rsidR="00C17258" w:rsidRPr="004C3A0B" w:rsidRDefault="00C17258" w:rsidP="00E930B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4C78C58"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465FCAFC" w14:textId="77777777" w:rsidR="00C17258" w:rsidRPr="004C3A0B"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7258" w:rsidRPr="004C3A0B" w14:paraId="2F6EF22B" w14:textId="77777777" w:rsidTr="00E930B0">
        <w:trPr>
          <w:trHeight w:val="439"/>
        </w:trPr>
        <w:tc>
          <w:tcPr>
            <w:tcW w:w="562" w:type="dxa"/>
            <w:shd w:val="clear" w:color="auto" w:fill="F2F2F2" w:themeFill="background1" w:themeFillShade="F2"/>
            <w:vAlign w:val="center"/>
          </w:tcPr>
          <w:p w14:paraId="2DC2BA8C" w14:textId="77777777" w:rsidR="00C17258" w:rsidRPr="00842FC0" w:rsidRDefault="00C17258" w:rsidP="00E930B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227B480E"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E880797"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3982922"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37C0F6ED" w14:textId="77777777" w:rsidTr="00E930B0">
        <w:trPr>
          <w:trHeight w:val="403"/>
        </w:trPr>
        <w:tc>
          <w:tcPr>
            <w:tcW w:w="562" w:type="dxa"/>
            <w:shd w:val="clear" w:color="auto" w:fill="F2F2F2" w:themeFill="background1" w:themeFillShade="F2"/>
            <w:vAlign w:val="center"/>
          </w:tcPr>
          <w:p w14:paraId="4E4D15FD" w14:textId="77777777" w:rsidR="00C17258" w:rsidRPr="00842FC0" w:rsidRDefault="00C17258" w:rsidP="00E930B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7E5177DA"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66FEA72"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E81E1D1"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145853BC" w14:textId="77777777" w:rsidTr="00E930B0">
        <w:trPr>
          <w:trHeight w:val="439"/>
        </w:trPr>
        <w:tc>
          <w:tcPr>
            <w:tcW w:w="562" w:type="dxa"/>
            <w:shd w:val="clear" w:color="auto" w:fill="F2F2F2" w:themeFill="background1" w:themeFillShade="F2"/>
            <w:vAlign w:val="center"/>
          </w:tcPr>
          <w:p w14:paraId="00CDC070" w14:textId="77777777" w:rsidR="00C17258" w:rsidRPr="00842FC0" w:rsidRDefault="00C17258" w:rsidP="00E930B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705C3019"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BAE1DC1"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1B83F12"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13120BA8" w14:textId="77777777" w:rsidTr="00E930B0">
        <w:trPr>
          <w:trHeight w:val="403"/>
        </w:trPr>
        <w:tc>
          <w:tcPr>
            <w:tcW w:w="562" w:type="dxa"/>
            <w:shd w:val="clear" w:color="auto" w:fill="F2F2F2" w:themeFill="background1" w:themeFillShade="F2"/>
            <w:vAlign w:val="center"/>
          </w:tcPr>
          <w:p w14:paraId="1B90FDA3" w14:textId="77777777" w:rsidR="00C17258" w:rsidRPr="00842FC0" w:rsidRDefault="00C17258" w:rsidP="00E930B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245F1262"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E510DF8"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691D12A"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1E049833" w14:textId="77777777" w:rsidTr="00E930B0">
        <w:trPr>
          <w:trHeight w:val="403"/>
        </w:trPr>
        <w:tc>
          <w:tcPr>
            <w:tcW w:w="562" w:type="dxa"/>
            <w:shd w:val="clear" w:color="auto" w:fill="F2F2F2" w:themeFill="background1" w:themeFillShade="F2"/>
            <w:vAlign w:val="center"/>
          </w:tcPr>
          <w:p w14:paraId="3655E5E0" w14:textId="77777777" w:rsidR="00C17258" w:rsidRPr="00842FC0" w:rsidRDefault="00C17258" w:rsidP="00E930B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860A4E9"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A32CA6"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4F4CA5F"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48D28B90" w14:textId="77777777" w:rsidTr="00E930B0">
        <w:trPr>
          <w:trHeight w:val="403"/>
        </w:trPr>
        <w:tc>
          <w:tcPr>
            <w:tcW w:w="562" w:type="dxa"/>
            <w:shd w:val="clear" w:color="auto" w:fill="F2F2F2" w:themeFill="background1" w:themeFillShade="F2"/>
            <w:vAlign w:val="center"/>
          </w:tcPr>
          <w:p w14:paraId="314F8F68" w14:textId="77777777" w:rsidR="00C17258" w:rsidRPr="00842FC0" w:rsidRDefault="00C17258" w:rsidP="00E930B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43D4912"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E290B88" w14:textId="77777777" w:rsidR="00C17258" w:rsidRPr="004C3A0B" w:rsidRDefault="00C17258" w:rsidP="00E930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AC5200" w14:textId="77777777" w:rsidR="00C17258" w:rsidRPr="004C3A0B"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7258" w:rsidRPr="004C3A0B" w14:paraId="7F06FEAB" w14:textId="77777777" w:rsidTr="00E930B0">
        <w:trPr>
          <w:trHeight w:val="403"/>
        </w:trPr>
        <w:tc>
          <w:tcPr>
            <w:tcW w:w="562" w:type="dxa"/>
            <w:shd w:val="clear" w:color="auto" w:fill="F2F2F2" w:themeFill="background1" w:themeFillShade="F2"/>
            <w:vAlign w:val="center"/>
          </w:tcPr>
          <w:p w14:paraId="5040EAAE" w14:textId="77777777" w:rsidR="00C17258" w:rsidRPr="00842FC0" w:rsidRDefault="00C17258" w:rsidP="00E930B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6577E71B" w14:textId="77777777" w:rsidR="00C17258" w:rsidRPr="004C3A0B" w:rsidRDefault="00C17258" w:rsidP="00E930B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p w14:paraId="43E9E51A" w14:textId="77777777" w:rsidR="00C17258" w:rsidRDefault="00C17258" w:rsidP="00E930B0">
            <w:r>
              <w:rPr>
                <w:rFonts w:ascii="Calibri" w:hAnsi="Calibri"/>
                <w:color w:val="1F4E79"/>
                <w:sz w:val="22"/>
              </w:rPr>
              <w:t>N/A – no personal data is transferred, shared, exported, or published, as none is collected. Reference and literature-extraction files will be kept in password-protected University cloud storage only.</w:t>
            </w:r>
          </w:p>
        </w:tc>
      </w:tr>
      <w:tr w:rsidR="00C17258" w:rsidRPr="004C3A0B" w14:paraId="1BB6A172" w14:textId="77777777" w:rsidTr="00E930B0">
        <w:trPr>
          <w:trHeight w:val="403"/>
        </w:trPr>
        <w:tc>
          <w:tcPr>
            <w:tcW w:w="562" w:type="dxa"/>
            <w:vAlign w:val="center"/>
          </w:tcPr>
          <w:p w14:paraId="4A64D95C" w14:textId="77777777" w:rsidR="00C17258" w:rsidRPr="00E65973" w:rsidRDefault="00C17258" w:rsidP="00E930B0">
            <w:pPr>
              <w:autoSpaceDE w:val="0"/>
              <w:autoSpaceDN w:val="0"/>
              <w:adjustRightInd w:val="0"/>
              <w:jc w:val="center"/>
              <w:rPr>
                <w:rFonts w:ascii="Arial" w:hAnsi="Arial" w:cs="Arial"/>
                <w:sz w:val="22"/>
                <w:szCs w:val="22"/>
              </w:rPr>
            </w:pPr>
          </w:p>
        </w:tc>
        <w:tc>
          <w:tcPr>
            <w:tcW w:w="9923" w:type="dxa"/>
            <w:gridSpan w:val="3"/>
            <w:vAlign w:val="center"/>
          </w:tcPr>
          <w:p w14:paraId="19F3865A" w14:textId="77777777" w:rsidR="00C17258" w:rsidRPr="00794815" w:rsidRDefault="00C17258" w:rsidP="00E930B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2E75DBB3" w14:textId="77777777" w:rsidR="00C17258" w:rsidRDefault="00C17258" w:rsidP="00E930B0">
            <w:pPr>
              <w:autoSpaceDE w:val="0"/>
              <w:autoSpaceDN w:val="0"/>
              <w:adjustRightInd w:val="0"/>
              <w:rPr>
                <w:rFonts w:ascii="Arial" w:hAnsi="Arial" w:cs="Arial"/>
                <w:sz w:val="22"/>
                <w:szCs w:val="22"/>
              </w:rPr>
            </w:pPr>
          </w:p>
          <w:p w14:paraId="7A7A33EC" w14:textId="77777777" w:rsidR="00C17258" w:rsidRDefault="00C17258" w:rsidP="00E930B0">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D26D308" w14:textId="77777777" w:rsidR="00C17258" w:rsidRPr="00354F34" w:rsidRDefault="00C17258" w:rsidP="00E930B0">
            <w:pPr>
              <w:autoSpaceDE w:val="0"/>
              <w:autoSpaceDN w:val="0"/>
              <w:adjustRightInd w:val="0"/>
              <w:rPr>
                <w:rFonts w:ascii="Arial" w:hAnsi="Arial" w:cs="Arial"/>
                <w:sz w:val="22"/>
                <w:szCs w:val="22"/>
              </w:rPr>
            </w:pPr>
          </w:p>
          <w:p w14:paraId="157A9BC5" w14:textId="77777777" w:rsidR="00C17258" w:rsidRPr="004C3A0B" w:rsidRDefault="00C17258" w:rsidP="00E930B0">
            <w:pPr>
              <w:autoSpaceDE w:val="0"/>
              <w:autoSpaceDN w:val="0"/>
              <w:adjustRightInd w:val="0"/>
              <w:rPr>
                <w:rFonts w:cs="Arial"/>
              </w:rPr>
            </w:pPr>
            <w:r>
              <w:rPr>
                <w:rFonts w:ascii="Arial" w:hAnsi="Arial" w:cs="Arial"/>
                <w:i/>
                <w:color w:val="808080"/>
                <w:sz w:val="18"/>
                <w:szCs w:val="18"/>
              </w:rPr>
              <w:t>(this box should expand as you type)</w:t>
            </w:r>
          </w:p>
        </w:tc>
      </w:tr>
      <w:tr w:rsidR="00C17258" w:rsidRPr="004C3A0B" w14:paraId="06F2FEC6" w14:textId="77777777" w:rsidTr="00E930B0">
        <w:trPr>
          <w:trHeight w:val="403"/>
        </w:trPr>
        <w:tc>
          <w:tcPr>
            <w:tcW w:w="562" w:type="dxa"/>
            <w:shd w:val="clear" w:color="auto" w:fill="F2F2F2" w:themeFill="background1" w:themeFillShade="F2"/>
            <w:vAlign w:val="center"/>
          </w:tcPr>
          <w:p w14:paraId="485C53D4" w14:textId="77777777" w:rsidR="00C17258" w:rsidRPr="00842FC0" w:rsidRDefault="00C17258" w:rsidP="00E930B0">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1908B573"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p w14:paraId="7E25B08D" w14:textId="77777777" w:rsidR="00C17258" w:rsidRDefault="00C17258" w:rsidP="00E930B0">
            <w:r>
              <w:rPr>
                <w:rFonts w:ascii="Calibri" w:hAnsi="Calibri"/>
                <w:color w:val="1F4E79"/>
                <w:sz w:val="22"/>
              </w:rPr>
              <w:t>The principal researcher and, where necessary for supervision purposes, the dissertation supervisor.</w:t>
            </w:r>
          </w:p>
        </w:tc>
      </w:tr>
      <w:tr w:rsidR="00C17258" w:rsidRPr="004C3A0B" w14:paraId="740FBDF2" w14:textId="77777777" w:rsidTr="00E930B0">
        <w:trPr>
          <w:trHeight w:val="403"/>
        </w:trPr>
        <w:tc>
          <w:tcPr>
            <w:tcW w:w="562" w:type="dxa"/>
            <w:vAlign w:val="center"/>
          </w:tcPr>
          <w:p w14:paraId="3324949F" w14:textId="77777777" w:rsidR="00C17258" w:rsidRPr="00E65973" w:rsidRDefault="00C17258" w:rsidP="00E930B0">
            <w:pPr>
              <w:autoSpaceDE w:val="0"/>
              <w:autoSpaceDN w:val="0"/>
              <w:adjustRightInd w:val="0"/>
              <w:jc w:val="center"/>
              <w:rPr>
                <w:rFonts w:ascii="Arial" w:hAnsi="Arial" w:cs="Arial"/>
                <w:sz w:val="22"/>
                <w:szCs w:val="22"/>
              </w:rPr>
            </w:pPr>
          </w:p>
        </w:tc>
        <w:tc>
          <w:tcPr>
            <w:tcW w:w="9923" w:type="dxa"/>
            <w:gridSpan w:val="3"/>
            <w:vAlign w:val="center"/>
          </w:tcPr>
          <w:p w14:paraId="1D66756D" w14:textId="77777777" w:rsidR="00C17258" w:rsidRPr="00794815" w:rsidRDefault="00C17258" w:rsidP="00E930B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7EB38C05" w14:textId="77777777" w:rsidR="00C17258" w:rsidRPr="00354F34" w:rsidRDefault="00C17258" w:rsidP="00E930B0">
            <w:pPr>
              <w:autoSpaceDE w:val="0"/>
              <w:autoSpaceDN w:val="0"/>
              <w:adjustRightInd w:val="0"/>
              <w:rPr>
                <w:rFonts w:ascii="Arial" w:hAnsi="Arial" w:cs="Arial"/>
                <w:sz w:val="22"/>
                <w:szCs w:val="22"/>
              </w:rPr>
            </w:pPr>
          </w:p>
          <w:p w14:paraId="490F8936"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17258" w:rsidRPr="004C3A0B" w14:paraId="28124BE6" w14:textId="77777777" w:rsidTr="00E930B0">
        <w:trPr>
          <w:trHeight w:val="403"/>
        </w:trPr>
        <w:tc>
          <w:tcPr>
            <w:tcW w:w="562" w:type="dxa"/>
            <w:shd w:val="clear" w:color="auto" w:fill="F2F2F2" w:themeFill="background1" w:themeFillShade="F2"/>
            <w:vAlign w:val="center"/>
          </w:tcPr>
          <w:p w14:paraId="1AF6EB3F" w14:textId="77777777" w:rsidR="00C17258" w:rsidRPr="00842FC0" w:rsidRDefault="00C17258" w:rsidP="00E930B0">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0DAB8CF5"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p w14:paraId="094B47E8" w14:textId="77777777" w:rsidR="00C17258" w:rsidRDefault="00C17258" w:rsidP="00E930B0">
            <w:r>
              <w:rPr>
                <w:rFonts w:ascii="Calibri" w:hAnsi="Calibri"/>
                <w:color w:val="1F4E79"/>
                <w:sz w:val="22"/>
              </w:rPr>
              <w:t>The principal researcher (student) will act as data custodian for all literature-review working files.</w:t>
            </w:r>
          </w:p>
        </w:tc>
      </w:tr>
      <w:tr w:rsidR="00C17258" w:rsidRPr="004C3A0B" w14:paraId="01E7DCF0" w14:textId="77777777" w:rsidTr="00E930B0">
        <w:trPr>
          <w:trHeight w:val="403"/>
        </w:trPr>
        <w:tc>
          <w:tcPr>
            <w:tcW w:w="562" w:type="dxa"/>
            <w:vAlign w:val="center"/>
          </w:tcPr>
          <w:p w14:paraId="60F68E5E" w14:textId="77777777" w:rsidR="00C17258" w:rsidRPr="00E65973" w:rsidRDefault="00C17258" w:rsidP="00E930B0">
            <w:pPr>
              <w:autoSpaceDE w:val="0"/>
              <w:autoSpaceDN w:val="0"/>
              <w:adjustRightInd w:val="0"/>
              <w:jc w:val="center"/>
              <w:rPr>
                <w:rFonts w:ascii="Arial" w:hAnsi="Arial" w:cs="Arial"/>
                <w:sz w:val="22"/>
                <w:szCs w:val="22"/>
              </w:rPr>
            </w:pPr>
          </w:p>
        </w:tc>
        <w:tc>
          <w:tcPr>
            <w:tcW w:w="9923" w:type="dxa"/>
            <w:gridSpan w:val="3"/>
          </w:tcPr>
          <w:p w14:paraId="6DC0A7DA" w14:textId="77777777" w:rsidR="00C17258" w:rsidRPr="00794815" w:rsidRDefault="00C17258" w:rsidP="00E930B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12F45221" w14:textId="77777777" w:rsidR="00C17258" w:rsidRPr="00354F34" w:rsidRDefault="00C17258" w:rsidP="00E930B0">
            <w:pPr>
              <w:autoSpaceDE w:val="0"/>
              <w:autoSpaceDN w:val="0"/>
              <w:adjustRightInd w:val="0"/>
              <w:rPr>
                <w:rFonts w:ascii="Arial" w:hAnsi="Arial" w:cs="Arial"/>
                <w:sz w:val="22"/>
                <w:szCs w:val="22"/>
              </w:rPr>
            </w:pPr>
          </w:p>
          <w:p w14:paraId="41FF8040"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17258" w:rsidRPr="004C3A0B" w14:paraId="63808D83" w14:textId="77777777" w:rsidTr="00E930B0">
        <w:trPr>
          <w:trHeight w:val="403"/>
        </w:trPr>
        <w:tc>
          <w:tcPr>
            <w:tcW w:w="562" w:type="dxa"/>
            <w:shd w:val="clear" w:color="auto" w:fill="F2F2F2" w:themeFill="background1" w:themeFillShade="F2"/>
            <w:vAlign w:val="center"/>
          </w:tcPr>
          <w:p w14:paraId="371393D1" w14:textId="77777777" w:rsidR="00C17258" w:rsidRPr="00842FC0" w:rsidRDefault="00C17258" w:rsidP="00E930B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51A8E5A"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p w14:paraId="66D3B982" w14:textId="77777777" w:rsidR="00C17258" w:rsidRDefault="00C17258" w:rsidP="00E930B0">
            <w:r>
              <w:rPr>
                <w:rFonts w:ascii="Calibri" w:hAnsi="Calibri"/>
                <w:color w:val="1F4E79"/>
                <w:sz w:val="22"/>
              </w:rPr>
              <w:t>All literature review working files (search records, extraction matrix, draft chapters) will be stored in password-protected University Office 365 cloud storage. No personal or participant data exists to store, as none is collected. Working files will be retained until the dissertation has been marked and any appeals period has passed, then deleted, in line with UWTSD's Research Data Management Policy.</w:t>
            </w:r>
          </w:p>
        </w:tc>
      </w:tr>
      <w:tr w:rsidR="00C17258" w:rsidRPr="004C3A0B" w14:paraId="0BAE4871" w14:textId="77777777" w:rsidTr="00E930B0">
        <w:trPr>
          <w:trHeight w:val="403"/>
        </w:trPr>
        <w:tc>
          <w:tcPr>
            <w:tcW w:w="562" w:type="dxa"/>
            <w:vAlign w:val="center"/>
          </w:tcPr>
          <w:p w14:paraId="55C1B9E6" w14:textId="77777777" w:rsidR="00C17258" w:rsidRPr="00E65973" w:rsidRDefault="00C17258" w:rsidP="00E930B0">
            <w:pPr>
              <w:autoSpaceDE w:val="0"/>
              <w:autoSpaceDN w:val="0"/>
              <w:adjustRightInd w:val="0"/>
              <w:jc w:val="center"/>
              <w:rPr>
                <w:rFonts w:ascii="Arial" w:hAnsi="Arial" w:cs="Arial"/>
                <w:sz w:val="22"/>
                <w:szCs w:val="22"/>
              </w:rPr>
            </w:pPr>
          </w:p>
        </w:tc>
        <w:tc>
          <w:tcPr>
            <w:tcW w:w="9923" w:type="dxa"/>
            <w:gridSpan w:val="3"/>
          </w:tcPr>
          <w:p w14:paraId="04058832" w14:textId="77777777" w:rsidR="00C17258" w:rsidRDefault="00C17258" w:rsidP="00E930B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63469F42" w14:textId="77777777" w:rsidR="00C17258" w:rsidRPr="00354F34" w:rsidRDefault="00C17258" w:rsidP="00E930B0">
            <w:pPr>
              <w:autoSpaceDE w:val="0"/>
              <w:autoSpaceDN w:val="0"/>
              <w:adjustRightInd w:val="0"/>
              <w:rPr>
                <w:rFonts w:ascii="Arial" w:hAnsi="Arial" w:cs="Arial"/>
                <w:sz w:val="22"/>
                <w:szCs w:val="22"/>
              </w:rPr>
            </w:pPr>
          </w:p>
          <w:p w14:paraId="2758908D" w14:textId="77777777" w:rsidR="00C17258" w:rsidRPr="004C3A0B" w:rsidRDefault="00C17258" w:rsidP="00E930B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17258" w:rsidRPr="004C3A0B" w14:paraId="4BD594EC" w14:textId="77777777" w:rsidTr="00E930B0">
        <w:trPr>
          <w:trHeight w:val="600"/>
        </w:trPr>
        <w:tc>
          <w:tcPr>
            <w:tcW w:w="562" w:type="dxa"/>
            <w:shd w:val="clear" w:color="auto" w:fill="F2F2F2" w:themeFill="background1" w:themeFillShade="F2"/>
            <w:vAlign w:val="center"/>
          </w:tcPr>
          <w:p w14:paraId="381DDB03" w14:textId="77777777" w:rsidR="00C17258" w:rsidRPr="00842FC0" w:rsidRDefault="00C17258" w:rsidP="00E930B0">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C67D243" w14:textId="77777777" w:rsidR="00C17258" w:rsidRPr="009563B2" w:rsidRDefault="00C17258" w:rsidP="00E930B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5FA3BD0" w14:textId="77777777" w:rsidR="00C17258" w:rsidRPr="0092487B" w:rsidRDefault="00000000" w:rsidP="00E930B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17258">
                  <w:rPr>
                    <w:rFonts w:ascii="MS Gothic" w:eastAsia="MS Gothic" w:hAnsi="MS Gothic" w:cs="Arial" w:hint="eastAsia"/>
                    <w:b/>
                    <w:bCs/>
                  </w:rPr>
                  <w:t>☒</w:t>
                </w:r>
              </w:sdtContent>
            </w:sdt>
          </w:p>
        </w:tc>
      </w:tr>
      <w:tr w:rsidR="00C17258" w:rsidRPr="004C3A0B" w14:paraId="107AE5EF" w14:textId="77777777" w:rsidTr="00E930B0">
        <w:trPr>
          <w:trHeight w:val="632"/>
        </w:trPr>
        <w:tc>
          <w:tcPr>
            <w:tcW w:w="562" w:type="dxa"/>
            <w:shd w:val="clear" w:color="auto" w:fill="F2F2F2" w:themeFill="background1" w:themeFillShade="F2"/>
            <w:vAlign w:val="center"/>
          </w:tcPr>
          <w:p w14:paraId="5BBEECF6" w14:textId="77777777" w:rsidR="00C17258" w:rsidRPr="00842FC0" w:rsidRDefault="00C17258" w:rsidP="00E930B0">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695814B" w14:textId="77777777" w:rsidR="00C17258" w:rsidRPr="0092487B" w:rsidRDefault="00C17258" w:rsidP="00E930B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708DF19C" w14:textId="77777777" w:rsidR="00C17258" w:rsidRPr="0092487B" w:rsidRDefault="00000000" w:rsidP="00E930B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17258">
                  <w:rPr>
                    <w:rFonts w:ascii="MS Gothic" w:eastAsia="MS Gothic" w:hAnsi="MS Gothic" w:cs="Arial" w:hint="eastAsia"/>
                    <w:b/>
                    <w:bCs/>
                  </w:rPr>
                  <w:t>☒</w:t>
                </w:r>
              </w:sdtContent>
            </w:sdt>
          </w:p>
        </w:tc>
      </w:tr>
    </w:tbl>
    <w:p w14:paraId="55D3C9D4" w14:textId="77777777" w:rsidR="00C17258" w:rsidRDefault="00C17258" w:rsidP="00C17258">
      <w:pPr>
        <w:rPr>
          <w:rFonts w:ascii="Arial" w:hAnsi="Arial" w:cs="Arial"/>
          <w:b/>
          <w:bCs/>
          <w:sz w:val="22"/>
          <w:szCs w:val="22"/>
        </w:rPr>
      </w:pPr>
    </w:p>
    <w:p w14:paraId="38F2B936" w14:textId="77777777" w:rsidR="00C17258" w:rsidRDefault="00C17258" w:rsidP="00C17258">
      <w:pPr>
        <w:autoSpaceDE w:val="0"/>
        <w:autoSpaceDN w:val="0"/>
        <w:adjustRightInd w:val="0"/>
        <w:spacing w:after="240"/>
        <w:jc w:val="both"/>
        <w:rPr>
          <w:rFonts w:ascii="Arial" w:hAnsi="Arial" w:cs="Arial"/>
          <w:b/>
          <w:sz w:val="22"/>
          <w:szCs w:val="22"/>
        </w:rPr>
      </w:pPr>
    </w:p>
    <w:p w14:paraId="52B8155F" w14:textId="77777777" w:rsidR="00C17258" w:rsidRPr="001B41AD" w:rsidRDefault="00C17258" w:rsidP="00C17258">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W w:w="10487" w:type="dxa"/>
        <w:tblInd w:w="-5" w:type="dxa"/>
        <w:tblCellMar>
          <w:left w:w="10" w:type="dxa"/>
          <w:right w:w="10" w:type="dxa"/>
        </w:tblCellMar>
        <w:tblLook w:val="04A0" w:firstRow="1" w:lastRow="0" w:firstColumn="1" w:lastColumn="0" w:noHBand="0" w:noVBand="1"/>
      </w:tblPr>
      <w:tblGrid>
        <w:gridCol w:w="551"/>
        <w:gridCol w:w="6841"/>
        <w:gridCol w:w="980"/>
        <w:gridCol w:w="1109"/>
        <w:gridCol w:w="1006"/>
      </w:tblGrid>
      <w:tr w:rsidR="00C17258" w:rsidRPr="003C7DED" w14:paraId="67A1D24E" w14:textId="77777777" w:rsidTr="00E930B0">
        <w:tc>
          <w:tcPr>
            <w:tcW w:w="7392" w:type="dxa"/>
            <w:gridSpan w:val="2"/>
            <w:shd w:val="clear" w:color="auto" w:fill="F2F2F2" w:themeFill="background1" w:themeFillShade="F2"/>
          </w:tcPr>
          <w:p w14:paraId="7B18C5A9" w14:textId="77777777" w:rsidR="00C17258" w:rsidRPr="003C7DED" w:rsidRDefault="00C17258" w:rsidP="00E930B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0063D0AC" w14:textId="77777777" w:rsidR="00C17258" w:rsidRDefault="00C17258" w:rsidP="00E930B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048F5BC" w14:textId="77777777" w:rsidR="00C17258" w:rsidRDefault="00C17258" w:rsidP="00E930B0">
            <w:pPr>
              <w:autoSpaceDE w:val="0"/>
              <w:autoSpaceDN w:val="0"/>
              <w:adjustRightInd w:val="0"/>
              <w:jc w:val="both"/>
              <w:rPr>
                <w:rFonts w:ascii="Arial" w:hAnsi="Arial" w:cs="Arial"/>
                <w:bCs/>
                <w:sz w:val="22"/>
                <w:szCs w:val="22"/>
              </w:rPr>
            </w:pPr>
          </w:p>
          <w:p w14:paraId="5A07D6F5" w14:textId="77777777" w:rsidR="00C17258" w:rsidRPr="00F11B19" w:rsidRDefault="00C17258" w:rsidP="00E930B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79CE5CE8" w14:textId="77777777" w:rsidR="00C17258" w:rsidRPr="003C7DED"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7CCF35E0" w14:textId="77777777" w:rsidR="00C17258" w:rsidRPr="003C7DED"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3452CD7C" w14:textId="77777777" w:rsidR="00C17258" w:rsidRPr="003C7DED" w:rsidRDefault="00C17258" w:rsidP="00E930B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7258" w:rsidRPr="003C7DED" w14:paraId="3CA1F0EE" w14:textId="77777777" w:rsidTr="00E930B0">
        <w:trPr>
          <w:trHeight w:val="439"/>
        </w:trPr>
        <w:tc>
          <w:tcPr>
            <w:tcW w:w="551" w:type="dxa"/>
            <w:shd w:val="clear" w:color="auto" w:fill="F2F2F2" w:themeFill="background1" w:themeFillShade="F2"/>
            <w:vAlign w:val="center"/>
          </w:tcPr>
          <w:p w14:paraId="460DE662"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E4C1498" w14:textId="77777777" w:rsidR="00C17258" w:rsidRPr="003C7DED" w:rsidRDefault="00C17258" w:rsidP="00E930B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67BEE0A3" w14:textId="77777777" w:rsidR="00C17258" w:rsidRPr="003C7DED"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20BCA9C1"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0C9111B"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5AB2BACB" w14:textId="77777777" w:rsidTr="00E930B0">
        <w:trPr>
          <w:trHeight w:val="403"/>
        </w:trPr>
        <w:tc>
          <w:tcPr>
            <w:tcW w:w="551" w:type="dxa"/>
            <w:shd w:val="clear" w:color="auto" w:fill="F2F2F2" w:themeFill="background1" w:themeFillShade="F2"/>
            <w:vAlign w:val="center"/>
          </w:tcPr>
          <w:p w14:paraId="2BA4B62D"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8EDA7E0"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004E19D1"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F410772"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0CC773D0" w14:textId="77777777" w:rsidR="00C17258"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16D34A16" w14:textId="77777777" w:rsidTr="00E930B0">
        <w:trPr>
          <w:trHeight w:val="403"/>
        </w:trPr>
        <w:tc>
          <w:tcPr>
            <w:tcW w:w="551" w:type="dxa"/>
            <w:shd w:val="clear" w:color="auto" w:fill="F2F2F2" w:themeFill="background1" w:themeFillShade="F2"/>
            <w:vAlign w:val="center"/>
          </w:tcPr>
          <w:p w14:paraId="15B4DB7C"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654E070"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113311F7"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F44EC12"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42216959" w14:textId="77777777" w:rsidR="00C17258"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438702AF" w14:textId="77777777" w:rsidTr="00E930B0">
        <w:trPr>
          <w:trHeight w:val="403"/>
        </w:trPr>
        <w:tc>
          <w:tcPr>
            <w:tcW w:w="551" w:type="dxa"/>
            <w:shd w:val="clear" w:color="auto" w:fill="F2F2F2" w:themeFill="background1" w:themeFillShade="F2"/>
            <w:vAlign w:val="center"/>
          </w:tcPr>
          <w:p w14:paraId="42CDDDCC"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6EC2B09A"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3DFDE773"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50A50902" w14:textId="77777777" w:rsidR="00C17258"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66577095" w14:textId="77777777" w:rsidR="00C17258"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3C74D4EE" w14:textId="77777777" w:rsidTr="00E930B0">
        <w:trPr>
          <w:trHeight w:val="403"/>
        </w:trPr>
        <w:tc>
          <w:tcPr>
            <w:tcW w:w="551" w:type="dxa"/>
            <w:shd w:val="clear" w:color="auto" w:fill="F2F2F2" w:themeFill="background1" w:themeFillShade="F2"/>
            <w:vAlign w:val="center"/>
          </w:tcPr>
          <w:p w14:paraId="2D7EC566"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3679B04"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68B2D4CC"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2F9A8920" w14:textId="77777777" w:rsidR="00C17258"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68B637F" w14:textId="77777777" w:rsidR="00C17258"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7F08D051" w14:textId="77777777" w:rsidTr="00E930B0">
        <w:trPr>
          <w:trHeight w:val="439"/>
        </w:trPr>
        <w:tc>
          <w:tcPr>
            <w:tcW w:w="551" w:type="dxa"/>
            <w:shd w:val="clear" w:color="auto" w:fill="F2F2F2" w:themeFill="background1" w:themeFillShade="F2"/>
            <w:vAlign w:val="center"/>
          </w:tcPr>
          <w:p w14:paraId="69198779"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136F2512" w14:textId="77777777" w:rsidR="00C17258" w:rsidRPr="003C7DED" w:rsidRDefault="00C17258" w:rsidP="00E930B0">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29EDDD89"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25589AE0"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533A4F80"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000ADDBB" w14:textId="77777777" w:rsidTr="00E930B0">
        <w:trPr>
          <w:trHeight w:val="403"/>
        </w:trPr>
        <w:tc>
          <w:tcPr>
            <w:tcW w:w="551" w:type="dxa"/>
            <w:shd w:val="clear" w:color="auto" w:fill="F2F2F2" w:themeFill="background1" w:themeFillShade="F2"/>
            <w:vAlign w:val="center"/>
          </w:tcPr>
          <w:p w14:paraId="102CA612"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BEBB0B8" w14:textId="77777777" w:rsidR="00C17258" w:rsidRPr="003C7DED" w:rsidRDefault="00C17258" w:rsidP="00E930B0">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3BE754D1"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34ADA4D4"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049916C3"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428A78E4" w14:textId="77777777" w:rsidTr="00E930B0">
        <w:trPr>
          <w:trHeight w:val="403"/>
        </w:trPr>
        <w:tc>
          <w:tcPr>
            <w:tcW w:w="551" w:type="dxa"/>
            <w:shd w:val="clear" w:color="auto" w:fill="F2F2F2" w:themeFill="background1" w:themeFillShade="F2"/>
            <w:vAlign w:val="center"/>
          </w:tcPr>
          <w:p w14:paraId="3BE90CD3"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769DD5D7" w14:textId="77777777" w:rsidR="00C17258" w:rsidRPr="003C7DED" w:rsidRDefault="00C17258" w:rsidP="00E930B0">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202182C2" w14:textId="77777777" w:rsidR="00C17258" w:rsidRPr="003C7DED"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40A20473" w14:textId="77777777" w:rsidR="00C17258" w:rsidRPr="003C7DED"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22917D8E"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5E094C87" w14:textId="77777777" w:rsidTr="00E930B0">
        <w:trPr>
          <w:trHeight w:val="403"/>
        </w:trPr>
        <w:tc>
          <w:tcPr>
            <w:tcW w:w="551" w:type="dxa"/>
            <w:shd w:val="clear" w:color="auto" w:fill="F2F2F2" w:themeFill="background1" w:themeFillShade="F2"/>
            <w:vAlign w:val="center"/>
          </w:tcPr>
          <w:p w14:paraId="554CA788"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8C3EB0A" w14:textId="77777777" w:rsidR="00C17258" w:rsidRPr="003C7DED" w:rsidRDefault="00C17258" w:rsidP="00E930B0">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0F1CC849" w14:textId="77777777" w:rsidR="00C17258" w:rsidRPr="003C7DED" w:rsidRDefault="00C17258" w:rsidP="00E930B0">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E3C507D"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AE8BF8C"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148293AB" w14:textId="77777777" w:rsidTr="00E930B0">
        <w:trPr>
          <w:trHeight w:val="439"/>
        </w:trPr>
        <w:tc>
          <w:tcPr>
            <w:tcW w:w="551" w:type="dxa"/>
            <w:shd w:val="clear" w:color="auto" w:fill="F2F2F2" w:themeFill="background1" w:themeFillShade="F2"/>
            <w:vAlign w:val="center"/>
          </w:tcPr>
          <w:p w14:paraId="25C9BBC0"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47346D05" w14:textId="77777777" w:rsidR="00C17258" w:rsidRPr="003C7DED" w:rsidRDefault="00C17258" w:rsidP="00E930B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41474277" w14:textId="77777777" w:rsidR="00C17258" w:rsidRPr="003C7DED"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65CDAD6A" w14:textId="77777777" w:rsidR="00C17258" w:rsidRPr="003C7DED"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1E82A1B6" w14:textId="77777777" w:rsidR="00C17258" w:rsidRPr="003C7DED"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78A3A938" w14:textId="77777777" w:rsidTr="00E930B0">
        <w:trPr>
          <w:trHeight w:val="439"/>
        </w:trPr>
        <w:tc>
          <w:tcPr>
            <w:tcW w:w="551" w:type="dxa"/>
            <w:shd w:val="clear" w:color="auto" w:fill="F2F2F2" w:themeFill="background1" w:themeFillShade="F2"/>
            <w:vAlign w:val="center"/>
          </w:tcPr>
          <w:p w14:paraId="7067C4B6" w14:textId="77777777" w:rsidR="00C17258" w:rsidRPr="003C7DED" w:rsidRDefault="00C17258" w:rsidP="00E930B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7F25FCB" w14:textId="77777777" w:rsidR="00C17258" w:rsidRDefault="00C17258" w:rsidP="00E930B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851DB52"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475793D5" w14:textId="77777777" w:rsidR="00C17258" w:rsidRDefault="00C17258" w:rsidP="00E930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05CF3151" w14:textId="77777777" w:rsidR="00C17258" w:rsidRDefault="00C17258" w:rsidP="00E930B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7258" w:rsidRPr="003C7DED" w14:paraId="5EFE0561" w14:textId="77777777" w:rsidTr="00E930B0">
        <w:trPr>
          <w:trHeight w:val="403"/>
        </w:trPr>
        <w:tc>
          <w:tcPr>
            <w:tcW w:w="10487" w:type="dxa"/>
            <w:gridSpan w:val="5"/>
            <w:shd w:val="clear" w:color="auto" w:fill="F2F2F2" w:themeFill="background1" w:themeFillShade="F2"/>
            <w:vAlign w:val="center"/>
          </w:tcPr>
          <w:p w14:paraId="399FBD69" w14:textId="77777777" w:rsidR="00C17258" w:rsidRPr="003C7DED" w:rsidRDefault="00C17258" w:rsidP="00E930B0">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p w14:paraId="4032268F" w14:textId="77777777" w:rsidR="00C17258" w:rsidRDefault="00C17258" w:rsidP="00E930B0"/>
        </w:tc>
      </w:tr>
      <w:tr w:rsidR="00C17258" w:rsidRPr="003C7DED" w14:paraId="6388E725" w14:textId="77777777" w:rsidTr="00E930B0">
        <w:trPr>
          <w:trHeight w:val="403"/>
        </w:trPr>
        <w:tc>
          <w:tcPr>
            <w:tcW w:w="551" w:type="dxa"/>
            <w:vAlign w:val="center"/>
          </w:tcPr>
          <w:p w14:paraId="52213460" w14:textId="77777777" w:rsidR="00C17258" w:rsidRPr="003C7DED" w:rsidRDefault="00C17258" w:rsidP="00E930B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EE3346B" w14:textId="77777777" w:rsidR="00C17258" w:rsidRPr="001B41AD" w:rsidRDefault="00C17258" w:rsidP="00E930B0">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4D5EDC24" w14:textId="77777777" w:rsidR="00C17258" w:rsidRDefault="00C17258" w:rsidP="00E930B0">
            <w:pPr>
              <w:autoSpaceDE w:val="0"/>
              <w:autoSpaceDN w:val="0"/>
              <w:adjustRightInd w:val="0"/>
              <w:rPr>
                <w:rFonts w:ascii="Arial" w:hAnsi="Arial" w:cs="Arial"/>
                <w:i/>
                <w:color w:val="808080"/>
                <w:sz w:val="18"/>
                <w:szCs w:val="18"/>
              </w:rPr>
            </w:pPr>
          </w:p>
          <w:p w14:paraId="4B3020CD" w14:textId="77777777" w:rsidR="00C17258" w:rsidRPr="003C7DED" w:rsidRDefault="00C17258" w:rsidP="00E930B0">
            <w:pPr>
              <w:autoSpaceDE w:val="0"/>
              <w:autoSpaceDN w:val="0"/>
              <w:adjustRightInd w:val="0"/>
              <w:rPr>
                <w:rFonts w:ascii="Arial" w:hAnsi="Arial" w:cs="Arial"/>
              </w:rPr>
            </w:pPr>
            <w:r>
              <w:rPr>
                <w:rFonts w:ascii="Arial" w:hAnsi="Arial" w:cs="Arial"/>
                <w:i/>
                <w:color w:val="808080"/>
                <w:sz w:val="18"/>
                <w:szCs w:val="18"/>
              </w:rPr>
              <w:t>(this box should expand as you type)</w:t>
            </w:r>
          </w:p>
          <w:p w14:paraId="10673C81" w14:textId="77777777" w:rsidR="00C17258" w:rsidRDefault="00C17258" w:rsidP="00E930B0"/>
        </w:tc>
      </w:tr>
    </w:tbl>
    <w:p w14:paraId="16185ED2" w14:textId="77777777" w:rsidR="00C17258" w:rsidRDefault="00C17258" w:rsidP="00C17258">
      <w:pPr>
        <w:rPr>
          <w:rFonts w:ascii="Arial" w:hAnsi="Arial" w:cs="Arial"/>
          <w:b/>
          <w:bCs/>
          <w:sz w:val="22"/>
          <w:szCs w:val="22"/>
        </w:rPr>
      </w:pPr>
    </w:p>
    <w:p w14:paraId="3FFA52BD" w14:textId="77777777" w:rsidR="00C17258" w:rsidRDefault="00C17258" w:rsidP="00C17258">
      <w:pPr>
        <w:rPr>
          <w:rFonts w:ascii="Arial" w:hAnsi="Arial" w:cs="Arial"/>
          <w:b/>
          <w:bCs/>
          <w:sz w:val="22"/>
          <w:szCs w:val="22"/>
        </w:rPr>
      </w:pPr>
    </w:p>
    <w:p w14:paraId="0144FC33" w14:textId="77777777" w:rsidR="00C17258" w:rsidRPr="00354F34" w:rsidRDefault="00C17258" w:rsidP="00C17258">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A0" w:firstRow="1" w:lastRow="0" w:firstColumn="1" w:lastColumn="0" w:noHBand="0" w:noVBand="0"/>
      </w:tblPr>
      <w:tblGrid>
        <w:gridCol w:w="8"/>
        <w:gridCol w:w="554"/>
        <w:gridCol w:w="2835"/>
        <w:gridCol w:w="4949"/>
        <w:gridCol w:w="10"/>
        <w:gridCol w:w="2123"/>
        <w:gridCol w:w="6"/>
      </w:tblGrid>
      <w:tr w:rsidR="00C17258" w:rsidRPr="004C3A0B" w14:paraId="20AB4FAB" w14:textId="77777777" w:rsidTr="00E930B0">
        <w:trPr>
          <w:gridBefore w:val="1"/>
          <w:wBefore w:w="8" w:type="dxa"/>
          <w:trHeight w:val="1807"/>
        </w:trPr>
        <w:tc>
          <w:tcPr>
            <w:tcW w:w="554" w:type="dxa"/>
            <w:shd w:val="clear" w:color="auto" w:fill="F2F2F2" w:themeFill="background1" w:themeFillShade="F2"/>
            <w:vAlign w:val="center"/>
          </w:tcPr>
          <w:p w14:paraId="4E8BD458" w14:textId="77777777" w:rsidR="00C17258" w:rsidRPr="004C3A0B" w:rsidRDefault="00C17258" w:rsidP="00E930B0">
            <w:pPr>
              <w:jc w:val="center"/>
              <w:rPr>
                <w:rFonts w:ascii="Arial" w:hAnsi="Arial" w:cs="Arial"/>
                <w:sz w:val="22"/>
                <w:szCs w:val="22"/>
              </w:rPr>
            </w:pPr>
          </w:p>
        </w:tc>
        <w:tc>
          <w:tcPr>
            <w:tcW w:w="9923" w:type="dxa"/>
            <w:gridSpan w:val="5"/>
            <w:shd w:val="clear" w:color="auto" w:fill="F2F2F2" w:themeFill="background1" w:themeFillShade="F2"/>
            <w:vAlign w:val="center"/>
          </w:tcPr>
          <w:p w14:paraId="655E0710" w14:textId="77777777" w:rsidR="00C17258" w:rsidRPr="004C3A0B" w:rsidRDefault="00C17258" w:rsidP="00E930B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341E6F9" w14:textId="77777777" w:rsidR="00C17258" w:rsidRPr="004C3A0B" w:rsidRDefault="00C17258" w:rsidP="00E930B0">
            <w:pPr>
              <w:jc w:val="both"/>
              <w:rPr>
                <w:rFonts w:ascii="Arial" w:hAnsi="Arial" w:cs="Arial"/>
                <w:b/>
                <w:bCs/>
                <w:color w:val="000000"/>
                <w:sz w:val="22"/>
                <w:szCs w:val="22"/>
              </w:rPr>
            </w:pPr>
          </w:p>
          <w:p w14:paraId="7246C974" w14:textId="77777777" w:rsidR="00C17258" w:rsidRPr="004C3A0B" w:rsidRDefault="00C17258" w:rsidP="00E930B0">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17258" w:rsidRPr="004C3A0B" w14:paraId="554B7178" w14:textId="77777777" w:rsidTr="00E930B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C1595" w14:textId="77777777" w:rsidR="00C17258" w:rsidRPr="00BC301B" w:rsidRDefault="00C17258" w:rsidP="00E930B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4D364" w14:textId="77777777" w:rsidR="00C17258" w:rsidRPr="004C3A0B" w:rsidRDefault="00C17258" w:rsidP="00E930B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0BDE6A24" w14:textId="77777777" w:rsidR="00C17258" w:rsidRPr="009531A1" w:rsidRDefault="00C17258" w:rsidP="00E930B0">
            <w:pPr>
              <w:spacing w:before="100" w:beforeAutospacing="1" w:after="100" w:afterAutospacing="1"/>
              <w:rPr>
                <w:rFonts w:ascii="Arial" w:hAnsi="Arial" w:cs="Arial"/>
                <w:sz w:val="28"/>
                <w:szCs w:val="28"/>
              </w:rPr>
            </w:pPr>
          </w:p>
          <w:p w14:paraId="6E9A8D24" w14:textId="77777777" w:rsidR="00C17258" w:rsidRDefault="00C17258" w:rsidP="00E930B0">
            <w:proofErr w:type="spellStart"/>
            <w:r w:rsidRPr="009531A1">
              <w:rPr>
                <w:rFonts w:ascii="Calibri" w:hAnsi="Calibri"/>
                <w:color w:val="0D0D0D" w:themeColor="text1" w:themeTint="F2"/>
                <w:sz w:val="28"/>
                <w:szCs w:val="28"/>
              </w:rPr>
              <w:t>Almahender</w:t>
            </w:r>
            <w:proofErr w:type="spellEnd"/>
            <w:r w:rsidRPr="009531A1">
              <w:rPr>
                <w:rFonts w:ascii="Calibri" w:hAnsi="Calibri"/>
                <w:color w:val="0D0D0D" w:themeColor="text1" w:themeTint="F2"/>
                <w:sz w:val="28"/>
                <w:szCs w:val="28"/>
              </w:rPr>
              <w:t xml:space="preserve"> singh</w:t>
            </w:r>
          </w:p>
        </w:tc>
        <w:tc>
          <w:tcPr>
            <w:tcW w:w="2139" w:type="dxa"/>
            <w:gridSpan w:val="3"/>
            <w:vAlign w:val="center"/>
          </w:tcPr>
          <w:p w14:paraId="3A258268" w14:textId="77777777" w:rsidR="00C17258" w:rsidRDefault="00C17258" w:rsidP="00E930B0">
            <w:pPr>
              <w:spacing w:before="100" w:beforeAutospacing="1" w:after="100" w:afterAutospacing="1"/>
              <w:rPr>
                <w:rFonts w:ascii="Arial" w:hAnsi="Arial" w:cs="Arial"/>
                <w:b/>
                <w:bCs/>
                <w:sz w:val="22"/>
                <w:szCs w:val="22"/>
              </w:rPr>
            </w:pPr>
            <w:r>
              <w:rPr>
                <w:rFonts w:ascii="Arial" w:hAnsi="Arial" w:cs="Arial"/>
                <w:b/>
                <w:bCs/>
                <w:sz w:val="22"/>
                <w:szCs w:val="22"/>
              </w:rPr>
              <w:t>Date:</w:t>
            </w:r>
          </w:p>
          <w:p w14:paraId="4C08B203" w14:textId="77777777" w:rsidR="00C17258" w:rsidRPr="004C3A0B" w:rsidRDefault="00C17258" w:rsidP="00E930B0">
            <w:pPr>
              <w:spacing w:before="100" w:beforeAutospacing="1" w:after="100" w:afterAutospacing="1"/>
              <w:rPr>
                <w:rFonts w:ascii="Arial" w:hAnsi="Arial" w:cs="Arial"/>
                <w:sz w:val="22"/>
                <w:szCs w:val="22"/>
              </w:rPr>
            </w:pPr>
          </w:p>
          <w:p w14:paraId="04A1FBF4" w14:textId="77777777" w:rsidR="00C17258" w:rsidRPr="009531A1" w:rsidRDefault="00C17258" w:rsidP="00E930B0">
            <w:pPr>
              <w:rPr>
                <w:rFonts w:ascii="Calibri" w:hAnsi="Calibri"/>
                <w:color w:val="1F4E79"/>
                <w:sz w:val="22"/>
              </w:rPr>
            </w:pPr>
            <w:r>
              <w:rPr>
                <w:rFonts w:ascii="Calibri" w:hAnsi="Calibri"/>
                <w:color w:val="1F4E79"/>
                <w:sz w:val="22"/>
              </w:rPr>
              <w:t>10/7/2026</w:t>
            </w:r>
          </w:p>
        </w:tc>
      </w:tr>
      <w:tr w:rsidR="00C17258" w:rsidRPr="004C3A0B" w14:paraId="7244AEBB" w14:textId="77777777" w:rsidTr="00E930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4A4CDA6A" w14:textId="77777777" w:rsidR="00C17258" w:rsidRPr="004C3A0B" w:rsidRDefault="00C17258" w:rsidP="00E930B0">
            <w:pPr>
              <w:pStyle w:val="ListParagraph"/>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0163FBD7" w14:textId="77777777" w:rsidR="00C17258" w:rsidRPr="004C3A0B" w:rsidRDefault="00C17258" w:rsidP="00E930B0">
            <w:pPr>
              <w:pStyle w:val="ListParagraph"/>
              <w:rPr>
                <w:rFonts w:ascii="Arial" w:hAnsi="Arial" w:cs="Arial"/>
              </w:rPr>
            </w:pPr>
            <w:r>
              <w:rPr>
                <w:rFonts w:ascii="Arial" w:hAnsi="Arial" w:cs="Arial"/>
              </w:rPr>
              <w:t>Supervisor:</w:t>
            </w:r>
          </w:p>
        </w:tc>
        <w:tc>
          <w:tcPr>
            <w:tcW w:w="4959" w:type="dxa"/>
            <w:gridSpan w:val="2"/>
            <w:vAlign w:val="center"/>
          </w:tcPr>
          <w:p w14:paraId="73C106B9" w14:textId="77777777" w:rsidR="00C17258" w:rsidRPr="004C3A0B" w:rsidRDefault="00C17258" w:rsidP="00E930B0">
            <w:pPr>
              <w:pStyle w:val="ListParagraph"/>
              <w:rPr>
                <w:rFonts w:ascii="Arial" w:hAnsi="Arial" w:cs="Arial"/>
              </w:rPr>
            </w:pPr>
          </w:p>
          <w:p w14:paraId="4F2BDA13" w14:textId="77777777" w:rsidR="00C17258" w:rsidRDefault="00C17258" w:rsidP="00E930B0">
            <w:r w:rsidRPr="00EA051A">
              <w:rPr>
                <w:rFonts w:ascii="Arial" w:hAnsi="Arial" w:cs="Arial"/>
                <w:sz w:val="22"/>
                <w:szCs w:val="22"/>
              </w:rPr>
              <w:t>Alireza Nazarian</w:t>
            </w:r>
          </w:p>
        </w:tc>
        <w:tc>
          <w:tcPr>
            <w:tcW w:w="2123" w:type="dxa"/>
            <w:vMerge w:val="restart"/>
          </w:tcPr>
          <w:p w14:paraId="6059DB73" w14:textId="77777777" w:rsidR="00C17258" w:rsidRPr="004C3A0B" w:rsidRDefault="00C17258" w:rsidP="00E930B0">
            <w:pPr>
              <w:pStyle w:val="ListParagraph"/>
              <w:rPr>
                <w:rFonts w:ascii="Arial" w:hAnsi="Arial" w:cs="Arial"/>
              </w:rPr>
            </w:pPr>
            <w:r>
              <w:rPr>
                <w:rFonts w:ascii="Arial" w:hAnsi="Arial" w:cs="Arial"/>
                <w:b/>
                <w:bCs/>
              </w:rPr>
              <w:t>Date:</w:t>
            </w:r>
            <w:r>
              <w:rPr>
                <w:color w:val="1F4E79"/>
              </w:rPr>
              <w:t xml:space="preserve"> 17/7/2026</w:t>
            </w:r>
          </w:p>
        </w:tc>
      </w:tr>
      <w:tr w:rsidR="00C17258" w:rsidRPr="004C3A0B" w14:paraId="76EFA7E5" w14:textId="77777777" w:rsidTr="00E930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4FF0219C" w14:textId="77777777" w:rsidR="00C17258" w:rsidRPr="004C3A0B" w:rsidRDefault="00C17258" w:rsidP="00E930B0">
            <w:pPr>
              <w:pStyle w:val="ListParagraph"/>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4A464A3E" w14:textId="77777777" w:rsidR="00C17258" w:rsidRPr="004C3A0B" w:rsidRDefault="00C17258" w:rsidP="00E930B0">
            <w:pPr>
              <w:pStyle w:val="ListParagraph"/>
              <w:rPr>
                <w:rFonts w:ascii="Arial" w:hAnsi="Arial" w:cs="Arial"/>
              </w:rPr>
            </w:pPr>
            <w:r>
              <w:rPr>
                <w:rFonts w:ascii="Arial" w:hAnsi="Arial" w:cs="Arial"/>
              </w:rPr>
              <w:t>Signature:</w:t>
            </w:r>
          </w:p>
        </w:tc>
        <w:tc>
          <w:tcPr>
            <w:tcW w:w="4959" w:type="dxa"/>
            <w:gridSpan w:val="2"/>
            <w:vAlign w:val="center"/>
          </w:tcPr>
          <w:p w14:paraId="059B0DEF" w14:textId="77777777" w:rsidR="00C17258" w:rsidRPr="004C3A0B" w:rsidRDefault="00C17258" w:rsidP="00E930B0">
            <w:pPr>
              <w:pStyle w:val="ListParagraph"/>
              <w:rPr>
                <w:rFonts w:ascii="Arial" w:hAnsi="Arial" w:cs="Arial"/>
              </w:rPr>
            </w:pPr>
          </w:p>
          <w:p w14:paraId="28724266" w14:textId="77777777" w:rsidR="00C17258" w:rsidRPr="004C3A0B" w:rsidRDefault="00C17258" w:rsidP="00E930B0">
            <w:pPr>
              <w:pStyle w:val="ListParagraph"/>
              <w:rPr>
                <w:rFonts w:ascii="Arial" w:hAnsi="Arial" w:cs="Arial"/>
              </w:rPr>
            </w:pPr>
            <w:r w:rsidRPr="00EA051A">
              <w:rPr>
                <w:rFonts w:ascii="Arial" w:hAnsi="Arial" w:cs="Arial"/>
              </w:rPr>
              <w:t>Alireza Nazarian</w:t>
            </w:r>
          </w:p>
        </w:tc>
        <w:tc>
          <w:tcPr>
            <w:tcW w:w="2123" w:type="dxa"/>
            <w:vMerge/>
            <w:vAlign w:val="center"/>
          </w:tcPr>
          <w:p w14:paraId="4269FBDA" w14:textId="77777777" w:rsidR="00C17258" w:rsidRPr="004C3A0B" w:rsidRDefault="00C17258" w:rsidP="00E930B0">
            <w:pPr>
              <w:pStyle w:val="ListParagraph"/>
              <w:rPr>
                <w:rFonts w:ascii="Arial" w:hAnsi="Arial" w:cs="Arial"/>
              </w:rPr>
            </w:pPr>
          </w:p>
        </w:tc>
      </w:tr>
    </w:tbl>
    <w:p w14:paraId="6308E3E4" w14:textId="77777777" w:rsidR="00C17258" w:rsidRDefault="00C17258" w:rsidP="00C17258">
      <w:pPr>
        <w:rPr>
          <w:rFonts w:ascii="Arial" w:hAnsi="Arial" w:cs="Arial"/>
          <w:sz w:val="22"/>
          <w:szCs w:val="22"/>
        </w:rPr>
      </w:pPr>
    </w:p>
    <w:p w14:paraId="78F5BBBC" w14:textId="74DC3580" w:rsidR="00997FE4" w:rsidRDefault="00997FE4">
      <w:pPr>
        <w:spacing w:after="160" w:line="276" w:lineRule="auto"/>
        <w:ind w:left="720" w:hanging="720"/>
      </w:pPr>
    </w:p>
    <w:sectPr w:rsidR="00997FE4">
      <w:pgSz w:w="11906" w:h="16838"/>
      <w:pgMar w:top="1134" w:right="1134" w:bottom="1134" w:left="1134"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15C71"/>
    <w:multiLevelType w:val="multilevel"/>
    <w:tmpl w:val="2F3EB1F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F9673C8"/>
    <w:multiLevelType w:val="hybridMultilevel"/>
    <w:tmpl w:val="11066130"/>
    <w:lvl w:ilvl="0" w:tplc="089810C6">
      <w:start w:val="1"/>
      <w:numFmt w:val="bullet"/>
      <w:lvlText w:val="•"/>
      <w:lvlJc w:val="left"/>
      <w:pPr>
        <w:ind w:left="720" w:hanging="360"/>
      </w:pPr>
    </w:lvl>
    <w:lvl w:ilvl="1" w:tplc="C07A7BF0">
      <w:numFmt w:val="decimal"/>
      <w:lvlText w:val=""/>
      <w:lvlJc w:val="left"/>
    </w:lvl>
    <w:lvl w:ilvl="2" w:tplc="282209D2">
      <w:numFmt w:val="decimal"/>
      <w:lvlText w:val=""/>
      <w:lvlJc w:val="left"/>
    </w:lvl>
    <w:lvl w:ilvl="3" w:tplc="0FC2E630">
      <w:numFmt w:val="decimal"/>
      <w:lvlText w:val=""/>
      <w:lvlJc w:val="left"/>
    </w:lvl>
    <w:lvl w:ilvl="4" w:tplc="50DA2952">
      <w:numFmt w:val="decimal"/>
      <w:lvlText w:val=""/>
      <w:lvlJc w:val="left"/>
    </w:lvl>
    <w:lvl w:ilvl="5" w:tplc="7B78067A">
      <w:numFmt w:val="decimal"/>
      <w:lvlText w:val=""/>
      <w:lvlJc w:val="left"/>
    </w:lvl>
    <w:lvl w:ilvl="6" w:tplc="E6D40698">
      <w:numFmt w:val="decimal"/>
      <w:lvlText w:val=""/>
      <w:lvlJc w:val="left"/>
    </w:lvl>
    <w:lvl w:ilvl="7" w:tplc="34DADA94">
      <w:numFmt w:val="decimal"/>
      <w:lvlText w:val=""/>
      <w:lvlJc w:val="left"/>
    </w:lvl>
    <w:lvl w:ilvl="8" w:tplc="15F607B2">
      <w:numFmt w:val="decimal"/>
      <w:lvlText w:val=""/>
      <w:lvlJc w:val="left"/>
    </w:lvl>
  </w:abstractNum>
  <w:abstractNum w:abstractNumId="2" w15:restartNumberingAfterBreak="0">
    <w:nsid w:val="21685605"/>
    <w:multiLevelType w:val="hybridMultilevel"/>
    <w:tmpl w:val="B1440698"/>
    <w:lvl w:ilvl="0" w:tplc="33362FDA">
      <w:start w:val="1"/>
      <w:numFmt w:val="bullet"/>
      <w:lvlText w:val="•"/>
      <w:lvlJc w:val="left"/>
      <w:pPr>
        <w:ind w:left="720" w:hanging="360"/>
      </w:pPr>
    </w:lvl>
    <w:lvl w:ilvl="1" w:tplc="1F102272">
      <w:numFmt w:val="decimal"/>
      <w:lvlText w:val=""/>
      <w:lvlJc w:val="left"/>
    </w:lvl>
    <w:lvl w:ilvl="2" w:tplc="D518B90E">
      <w:numFmt w:val="decimal"/>
      <w:lvlText w:val=""/>
      <w:lvlJc w:val="left"/>
    </w:lvl>
    <w:lvl w:ilvl="3" w:tplc="FE188AB6">
      <w:numFmt w:val="decimal"/>
      <w:lvlText w:val=""/>
      <w:lvlJc w:val="left"/>
    </w:lvl>
    <w:lvl w:ilvl="4" w:tplc="D0749888">
      <w:numFmt w:val="decimal"/>
      <w:lvlText w:val=""/>
      <w:lvlJc w:val="left"/>
    </w:lvl>
    <w:lvl w:ilvl="5" w:tplc="0436C734">
      <w:numFmt w:val="decimal"/>
      <w:lvlText w:val=""/>
      <w:lvlJc w:val="left"/>
    </w:lvl>
    <w:lvl w:ilvl="6" w:tplc="B94E987C">
      <w:numFmt w:val="decimal"/>
      <w:lvlText w:val=""/>
      <w:lvlJc w:val="left"/>
    </w:lvl>
    <w:lvl w:ilvl="7" w:tplc="50E02A94">
      <w:numFmt w:val="decimal"/>
      <w:lvlText w:val=""/>
      <w:lvlJc w:val="left"/>
    </w:lvl>
    <w:lvl w:ilvl="8" w:tplc="EE0C049C">
      <w:numFmt w:val="decimal"/>
      <w:lvlText w:val=""/>
      <w:lvlJc w:val="left"/>
    </w:lvl>
  </w:abstractNum>
  <w:abstractNum w:abstractNumId="3" w15:restartNumberingAfterBreak="0">
    <w:nsid w:val="5A9A13FC"/>
    <w:multiLevelType w:val="hybridMultilevel"/>
    <w:tmpl w:val="CE5670A6"/>
    <w:lvl w:ilvl="0" w:tplc="1CBCB2A2">
      <w:start w:val="1"/>
      <w:numFmt w:val="bullet"/>
      <w:lvlText w:val="●"/>
      <w:lvlJc w:val="left"/>
      <w:pPr>
        <w:ind w:left="720" w:hanging="360"/>
      </w:pPr>
    </w:lvl>
    <w:lvl w:ilvl="1" w:tplc="6DDE7B6A">
      <w:start w:val="1"/>
      <w:numFmt w:val="bullet"/>
      <w:lvlText w:val="○"/>
      <w:lvlJc w:val="left"/>
      <w:pPr>
        <w:ind w:left="1440" w:hanging="360"/>
      </w:pPr>
    </w:lvl>
    <w:lvl w:ilvl="2" w:tplc="F1840C92">
      <w:start w:val="1"/>
      <w:numFmt w:val="bullet"/>
      <w:lvlText w:val="■"/>
      <w:lvlJc w:val="left"/>
      <w:pPr>
        <w:ind w:left="2160" w:hanging="360"/>
      </w:pPr>
    </w:lvl>
    <w:lvl w:ilvl="3" w:tplc="8CDEC898">
      <w:start w:val="1"/>
      <w:numFmt w:val="bullet"/>
      <w:lvlText w:val="●"/>
      <w:lvlJc w:val="left"/>
      <w:pPr>
        <w:ind w:left="2880" w:hanging="360"/>
      </w:pPr>
    </w:lvl>
    <w:lvl w:ilvl="4" w:tplc="E67811AA">
      <w:start w:val="1"/>
      <w:numFmt w:val="bullet"/>
      <w:lvlText w:val="○"/>
      <w:lvlJc w:val="left"/>
      <w:pPr>
        <w:ind w:left="3600" w:hanging="360"/>
      </w:pPr>
    </w:lvl>
    <w:lvl w:ilvl="5" w:tplc="25465B74">
      <w:start w:val="1"/>
      <w:numFmt w:val="bullet"/>
      <w:lvlText w:val="■"/>
      <w:lvlJc w:val="left"/>
      <w:pPr>
        <w:ind w:left="4320" w:hanging="360"/>
      </w:pPr>
    </w:lvl>
    <w:lvl w:ilvl="6" w:tplc="FDAC5C38">
      <w:start w:val="1"/>
      <w:numFmt w:val="bullet"/>
      <w:lvlText w:val="●"/>
      <w:lvlJc w:val="left"/>
      <w:pPr>
        <w:ind w:left="5040" w:hanging="360"/>
      </w:pPr>
    </w:lvl>
    <w:lvl w:ilvl="7" w:tplc="53C409C2">
      <w:start w:val="1"/>
      <w:numFmt w:val="bullet"/>
      <w:lvlText w:val="●"/>
      <w:lvlJc w:val="left"/>
      <w:pPr>
        <w:ind w:left="5760" w:hanging="360"/>
      </w:pPr>
    </w:lvl>
    <w:lvl w:ilvl="8" w:tplc="9C863A9A">
      <w:start w:val="1"/>
      <w:numFmt w:val="bullet"/>
      <w:lvlText w:val="●"/>
      <w:lvlJc w:val="left"/>
      <w:pPr>
        <w:ind w:left="6480" w:hanging="360"/>
      </w:pPr>
    </w:lvl>
  </w:abstractNum>
  <w:abstractNum w:abstractNumId="4" w15:restartNumberingAfterBreak="0">
    <w:nsid w:val="607C2FF3"/>
    <w:multiLevelType w:val="hybridMultilevel"/>
    <w:tmpl w:val="425E86A8"/>
    <w:lvl w:ilvl="0" w:tplc="46F8E4EC">
      <w:start w:val="1"/>
      <w:numFmt w:val="bullet"/>
      <w:lvlText w:val="●"/>
      <w:lvlJc w:val="left"/>
      <w:pPr>
        <w:ind w:left="720" w:hanging="360"/>
      </w:pPr>
    </w:lvl>
    <w:lvl w:ilvl="1" w:tplc="F90A84F4">
      <w:start w:val="1"/>
      <w:numFmt w:val="bullet"/>
      <w:lvlText w:val="○"/>
      <w:lvlJc w:val="left"/>
      <w:pPr>
        <w:ind w:left="1440" w:hanging="360"/>
      </w:pPr>
    </w:lvl>
    <w:lvl w:ilvl="2" w:tplc="E97CD164">
      <w:start w:val="1"/>
      <w:numFmt w:val="bullet"/>
      <w:lvlText w:val="■"/>
      <w:lvlJc w:val="left"/>
      <w:pPr>
        <w:ind w:left="2160" w:hanging="360"/>
      </w:pPr>
    </w:lvl>
    <w:lvl w:ilvl="3" w:tplc="A928CD86">
      <w:start w:val="1"/>
      <w:numFmt w:val="bullet"/>
      <w:lvlText w:val="●"/>
      <w:lvlJc w:val="left"/>
      <w:pPr>
        <w:ind w:left="2880" w:hanging="360"/>
      </w:pPr>
    </w:lvl>
    <w:lvl w:ilvl="4" w:tplc="2D3224B6">
      <w:start w:val="1"/>
      <w:numFmt w:val="bullet"/>
      <w:lvlText w:val="○"/>
      <w:lvlJc w:val="left"/>
      <w:pPr>
        <w:ind w:left="3600" w:hanging="360"/>
      </w:pPr>
    </w:lvl>
    <w:lvl w:ilvl="5" w:tplc="B5168BB4">
      <w:start w:val="1"/>
      <w:numFmt w:val="bullet"/>
      <w:lvlText w:val="■"/>
      <w:lvlJc w:val="left"/>
      <w:pPr>
        <w:ind w:left="4320" w:hanging="360"/>
      </w:pPr>
    </w:lvl>
    <w:lvl w:ilvl="6" w:tplc="FBC8B20A">
      <w:start w:val="1"/>
      <w:numFmt w:val="bullet"/>
      <w:lvlText w:val="●"/>
      <w:lvlJc w:val="left"/>
      <w:pPr>
        <w:ind w:left="5040" w:hanging="360"/>
      </w:pPr>
    </w:lvl>
    <w:lvl w:ilvl="7" w:tplc="BB6C9870">
      <w:start w:val="1"/>
      <w:numFmt w:val="bullet"/>
      <w:lvlText w:val="●"/>
      <w:lvlJc w:val="left"/>
      <w:pPr>
        <w:ind w:left="5760" w:hanging="360"/>
      </w:pPr>
    </w:lvl>
    <w:lvl w:ilvl="8" w:tplc="9A80A2D2">
      <w:start w:val="1"/>
      <w:numFmt w:val="bullet"/>
      <w:lvlText w:val="●"/>
      <w:lvlJc w:val="left"/>
      <w:pPr>
        <w:ind w:left="6480" w:hanging="360"/>
      </w:pPr>
    </w:lvl>
  </w:abstractNum>
  <w:abstractNum w:abstractNumId="5" w15:restartNumberingAfterBreak="0">
    <w:nsid w:val="7F4D7192"/>
    <w:multiLevelType w:val="hybridMultilevel"/>
    <w:tmpl w:val="920C8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49235848">
    <w:abstractNumId w:val="4"/>
    <w:lvlOverride w:ilvl="0">
      <w:startOverride w:val="1"/>
    </w:lvlOverride>
  </w:num>
  <w:num w:numId="2" w16cid:durableId="423765113">
    <w:abstractNumId w:val="1"/>
    <w:lvlOverride w:ilvl="0">
      <w:startOverride w:val="1"/>
    </w:lvlOverride>
  </w:num>
  <w:num w:numId="3" w16cid:durableId="1656488509">
    <w:abstractNumId w:val="5"/>
  </w:num>
  <w:num w:numId="4" w16cid:durableId="1958483790">
    <w:abstractNumId w:val="3"/>
    <w:lvlOverride w:ilvl="0">
      <w:startOverride w:val="1"/>
    </w:lvlOverride>
  </w:num>
  <w:num w:numId="5" w16cid:durableId="1499807516">
    <w:abstractNumId w:val="2"/>
    <w:lvlOverride w:ilvl="0">
      <w:startOverride w:val="1"/>
    </w:lvlOverride>
  </w:num>
  <w:num w:numId="6" w16cid:durableId="939530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7FE4"/>
    <w:rsid w:val="00012229"/>
    <w:rsid w:val="001864AD"/>
    <w:rsid w:val="001A3DA8"/>
    <w:rsid w:val="002564D7"/>
    <w:rsid w:val="0028485E"/>
    <w:rsid w:val="00287EFC"/>
    <w:rsid w:val="002F3288"/>
    <w:rsid w:val="00304F8E"/>
    <w:rsid w:val="00380088"/>
    <w:rsid w:val="00434F0E"/>
    <w:rsid w:val="004539A4"/>
    <w:rsid w:val="004768C0"/>
    <w:rsid w:val="00484EE6"/>
    <w:rsid w:val="004C0054"/>
    <w:rsid w:val="00546450"/>
    <w:rsid w:val="0059700A"/>
    <w:rsid w:val="00673F0F"/>
    <w:rsid w:val="006D1B5C"/>
    <w:rsid w:val="007B3FB4"/>
    <w:rsid w:val="007F26DA"/>
    <w:rsid w:val="008026C7"/>
    <w:rsid w:val="00821B48"/>
    <w:rsid w:val="00860C8A"/>
    <w:rsid w:val="00997FE4"/>
    <w:rsid w:val="00A442AA"/>
    <w:rsid w:val="00A57F53"/>
    <w:rsid w:val="00AC7F26"/>
    <w:rsid w:val="00AE7DD0"/>
    <w:rsid w:val="00B13EDE"/>
    <w:rsid w:val="00B50071"/>
    <w:rsid w:val="00C17258"/>
    <w:rsid w:val="00CE35C0"/>
    <w:rsid w:val="00D23F3E"/>
    <w:rsid w:val="00D35733"/>
    <w:rsid w:val="00DB19B6"/>
    <w:rsid w:val="00E01E85"/>
    <w:rsid w:val="00E12B2D"/>
    <w:rsid w:val="00E409BF"/>
    <w:rsid w:val="00E4496D"/>
    <w:rsid w:val="00E82BF6"/>
    <w:rsid w:val="00EA1359"/>
    <w:rsid w:val="00ED6A26"/>
    <w:rsid w:val="00F031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E7A4B"/>
  <w15:docId w15:val="{ED3205F2-D2A0-4865-9C4E-6D25C684C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478</TotalTime>
  <Pages>59</Pages>
  <Words>26424</Words>
  <Characters>150618</Characters>
  <Application>Microsoft Office Word</Application>
  <DocSecurity>0</DocSecurity>
  <Lines>1255</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mahendra singh</cp:lastModifiedBy>
  <cp:revision>26</cp:revision>
  <dcterms:created xsi:type="dcterms:W3CDTF">2026-08-18T21:19:00Z</dcterms:created>
  <dcterms:modified xsi:type="dcterms:W3CDTF">2026-09-17T12:50:00Z</dcterms:modified>
</cp:coreProperties>
</file>