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B02EF" w14:textId="089BD854" w:rsidR="00253964" w:rsidRPr="00F56F38" w:rsidRDefault="00A560F4">
      <w:pPr>
        <w:rPr>
          <w:rFonts w:ascii="Arial" w:hAnsi="Arial" w:cs="Arial"/>
          <w:b/>
          <w:bCs/>
          <w:sz w:val="22"/>
          <w:szCs w:val="22"/>
          <w:u w:val="single"/>
        </w:rPr>
      </w:pPr>
      <w:r w:rsidRPr="00F56F38">
        <w:rPr>
          <w:rFonts w:ascii="Arial" w:hAnsi="Arial" w:cs="Arial"/>
          <w:b/>
          <w:bCs/>
          <w:sz w:val="22"/>
          <w:szCs w:val="22"/>
          <w:u w:val="single"/>
        </w:rPr>
        <w:t>Choose a Musculoskeletal injury and explain the aetiology, epidemiology, management principles and effects of various health conditions on the chosen injury.</w:t>
      </w:r>
    </w:p>
    <w:p w14:paraId="43CBCE26" w14:textId="16923BA5" w:rsidR="005550F8" w:rsidRPr="00F56F38" w:rsidRDefault="005550F8">
      <w:pPr>
        <w:rPr>
          <w:rFonts w:ascii="Arial" w:hAnsi="Arial" w:cs="Arial"/>
          <w:sz w:val="22"/>
          <w:szCs w:val="22"/>
        </w:rPr>
      </w:pPr>
      <w:r w:rsidRPr="00F56F38">
        <w:rPr>
          <w:rFonts w:ascii="Arial" w:hAnsi="Arial" w:cs="Arial"/>
          <w:sz w:val="22"/>
          <w:szCs w:val="22"/>
        </w:rPr>
        <w:t>Muscu</w:t>
      </w:r>
      <w:r w:rsidR="00906CEA" w:rsidRPr="00F56F38">
        <w:rPr>
          <w:rFonts w:ascii="Arial" w:hAnsi="Arial" w:cs="Arial"/>
          <w:sz w:val="22"/>
          <w:szCs w:val="22"/>
        </w:rPr>
        <w:t xml:space="preserve">loskeletal injuries such as a fractured fibula are common injuries in both sports settings and general populations. However, the presence of underlying health conditions such as bone cancer can significantly impact the healing process and treatment outcomes </w:t>
      </w:r>
      <w:r w:rsidR="00906CEA" w:rsidRPr="00F56F38">
        <w:rPr>
          <w:rFonts w:ascii="Arial" w:hAnsi="Arial" w:cs="Arial"/>
          <w:sz w:val="22"/>
          <w:szCs w:val="22"/>
        </w:rPr>
        <w:t>(</w:t>
      </w:r>
      <w:proofErr w:type="spellStart"/>
      <w:r w:rsidR="00906CEA" w:rsidRPr="00F56F38">
        <w:rPr>
          <w:rFonts w:ascii="Arial" w:hAnsi="Arial" w:cs="Arial"/>
          <w:sz w:val="22"/>
          <w:szCs w:val="22"/>
        </w:rPr>
        <w:t>Mantyh</w:t>
      </w:r>
      <w:proofErr w:type="spellEnd"/>
      <w:r w:rsidR="00906CEA" w:rsidRPr="00F56F38">
        <w:rPr>
          <w:rFonts w:ascii="Arial" w:hAnsi="Arial" w:cs="Arial"/>
          <w:sz w:val="22"/>
          <w:szCs w:val="22"/>
        </w:rPr>
        <w:t>, 2013)</w:t>
      </w:r>
      <w:r w:rsidR="00906CEA" w:rsidRPr="00F56F38">
        <w:rPr>
          <w:rFonts w:ascii="Arial" w:hAnsi="Arial" w:cs="Arial"/>
          <w:sz w:val="22"/>
          <w:szCs w:val="22"/>
        </w:rPr>
        <w:t>. Bone cancer can significantly weaken the bone structure which increases the risk of fractures and having a negative effect on the body’s ability to heal effectively</w:t>
      </w:r>
      <w:r w:rsidR="00FD0A1D" w:rsidRPr="00F56F38">
        <w:rPr>
          <w:rFonts w:ascii="Arial" w:hAnsi="Arial" w:cs="Arial"/>
          <w:sz w:val="22"/>
          <w:szCs w:val="22"/>
        </w:rPr>
        <w:t xml:space="preserve"> </w:t>
      </w:r>
      <w:r w:rsidR="00FD0A1D" w:rsidRPr="00F56F38">
        <w:rPr>
          <w:rFonts w:ascii="Arial" w:hAnsi="Arial" w:cs="Arial"/>
          <w:sz w:val="22"/>
          <w:szCs w:val="22"/>
        </w:rPr>
        <w:t>(Subbiah and West, 2016)</w:t>
      </w:r>
      <w:r w:rsidR="00906CEA" w:rsidRPr="00F56F38">
        <w:rPr>
          <w:rFonts w:ascii="Arial" w:hAnsi="Arial" w:cs="Arial"/>
          <w:sz w:val="22"/>
          <w:szCs w:val="22"/>
        </w:rPr>
        <w:t xml:space="preserve">. This review aims to </w:t>
      </w:r>
      <w:r w:rsidR="00475044" w:rsidRPr="00F56F38">
        <w:rPr>
          <w:rFonts w:ascii="Arial" w:hAnsi="Arial" w:cs="Arial"/>
          <w:sz w:val="22"/>
          <w:szCs w:val="22"/>
        </w:rPr>
        <w:t xml:space="preserve">explore the impact of bone cancer on fibular fractures and will research how it affects fracture management, recovery times and treatment strategies, all with the complicated addition of weakened bone tissue. </w:t>
      </w:r>
    </w:p>
    <w:p w14:paraId="73F66081" w14:textId="7B035C3F" w:rsidR="00FF165D" w:rsidRPr="00F56F38" w:rsidRDefault="00FF165D" w:rsidP="00FF165D">
      <w:pPr>
        <w:rPr>
          <w:rFonts w:ascii="Arial" w:hAnsi="Arial" w:cs="Arial"/>
          <w:sz w:val="22"/>
          <w:szCs w:val="22"/>
        </w:rPr>
      </w:pPr>
      <w:r w:rsidRPr="00F56F38">
        <w:rPr>
          <w:rFonts w:ascii="Arial" w:hAnsi="Arial" w:cs="Arial"/>
          <w:sz w:val="22"/>
          <w:szCs w:val="22"/>
        </w:rPr>
        <w:t>A fibula fracture is an injury that affects individuals across various age groups, however there is a bracket of individuals that are more commonly affected. Hootman, Dick and Agel (2007) found that the most common age range was males between 15 and 35, particularly athletes who participate</w:t>
      </w:r>
      <w:r w:rsidR="007C64B9" w:rsidRPr="00F56F38">
        <w:rPr>
          <w:rFonts w:ascii="Arial" w:hAnsi="Arial" w:cs="Arial"/>
          <w:sz w:val="22"/>
          <w:szCs w:val="22"/>
        </w:rPr>
        <w:t xml:space="preserve"> in high impact or contact sports. This study also found that athletes in elite settings are at higher risk due to the physical demand and nature of the activities. A study conducted by Read et al (2020) also found that younger athletes are also more susceptible to having fibula fractures because during the rapid growth periods, the developing bones are not used to the increased mechanical load during the training sessions and games they have. Fibula fractures are also common in older adults, especially women over 60 and women postmenopausal women. This is because as individuals get older there is an increased risk of </w:t>
      </w:r>
      <w:r w:rsidR="00F56F38" w:rsidRPr="00F56F38">
        <w:rPr>
          <w:rFonts w:ascii="Arial" w:hAnsi="Arial" w:cs="Arial"/>
          <w:sz w:val="22"/>
          <w:szCs w:val="22"/>
        </w:rPr>
        <w:t>age-related</w:t>
      </w:r>
      <w:r w:rsidR="007C64B9" w:rsidRPr="00F56F38">
        <w:rPr>
          <w:rFonts w:ascii="Arial" w:hAnsi="Arial" w:cs="Arial"/>
          <w:sz w:val="22"/>
          <w:szCs w:val="22"/>
        </w:rPr>
        <w:t xml:space="preserve"> bone thinning and a higher fall rate (</w:t>
      </w:r>
      <w:r w:rsidR="007C64B9" w:rsidRPr="00F56F38">
        <w:rPr>
          <w:rFonts w:ascii="Arial" w:hAnsi="Arial" w:cs="Arial"/>
          <w:sz w:val="22"/>
          <w:szCs w:val="22"/>
        </w:rPr>
        <w:t>Hjelle et al. 2021</w:t>
      </w:r>
      <w:r w:rsidR="007C64B9" w:rsidRPr="00F56F38">
        <w:rPr>
          <w:rFonts w:ascii="Arial" w:hAnsi="Arial" w:cs="Arial"/>
          <w:sz w:val="22"/>
          <w:szCs w:val="22"/>
        </w:rPr>
        <w:t xml:space="preserve">). </w:t>
      </w:r>
      <w:r w:rsidR="009E6F9E" w:rsidRPr="00F56F38">
        <w:rPr>
          <w:rFonts w:ascii="Arial" w:hAnsi="Arial" w:cs="Arial"/>
          <w:sz w:val="22"/>
          <w:szCs w:val="22"/>
        </w:rPr>
        <w:t xml:space="preserve">In addition to this, individuals with physical occupations such as </w:t>
      </w:r>
      <w:r w:rsidR="00F56F38" w:rsidRPr="00F56F38">
        <w:rPr>
          <w:rFonts w:ascii="Arial" w:hAnsi="Arial" w:cs="Arial"/>
          <w:sz w:val="22"/>
          <w:szCs w:val="22"/>
        </w:rPr>
        <w:t>labourers</w:t>
      </w:r>
      <w:r w:rsidR="009E6F9E" w:rsidRPr="00F56F38">
        <w:rPr>
          <w:rFonts w:ascii="Arial" w:hAnsi="Arial" w:cs="Arial"/>
          <w:sz w:val="22"/>
          <w:szCs w:val="22"/>
        </w:rPr>
        <w:t xml:space="preserve"> or emergency services are at higher risk of fibula fractures because there are more hazards during their working day </w:t>
      </w:r>
      <w:r w:rsidR="009E6F9E" w:rsidRPr="00F56F38">
        <w:rPr>
          <w:rFonts w:ascii="Arial" w:hAnsi="Arial" w:cs="Arial"/>
          <w:sz w:val="22"/>
          <w:szCs w:val="22"/>
        </w:rPr>
        <w:t>(Dunn et al., 2021).</w:t>
      </w:r>
    </w:p>
    <w:p w14:paraId="74BE5F5F" w14:textId="5A894EC9" w:rsidR="001B1E24" w:rsidRPr="00F56F38" w:rsidRDefault="009E6F9E">
      <w:pPr>
        <w:rPr>
          <w:rFonts w:ascii="Arial" w:hAnsi="Arial" w:cs="Arial"/>
          <w:sz w:val="22"/>
          <w:szCs w:val="22"/>
        </w:rPr>
      </w:pPr>
      <w:r w:rsidRPr="00F56F38">
        <w:rPr>
          <w:rFonts w:ascii="Arial" w:hAnsi="Arial" w:cs="Arial"/>
          <w:sz w:val="22"/>
          <w:szCs w:val="22"/>
        </w:rPr>
        <w:t>The cause of a fibula fracture can be influenced by a variety of external factors such as a traumatic event, chronic stress of the bone or even medical conditions</w:t>
      </w:r>
      <w:r w:rsidR="00C4684C" w:rsidRPr="00F56F38">
        <w:rPr>
          <w:rFonts w:ascii="Arial" w:hAnsi="Arial" w:cs="Arial"/>
          <w:sz w:val="22"/>
          <w:szCs w:val="22"/>
        </w:rPr>
        <w:t xml:space="preserve"> </w:t>
      </w:r>
      <w:r w:rsidR="00C4684C" w:rsidRPr="00F56F38">
        <w:rPr>
          <w:rFonts w:ascii="Arial" w:hAnsi="Arial" w:cs="Arial"/>
          <w:sz w:val="22"/>
          <w:szCs w:val="22"/>
        </w:rPr>
        <w:t>(Encinas et al., 2023)</w:t>
      </w:r>
      <w:r w:rsidR="00C4684C" w:rsidRPr="00F56F38">
        <w:rPr>
          <w:rFonts w:ascii="Arial" w:hAnsi="Arial" w:cs="Arial"/>
          <w:sz w:val="22"/>
          <w:szCs w:val="22"/>
        </w:rPr>
        <w:t xml:space="preserve"> </w:t>
      </w:r>
      <w:r w:rsidR="00C4684C" w:rsidRPr="00F56F38">
        <w:rPr>
          <w:rFonts w:ascii="Arial" w:hAnsi="Arial" w:cs="Arial"/>
          <w:sz w:val="22"/>
          <w:szCs w:val="22"/>
        </w:rPr>
        <w:t>(</w:t>
      </w:r>
      <w:proofErr w:type="spellStart"/>
      <w:r w:rsidR="00C4684C" w:rsidRPr="00F56F38">
        <w:rPr>
          <w:rFonts w:ascii="Arial" w:hAnsi="Arial" w:cs="Arial"/>
          <w:sz w:val="22"/>
          <w:szCs w:val="22"/>
        </w:rPr>
        <w:t>Milstrey</w:t>
      </w:r>
      <w:proofErr w:type="spellEnd"/>
      <w:r w:rsidR="00C4684C" w:rsidRPr="00F56F38">
        <w:rPr>
          <w:rFonts w:ascii="Arial" w:hAnsi="Arial" w:cs="Arial"/>
          <w:sz w:val="22"/>
          <w:szCs w:val="22"/>
        </w:rPr>
        <w:t xml:space="preserve"> et al., 2022).</w:t>
      </w:r>
      <w:r w:rsidR="00C4684C" w:rsidRPr="00F56F38">
        <w:rPr>
          <w:rFonts w:ascii="Arial" w:hAnsi="Arial" w:cs="Arial"/>
          <w:sz w:val="22"/>
          <w:szCs w:val="22"/>
        </w:rPr>
        <w:t xml:space="preserve"> Trauma is the most common cause, often stemming from high impact incidents like a car crash, falls or sports injuries. Fibular fractures are more commonly seen in sports such as rugby, football and skiing where the lower limb is constantly </w:t>
      </w:r>
      <w:r w:rsidR="00890886" w:rsidRPr="00F56F38">
        <w:rPr>
          <w:rFonts w:ascii="Arial" w:hAnsi="Arial" w:cs="Arial"/>
          <w:sz w:val="22"/>
          <w:szCs w:val="22"/>
        </w:rPr>
        <w:t xml:space="preserve">exposed and is always </w:t>
      </w:r>
      <w:r w:rsidR="00C4684C" w:rsidRPr="00F56F38">
        <w:rPr>
          <w:rFonts w:ascii="Arial" w:hAnsi="Arial" w:cs="Arial"/>
          <w:sz w:val="22"/>
          <w:szCs w:val="22"/>
        </w:rPr>
        <w:t xml:space="preserve">dealing with </w:t>
      </w:r>
      <w:r w:rsidR="0084193F" w:rsidRPr="00F56F38">
        <w:rPr>
          <w:rFonts w:ascii="Arial" w:hAnsi="Arial" w:cs="Arial"/>
          <w:sz w:val="22"/>
          <w:szCs w:val="22"/>
        </w:rPr>
        <w:t xml:space="preserve">twisting and direct </w:t>
      </w:r>
      <w:r w:rsidR="00C42EBF" w:rsidRPr="00F56F38">
        <w:rPr>
          <w:rFonts w:ascii="Arial" w:hAnsi="Arial" w:cs="Arial"/>
          <w:sz w:val="22"/>
          <w:szCs w:val="22"/>
        </w:rPr>
        <w:t>contact (</w:t>
      </w:r>
      <w:r w:rsidR="00C42EBF" w:rsidRPr="00F56F38">
        <w:rPr>
          <w:rFonts w:ascii="Arial" w:hAnsi="Arial" w:cs="Arial"/>
          <w:sz w:val="22"/>
          <w:szCs w:val="22"/>
        </w:rPr>
        <w:t>Werner et al., 2017)</w:t>
      </w:r>
      <w:r w:rsidR="00C42EBF" w:rsidRPr="00F56F38">
        <w:rPr>
          <w:rFonts w:ascii="Arial" w:hAnsi="Arial" w:cs="Arial"/>
          <w:sz w:val="22"/>
          <w:szCs w:val="22"/>
        </w:rPr>
        <w:t>.</w:t>
      </w:r>
      <w:r w:rsidR="0084193F" w:rsidRPr="00F56F38">
        <w:rPr>
          <w:rFonts w:ascii="Arial" w:hAnsi="Arial" w:cs="Arial"/>
          <w:sz w:val="22"/>
          <w:szCs w:val="22"/>
        </w:rPr>
        <w:t xml:space="preserve"> These injuries tend to happen because there is sudden lateral forces</w:t>
      </w:r>
      <w:r w:rsidR="00890886" w:rsidRPr="00F56F38">
        <w:rPr>
          <w:rFonts w:ascii="Arial" w:hAnsi="Arial" w:cs="Arial"/>
          <w:sz w:val="22"/>
          <w:szCs w:val="22"/>
        </w:rPr>
        <w:t>, rotational forces</w:t>
      </w:r>
      <w:r w:rsidR="0084193F" w:rsidRPr="00F56F38">
        <w:rPr>
          <w:rFonts w:ascii="Arial" w:hAnsi="Arial" w:cs="Arial"/>
          <w:sz w:val="22"/>
          <w:szCs w:val="22"/>
        </w:rPr>
        <w:t xml:space="preserve"> or hyperextension at the ankle joint</w:t>
      </w:r>
      <w:r w:rsidR="00890886" w:rsidRPr="00F56F38">
        <w:rPr>
          <w:rFonts w:ascii="Arial" w:hAnsi="Arial" w:cs="Arial"/>
          <w:sz w:val="22"/>
          <w:szCs w:val="22"/>
        </w:rPr>
        <w:t>, and t</w:t>
      </w:r>
      <w:r w:rsidR="0084193F" w:rsidRPr="00F56F38">
        <w:rPr>
          <w:rFonts w:ascii="Arial" w:hAnsi="Arial" w:cs="Arial"/>
          <w:sz w:val="22"/>
          <w:szCs w:val="22"/>
        </w:rPr>
        <w:t xml:space="preserve">hese actions cause fractures at either the distal or proximal end of the fibula. Stress fractures can occur </w:t>
      </w:r>
      <w:r w:rsidR="00890886" w:rsidRPr="00F56F38">
        <w:rPr>
          <w:rFonts w:ascii="Arial" w:hAnsi="Arial" w:cs="Arial"/>
          <w:sz w:val="22"/>
          <w:szCs w:val="22"/>
        </w:rPr>
        <w:t xml:space="preserve">over time and don’t necessarily have a direct mechanism of injury. They occur where there is repetitive microtrauma where the bone tissue is unable to heal before the next full load </w:t>
      </w:r>
      <w:r w:rsidR="00890886" w:rsidRPr="00F56F38">
        <w:rPr>
          <w:rFonts w:ascii="Arial" w:hAnsi="Arial" w:cs="Arial"/>
          <w:sz w:val="22"/>
          <w:szCs w:val="22"/>
        </w:rPr>
        <w:t>(Sharma and Heagerty, 2017</w:t>
      </w:r>
      <w:r w:rsidR="00F56F38" w:rsidRPr="00F56F38">
        <w:rPr>
          <w:rFonts w:ascii="Arial" w:hAnsi="Arial" w:cs="Arial"/>
          <w:sz w:val="22"/>
          <w:szCs w:val="22"/>
        </w:rPr>
        <w:t>). Fibula</w:t>
      </w:r>
      <w:r w:rsidR="00E84083" w:rsidRPr="00F56F38">
        <w:rPr>
          <w:rFonts w:ascii="Arial" w:hAnsi="Arial" w:cs="Arial"/>
          <w:sz w:val="22"/>
          <w:szCs w:val="22"/>
        </w:rPr>
        <w:t xml:space="preserve"> fractures are not always as a result of contact or </w:t>
      </w:r>
      <w:proofErr w:type="gramStart"/>
      <w:r w:rsidR="00F56F38" w:rsidRPr="00F56F38">
        <w:rPr>
          <w:rFonts w:ascii="Arial" w:hAnsi="Arial" w:cs="Arial"/>
          <w:sz w:val="22"/>
          <w:szCs w:val="22"/>
        </w:rPr>
        <w:t>sport</w:t>
      </w:r>
      <w:proofErr w:type="gramEnd"/>
      <w:r w:rsidR="00F56F38" w:rsidRPr="00F56F38">
        <w:rPr>
          <w:rFonts w:ascii="Arial" w:hAnsi="Arial" w:cs="Arial"/>
          <w:sz w:val="22"/>
          <w:szCs w:val="22"/>
        </w:rPr>
        <w:t xml:space="preserve"> </w:t>
      </w:r>
      <w:r w:rsidR="00E84083" w:rsidRPr="00F56F38">
        <w:rPr>
          <w:rFonts w:ascii="Arial" w:hAnsi="Arial" w:cs="Arial"/>
          <w:sz w:val="22"/>
          <w:szCs w:val="22"/>
        </w:rPr>
        <w:t xml:space="preserve">however. Individuals with bone cancer tend to fracture their fibula because they have weaker bone structures which is </w:t>
      </w:r>
      <w:r w:rsidR="00F56F38" w:rsidRPr="00F56F38">
        <w:rPr>
          <w:rFonts w:ascii="Arial" w:hAnsi="Arial" w:cs="Arial"/>
          <w:sz w:val="22"/>
          <w:szCs w:val="22"/>
        </w:rPr>
        <w:t>because of</w:t>
      </w:r>
      <w:r w:rsidR="00E84083" w:rsidRPr="00F56F38">
        <w:rPr>
          <w:rFonts w:ascii="Arial" w:hAnsi="Arial" w:cs="Arial"/>
          <w:sz w:val="22"/>
          <w:szCs w:val="22"/>
        </w:rPr>
        <w:t xml:space="preserve"> tumours. Although only 2.5% of bone tumours are on the fibula, metastatic cancers can affect the fibula because it results in bone fragility which increases the risk of fracture </w:t>
      </w:r>
      <w:r w:rsidR="00E84083" w:rsidRPr="00F56F38">
        <w:rPr>
          <w:rFonts w:ascii="Arial" w:hAnsi="Arial" w:cs="Arial"/>
          <w:sz w:val="22"/>
          <w:szCs w:val="22"/>
        </w:rPr>
        <w:t>(</w:t>
      </w:r>
      <w:proofErr w:type="spellStart"/>
      <w:r w:rsidR="00E84083" w:rsidRPr="00F56F38">
        <w:rPr>
          <w:rFonts w:ascii="Arial" w:hAnsi="Arial" w:cs="Arial"/>
          <w:sz w:val="22"/>
          <w:szCs w:val="22"/>
        </w:rPr>
        <w:t>Gümüştaş</w:t>
      </w:r>
      <w:proofErr w:type="spellEnd"/>
      <w:r w:rsidR="00E84083" w:rsidRPr="00F56F38">
        <w:rPr>
          <w:rFonts w:ascii="Arial" w:hAnsi="Arial" w:cs="Arial"/>
          <w:sz w:val="22"/>
          <w:szCs w:val="22"/>
        </w:rPr>
        <w:t xml:space="preserve"> and Çevik, 2021)</w:t>
      </w:r>
      <w:r w:rsidR="00E84083" w:rsidRPr="00F56F38">
        <w:rPr>
          <w:rFonts w:ascii="Arial" w:hAnsi="Arial" w:cs="Arial"/>
          <w:sz w:val="22"/>
          <w:szCs w:val="22"/>
        </w:rPr>
        <w:t>.</w:t>
      </w:r>
      <w:r w:rsidR="001B1E24" w:rsidRPr="00F56F38">
        <w:rPr>
          <w:rFonts w:ascii="Arial" w:hAnsi="Arial" w:cs="Arial"/>
          <w:sz w:val="22"/>
          <w:szCs w:val="22"/>
        </w:rPr>
        <w:t xml:space="preserve"> Having a tumour on the bone makes the bone less likely to be able to withstand normal stresses and means that an individual might fracture their fibula by doing a minor movement or by having no force, which wouldn’t affect a healthy bone </w:t>
      </w:r>
      <w:r w:rsidR="001B1E24" w:rsidRPr="00F56F38">
        <w:rPr>
          <w:rFonts w:ascii="Arial" w:hAnsi="Arial" w:cs="Arial"/>
          <w:sz w:val="22"/>
          <w:szCs w:val="22"/>
        </w:rPr>
        <w:t>(Luther et al., 2024)</w:t>
      </w:r>
      <w:r w:rsidR="001B1E24" w:rsidRPr="00F56F38">
        <w:rPr>
          <w:rFonts w:ascii="Arial" w:hAnsi="Arial" w:cs="Arial"/>
          <w:sz w:val="22"/>
          <w:szCs w:val="22"/>
        </w:rPr>
        <w:t xml:space="preserve">. </w:t>
      </w:r>
      <w:r w:rsidR="00E84083" w:rsidRPr="00F56F38">
        <w:rPr>
          <w:rFonts w:ascii="Arial" w:hAnsi="Arial" w:cs="Arial"/>
          <w:sz w:val="22"/>
          <w:szCs w:val="22"/>
        </w:rPr>
        <w:t xml:space="preserve"> </w:t>
      </w:r>
      <w:r w:rsidR="001B1E24" w:rsidRPr="00F56F38">
        <w:rPr>
          <w:rFonts w:ascii="Arial" w:hAnsi="Arial" w:cs="Arial"/>
          <w:sz w:val="22"/>
          <w:szCs w:val="22"/>
        </w:rPr>
        <w:t xml:space="preserve">As well as this, cancer treatments such as chemotherapy can also make bones weaker and heightening the risk of fibula fractures. </w:t>
      </w:r>
    </w:p>
    <w:p w14:paraId="44801882" w14:textId="13D67D67" w:rsidR="001D3442" w:rsidRPr="00F56F38" w:rsidRDefault="001D3442">
      <w:pPr>
        <w:rPr>
          <w:rFonts w:ascii="Arial" w:hAnsi="Arial" w:cs="Arial"/>
          <w:sz w:val="22"/>
          <w:szCs w:val="22"/>
        </w:rPr>
      </w:pPr>
      <w:r w:rsidRPr="00F56F38">
        <w:rPr>
          <w:rFonts w:ascii="Arial" w:hAnsi="Arial" w:cs="Arial"/>
          <w:sz w:val="22"/>
          <w:szCs w:val="22"/>
        </w:rPr>
        <w:lastRenderedPageBreak/>
        <w:t xml:space="preserve">Bone cancer, whether its primary or metastatic, has a direct impact on fibula fractures because of the tumour growth which cause bone weakness. The cancer can either </w:t>
      </w:r>
      <w:r w:rsidR="00132670" w:rsidRPr="00F56F38">
        <w:rPr>
          <w:rFonts w:ascii="Arial" w:hAnsi="Arial" w:cs="Arial"/>
          <w:sz w:val="22"/>
          <w:szCs w:val="22"/>
        </w:rPr>
        <w:t xml:space="preserve">invade the bone tissue directly or can cause damage indirectly by spreading to other part </w:t>
      </w:r>
      <w:r w:rsidR="00132670" w:rsidRPr="00F56F38">
        <w:rPr>
          <w:rFonts w:ascii="Arial" w:hAnsi="Arial" w:cs="Arial"/>
          <w:sz w:val="22"/>
          <w:szCs w:val="22"/>
        </w:rPr>
        <w:t xml:space="preserve">(Luther et al., 2024). </w:t>
      </w:r>
      <w:r w:rsidR="000657E8" w:rsidRPr="00F56F38">
        <w:rPr>
          <w:rFonts w:ascii="Arial" w:hAnsi="Arial" w:cs="Arial"/>
          <w:sz w:val="22"/>
          <w:szCs w:val="22"/>
        </w:rPr>
        <w:t xml:space="preserve">Primary bone cancers such as osteosarcoma are rare but do occur in the fibula, however, the most common is metastatic cancer in which the cancer originates in places such as the breast or lung </w:t>
      </w:r>
      <w:r w:rsidR="000657E8" w:rsidRPr="00F56F38">
        <w:rPr>
          <w:rFonts w:ascii="Arial" w:hAnsi="Arial" w:cs="Arial"/>
          <w:sz w:val="22"/>
          <w:szCs w:val="22"/>
        </w:rPr>
        <w:t>(</w:t>
      </w:r>
      <w:proofErr w:type="spellStart"/>
      <w:r w:rsidR="000657E8" w:rsidRPr="00F56F38">
        <w:rPr>
          <w:rFonts w:ascii="Arial" w:hAnsi="Arial" w:cs="Arial"/>
          <w:sz w:val="22"/>
          <w:szCs w:val="22"/>
        </w:rPr>
        <w:t>Gümüştaş</w:t>
      </w:r>
      <w:proofErr w:type="spellEnd"/>
      <w:r w:rsidR="000657E8" w:rsidRPr="00F56F38">
        <w:rPr>
          <w:rFonts w:ascii="Arial" w:hAnsi="Arial" w:cs="Arial"/>
          <w:sz w:val="22"/>
          <w:szCs w:val="22"/>
        </w:rPr>
        <w:t xml:space="preserve"> and Çevik, 2021).</w:t>
      </w:r>
      <w:r w:rsidR="000657E8" w:rsidRPr="00F56F38">
        <w:rPr>
          <w:rFonts w:ascii="Arial" w:hAnsi="Arial" w:cs="Arial"/>
          <w:sz w:val="22"/>
          <w:szCs w:val="22"/>
        </w:rPr>
        <w:t xml:space="preserve"> As the tumour grows in or near the fibula, it changes the </w:t>
      </w:r>
      <w:proofErr w:type="gramStart"/>
      <w:r w:rsidR="000657E8" w:rsidRPr="00F56F38">
        <w:rPr>
          <w:rFonts w:ascii="Arial" w:hAnsi="Arial" w:cs="Arial"/>
          <w:sz w:val="22"/>
          <w:szCs w:val="22"/>
        </w:rPr>
        <w:t>bones</w:t>
      </w:r>
      <w:proofErr w:type="gramEnd"/>
      <w:r w:rsidR="000657E8" w:rsidRPr="00F56F38">
        <w:rPr>
          <w:rFonts w:ascii="Arial" w:hAnsi="Arial" w:cs="Arial"/>
          <w:sz w:val="22"/>
          <w:szCs w:val="22"/>
        </w:rPr>
        <w:t xml:space="preserve"> structure which leads to bone thinning and softening, or in some rarer cases, total destruction of the bone tissue </w:t>
      </w:r>
      <w:r w:rsidR="000657E8" w:rsidRPr="00F56F38">
        <w:rPr>
          <w:rFonts w:ascii="Arial" w:hAnsi="Arial" w:cs="Arial"/>
          <w:sz w:val="22"/>
          <w:szCs w:val="22"/>
        </w:rPr>
        <w:t>(Vestergaard, Rejnmark and Mosekilde, 2009)</w:t>
      </w:r>
      <w:r w:rsidR="000657E8" w:rsidRPr="00F56F38">
        <w:rPr>
          <w:rFonts w:ascii="Arial" w:hAnsi="Arial" w:cs="Arial"/>
          <w:sz w:val="22"/>
          <w:szCs w:val="22"/>
        </w:rPr>
        <w:t xml:space="preserve">. Chemotherapy also affects the bone structure. It delays bone formation and fracture healing, whilst radiation therapy attacks the bones strength and elasticity, making the bone easier to break </w:t>
      </w:r>
      <w:r w:rsidR="000657E8" w:rsidRPr="00F56F38">
        <w:rPr>
          <w:rFonts w:ascii="Arial" w:hAnsi="Arial" w:cs="Arial"/>
          <w:sz w:val="22"/>
          <w:szCs w:val="22"/>
        </w:rPr>
        <w:t>(Luther et al., 2024)</w:t>
      </w:r>
      <w:r w:rsidR="000657E8" w:rsidRPr="00F56F38">
        <w:rPr>
          <w:rFonts w:ascii="Arial" w:hAnsi="Arial" w:cs="Arial"/>
          <w:sz w:val="22"/>
          <w:szCs w:val="22"/>
        </w:rPr>
        <w:t xml:space="preserve">. </w:t>
      </w:r>
      <w:r w:rsidR="007274C3" w:rsidRPr="00F56F38">
        <w:rPr>
          <w:rFonts w:ascii="Arial" w:hAnsi="Arial" w:cs="Arial"/>
          <w:sz w:val="22"/>
          <w:szCs w:val="22"/>
        </w:rPr>
        <w:t xml:space="preserve">Not only does bone cancer enhance the likelihood of fibular fractures, but it also hinders the healing process. The standard healing time for a fractured fibula is 6-8 weeks depending on the severity of the break and the treatment method. The body starts a repair process in which inflammation is followed by bone production and then the stage of remodelling happens where the bone goes back to its original shape and strength </w:t>
      </w:r>
      <w:r w:rsidR="007274C3" w:rsidRPr="00F56F38">
        <w:rPr>
          <w:rFonts w:ascii="Arial" w:hAnsi="Arial" w:cs="Arial"/>
          <w:sz w:val="22"/>
          <w:szCs w:val="22"/>
        </w:rPr>
        <w:t>(Agarwal and Burra, 2022</w:t>
      </w:r>
      <w:r w:rsidR="007274C3" w:rsidRPr="00F56F38">
        <w:rPr>
          <w:rFonts w:ascii="Arial" w:hAnsi="Arial" w:cs="Arial"/>
          <w:sz w:val="22"/>
          <w:szCs w:val="22"/>
        </w:rPr>
        <w:t xml:space="preserve">). </w:t>
      </w:r>
      <w:r w:rsidR="00125E8B" w:rsidRPr="00F56F38">
        <w:rPr>
          <w:rFonts w:ascii="Arial" w:hAnsi="Arial" w:cs="Arial"/>
          <w:sz w:val="22"/>
          <w:szCs w:val="22"/>
        </w:rPr>
        <w:t>However, in bone cancer patients this can be dramatically delayed. Bone cancer decreases the bone quality by attacking the bone tissue, which not only makes fractures more common but makes them harder to heal (</w:t>
      </w:r>
      <w:r w:rsidR="00125E8B" w:rsidRPr="00F56F38">
        <w:rPr>
          <w:rFonts w:ascii="Arial" w:hAnsi="Arial" w:cs="Arial"/>
          <w:sz w:val="22"/>
          <w:szCs w:val="22"/>
        </w:rPr>
        <w:t>Shahzad et al. 2023)</w:t>
      </w:r>
      <w:r w:rsidR="00125E8B" w:rsidRPr="00F56F38">
        <w:rPr>
          <w:rFonts w:ascii="Arial" w:hAnsi="Arial" w:cs="Arial"/>
          <w:sz w:val="22"/>
          <w:szCs w:val="22"/>
        </w:rPr>
        <w:t xml:space="preserve">. Chemotherapy can </w:t>
      </w:r>
      <w:r w:rsidR="00533E2C" w:rsidRPr="00F56F38">
        <w:rPr>
          <w:rFonts w:ascii="Arial" w:hAnsi="Arial" w:cs="Arial"/>
          <w:sz w:val="22"/>
          <w:szCs w:val="22"/>
        </w:rPr>
        <w:t xml:space="preserve">also affect bone regeneration. It stops the cellular activity, which is essential for bone repair, but also reduces the osteoblast function, again, essential in healing and repair </w:t>
      </w:r>
      <w:r w:rsidR="00533E2C" w:rsidRPr="00F56F38">
        <w:rPr>
          <w:rFonts w:ascii="Arial" w:hAnsi="Arial" w:cs="Arial"/>
          <w:sz w:val="22"/>
          <w:szCs w:val="22"/>
        </w:rPr>
        <w:t>(Pichardo et al., 2022)</w:t>
      </w:r>
      <w:r w:rsidR="00533E2C" w:rsidRPr="00F56F38">
        <w:rPr>
          <w:rFonts w:ascii="Arial" w:hAnsi="Arial" w:cs="Arial"/>
          <w:sz w:val="22"/>
          <w:szCs w:val="22"/>
        </w:rPr>
        <w:t>.</w:t>
      </w:r>
    </w:p>
    <w:p w14:paraId="41A1E7DE" w14:textId="638060DD" w:rsidR="00C4684C" w:rsidRPr="00F56F38" w:rsidRDefault="00091E72">
      <w:pPr>
        <w:rPr>
          <w:rFonts w:ascii="Arial" w:hAnsi="Arial" w:cs="Arial"/>
          <w:sz w:val="22"/>
          <w:szCs w:val="22"/>
        </w:rPr>
      </w:pPr>
      <w:r w:rsidRPr="00F56F38">
        <w:rPr>
          <w:rFonts w:ascii="Arial" w:hAnsi="Arial" w:cs="Arial"/>
          <w:sz w:val="22"/>
          <w:szCs w:val="22"/>
        </w:rPr>
        <w:t xml:space="preserve">Musculoskeletal management for a fibula fracture starts with an accurate diagnosis, </w:t>
      </w:r>
      <w:r w:rsidR="00466445" w:rsidRPr="00F56F38">
        <w:rPr>
          <w:rFonts w:ascii="Arial" w:hAnsi="Arial" w:cs="Arial"/>
          <w:sz w:val="22"/>
          <w:szCs w:val="22"/>
        </w:rPr>
        <w:t xml:space="preserve">and then leads on to treatment planning, pain control, functional restoration, patient education and finally complication prevention </w:t>
      </w:r>
      <w:r w:rsidR="00466445" w:rsidRPr="00F56F38">
        <w:rPr>
          <w:rFonts w:ascii="Arial" w:hAnsi="Arial" w:cs="Arial"/>
          <w:sz w:val="22"/>
          <w:szCs w:val="22"/>
        </w:rPr>
        <w:t>(Agarwal et al., 2022)</w:t>
      </w:r>
      <w:r w:rsidR="00466445" w:rsidRPr="00F56F38">
        <w:rPr>
          <w:rFonts w:ascii="Arial" w:hAnsi="Arial" w:cs="Arial"/>
          <w:sz w:val="22"/>
          <w:szCs w:val="22"/>
        </w:rPr>
        <w:t xml:space="preserve">. This treatment route applies to all fibula fractures, however, strategies on management can vary when the broken bone is affected with bone cancer. If a healthy individual has a fibula fracture, it will be diagnosed </w:t>
      </w:r>
      <w:r w:rsidR="00B43469" w:rsidRPr="00F56F38">
        <w:rPr>
          <w:rFonts w:ascii="Arial" w:hAnsi="Arial" w:cs="Arial"/>
          <w:sz w:val="22"/>
          <w:szCs w:val="22"/>
        </w:rPr>
        <w:t xml:space="preserve">using technology such as </w:t>
      </w:r>
      <w:r w:rsidR="00F56F38" w:rsidRPr="00F56F38">
        <w:rPr>
          <w:rFonts w:ascii="Arial" w:hAnsi="Arial" w:cs="Arial"/>
          <w:sz w:val="22"/>
          <w:szCs w:val="22"/>
        </w:rPr>
        <w:t>x-rays</w:t>
      </w:r>
      <w:r w:rsidR="00B43469" w:rsidRPr="00F56F38">
        <w:rPr>
          <w:rFonts w:ascii="Arial" w:hAnsi="Arial" w:cs="Arial"/>
          <w:sz w:val="22"/>
          <w:szCs w:val="22"/>
        </w:rPr>
        <w:t xml:space="preserve"> and MRI’s, with a combination of physical examination. Once the fracture has been confirmed, the treatment plan is made based on the area of the fracture and the severity of it. </w:t>
      </w:r>
      <w:r w:rsidR="00AC4632" w:rsidRPr="00F56F38">
        <w:rPr>
          <w:rFonts w:ascii="Arial" w:hAnsi="Arial" w:cs="Arial"/>
          <w:sz w:val="22"/>
          <w:szCs w:val="22"/>
        </w:rPr>
        <w:t xml:space="preserve">If it’s only a slight fracture, it will be treated by immobilising the area using a </w:t>
      </w:r>
      <w:r w:rsidR="00BF56F7" w:rsidRPr="00F56F38">
        <w:rPr>
          <w:rFonts w:ascii="Arial" w:hAnsi="Arial" w:cs="Arial"/>
          <w:sz w:val="22"/>
          <w:szCs w:val="22"/>
        </w:rPr>
        <w:t xml:space="preserve">walking boot or a cast, which will then be followed by weight-bearing exercises and physical therapy </w:t>
      </w:r>
      <w:r w:rsidR="00BF56F7" w:rsidRPr="00F56F38">
        <w:rPr>
          <w:rFonts w:ascii="Arial" w:hAnsi="Arial" w:cs="Arial"/>
          <w:sz w:val="22"/>
          <w:szCs w:val="22"/>
        </w:rPr>
        <w:t>(Brinker et al., 2023)</w:t>
      </w:r>
      <w:r w:rsidR="00BF56F7" w:rsidRPr="00F56F38">
        <w:rPr>
          <w:rFonts w:ascii="Arial" w:hAnsi="Arial" w:cs="Arial"/>
          <w:sz w:val="22"/>
          <w:szCs w:val="22"/>
        </w:rPr>
        <w:t xml:space="preserve">. Pain management often involves taking non-steroidal anti-inflammatory drugs (NSAIDs). The rehabilitation phase of the injury starts with regaining the full range of movement back in the ankle, building the strength back in the calf and lower limb and by ensuring the individual has the correct gait mechanics </w:t>
      </w:r>
      <w:r w:rsidR="00BF56F7" w:rsidRPr="00F56F38">
        <w:rPr>
          <w:rFonts w:ascii="Arial" w:hAnsi="Arial" w:cs="Arial"/>
          <w:sz w:val="22"/>
          <w:szCs w:val="22"/>
        </w:rPr>
        <w:t>(Rees, Stride and Scott, 2022)</w:t>
      </w:r>
      <w:r w:rsidR="00BF56F7" w:rsidRPr="00F56F38">
        <w:rPr>
          <w:rFonts w:ascii="Arial" w:hAnsi="Arial" w:cs="Arial"/>
          <w:sz w:val="22"/>
          <w:szCs w:val="22"/>
        </w:rPr>
        <w:t>. Physical therapy plays a key role in this phase as it prevents the joint from becoming stiff and prevents muscle wasting, which overall helps with the return to daily activities. Whilst receiving physical therapy, the individual wil</w:t>
      </w:r>
      <w:r w:rsidR="00EA662C" w:rsidRPr="00F56F38">
        <w:rPr>
          <w:rFonts w:ascii="Arial" w:hAnsi="Arial" w:cs="Arial"/>
          <w:sz w:val="22"/>
          <w:szCs w:val="22"/>
        </w:rPr>
        <w:t>l</w:t>
      </w:r>
      <w:r w:rsidR="00BF56F7" w:rsidRPr="00F56F38">
        <w:rPr>
          <w:rFonts w:ascii="Arial" w:hAnsi="Arial" w:cs="Arial"/>
          <w:sz w:val="22"/>
          <w:szCs w:val="22"/>
        </w:rPr>
        <w:t xml:space="preserve"> be given advice on how to rehab at home</w:t>
      </w:r>
      <w:r w:rsidR="00EA662C" w:rsidRPr="00F56F38">
        <w:rPr>
          <w:rFonts w:ascii="Arial" w:hAnsi="Arial" w:cs="Arial"/>
          <w:sz w:val="22"/>
          <w:szCs w:val="22"/>
        </w:rPr>
        <w:t xml:space="preserve">, will be told the importance of following the rehab plan and will be advised on how to prevent the injury in the future </w:t>
      </w:r>
      <w:r w:rsidR="00EA662C" w:rsidRPr="00F56F38">
        <w:rPr>
          <w:rFonts w:ascii="Arial" w:hAnsi="Arial" w:cs="Arial"/>
          <w:sz w:val="22"/>
          <w:szCs w:val="22"/>
        </w:rPr>
        <w:t>(Anderson and Parr, 2021)</w:t>
      </w:r>
      <w:r w:rsidR="00EA662C" w:rsidRPr="00F56F38">
        <w:rPr>
          <w:rFonts w:ascii="Arial" w:hAnsi="Arial" w:cs="Arial"/>
          <w:sz w:val="22"/>
          <w:szCs w:val="22"/>
        </w:rPr>
        <w:t xml:space="preserve">. </w:t>
      </w:r>
    </w:p>
    <w:p w14:paraId="0669E60E" w14:textId="68F9F782" w:rsidR="00FE448A" w:rsidRPr="00F56F38" w:rsidRDefault="00EA662C">
      <w:pPr>
        <w:rPr>
          <w:rFonts w:ascii="Arial" w:hAnsi="Arial" w:cs="Arial"/>
          <w:sz w:val="22"/>
          <w:szCs w:val="22"/>
        </w:rPr>
      </w:pPr>
      <w:r w:rsidRPr="00F56F38">
        <w:rPr>
          <w:rFonts w:ascii="Arial" w:hAnsi="Arial" w:cs="Arial"/>
          <w:sz w:val="22"/>
          <w:szCs w:val="22"/>
        </w:rPr>
        <w:t>However, when the individual has bone cancer,</w:t>
      </w:r>
      <w:r w:rsidR="00791A1D" w:rsidRPr="00F56F38">
        <w:rPr>
          <w:rFonts w:ascii="Arial" w:hAnsi="Arial" w:cs="Arial"/>
          <w:sz w:val="22"/>
          <w:szCs w:val="22"/>
        </w:rPr>
        <w:t xml:space="preserve"> the diagnosing stage can be more difficult. The fibula can become weakened by the illness and its tumours, causing a drastic change in its structure. </w:t>
      </w:r>
      <w:proofErr w:type="gramStart"/>
      <w:r w:rsidR="00791A1D" w:rsidRPr="00F56F38">
        <w:rPr>
          <w:rFonts w:ascii="Arial" w:hAnsi="Arial" w:cs="Arial"/>
          <w:sz w:val="22"/>
          <w:szCs w:val="22"/>
        </w:rPr>
        <w:t>So</w:t>
      </w:r>
      <w:proofErr w:type="gramEnd"/>
      <w:r w:rsidR="00791A1D" w:rsidRPr="00F56F38">
        <w:rPr>
          <w:rFonts w:ascii="Arial" w:hAnsi="Arial" w:cs="Arial"/>
          <w:sz w:val="22"/>
          <w:szCs w:val="22"/>
        </w:rPr>
        <w:t xml:space="preserve"> imaging techniques such as </w:t>
      </w:r>
      <w:r w:rsidR="00F56F38" w:rsidRPr="00F56F38">
        <w:rPr>
          <w:rFonts w:ascii="Arial" w:hAnsi="Arial" w:cs="Arial"/>
          <w:sz w:val="22"/>
          <w:szCs w:val="22"/>
        </w:rPr>
        <w:t>x-rays</w:t>
      </w:r>
      <w:r w:rsidR="00791A1D" w:rsidRPr="00F56F38">
        <w:rPr>
          <w:rFonts w:ascii="Arial" w:hAnsi="Arial" w:cs="Arial"/>
          <w:sz w:val="22"/>
          <w:szCs w:val="22"/>
        </w:rPr>
        <w:t xml:space="preserve"> are not normally used, instead, MRI’s and PET scans are used.</w:t>
      </w:r>
      <w:r w:rsidRPr="00F56F38">
        <w:rPr>
          <w:rFonts w:ascii="Arial" w:hAnsi="Arial" w:cs="Arial"/>
          <w:sz w:val="22"/>
          <w:szCs w:val="22"/>
        </w:rPr>
        <w:t xml:space="preserve"> </w:t>
      </w:r>
      <w:r w:rsidR="00791A1D" w:rsidRPr="00F56F38">
        <w:rPr>
          <w:rFonts w:ascii="Arial" w:hAnsi="Arial" w:cs="Arial"/>
          <w:sz w:val="22"/>
          <w:szCs w:val="22"/>
        </w:rPr>
        <w:t>T</w:t>
      </w:r>
      <w:r w:rsidRPr="00F56F38">
        <w:rPr>
          <w:rFonts w:ascii="Arial" w:hAnsi="Arial" w:cs="Arial"/>
          <w:sz w:val="22"/>
          <w:szCs w:val="22"/>
        </w:rPr>
        <w:t xml:space="preserve">he healing of the fracture is slowed down </w:t>
      </w:r>
      <w:r w:rsidR="00F56F38" w:rsidRPr="00F56F38">
        <w:rPr>
          <w:rFonts w:ascii="Arial" w:hAnsi="Arial" w:cs="Arial"/>
          <w:sz w:val="22"/>
          <w:szCs w:val="22"/>
        </w:rPr>
        <w:t>because of</w:t>
      </w:r>
      <w:r w:rsidRPr="00F56F38">
        <w:rPr>
          <w:rFonts w:ascii="Arial" w:hAnsi="Arial" w:cs="Arial"/>
          <w:sz w:val="22"/>
          <w:szCs w:val="22"/>
        </w:rPr>
        <w:t xml:space="preserve"> the damaging nature of the tumours and the negative effects of chemotherapy and radiotherapy. The individuals </w:t>
      </w:r>
      <w:r w:rsidRPr="00F56F38">
        <w:rPr>
          <w:rFonts w:ascii="Arial" w:hAnsi="Arial" w:cs="Arial"/>
          <w:sz w:val="22"/>
          <w:szCs w:val="22"/>
        </w:rPr>
        <w:lastRenderedPageBreak/>
        <w:t xml:space="preserve">become more suspectable to complications such as infections, refracture or the bone just not healing. Therefore, </w:t>
      </w:r>
      <w:r w:rsidR="00F56F38" w:rsidRPr="00F56F38">
        <w:rPr>
          <w:rFonts w:ascii="Arial" w:hAnsi="Arial" w:cs="Arial"/>
          <w:sz w:val="22"/>
          <w:szCs w:val="22"/>
        </w:rPr>
        <w:t>often</w:t>
      </w:r>
      <w:r w:rsidRPr="00F56F38">
        <w:rPr>
          <w:rFonts w:ascii="Arial" w:hAnsi="Arial" w:cs="Arial"/>
          <w:sz w:val="22"/>
          <w:szCs w:val="22"/>
        </w:rPr>
        <w:t xml:space="preserve"> surgery is required to not only stabilise the fracture but to sometimes remove the tumours and reconstruct the bone back together </w:t>
      </w:r>
      <w:r w:rsidRPr="00F56F38">
        <w:rPr>
          <w:rFonts w:ascii="Arial" w:hAnsi="Arial" w:cs="Arial"/>
          <w:sz w:val="22"/>
          <w:szCs w:val="22"/>
        </w:rPr>
        <w:t>(Weber et al., 2023)</w:t>
      </w:r>
      <w:r w:rsidRPr="00F56F38">
        <w:rPr>
          <w:rFonts w:ascii="Arial" w:hAnsi="Arial" w:cs="Arial"/>
          <w:sz w:val="22"/>
          <w:szCs w:val="22"/>
        </w:rPr>
        <w:t xml:space="preserve">. Techniques such as fibula grafts or internal fixation with reinforcement are used to do this. </w:t>
      </w:r>
      <w:r w:rsidR="00FE448A" w:rsidRPr="00F56F38">
        <w:rPr>
          <w:rFonts w:ascii="Arial" w:hAnsi="Arial" w:cs="Arial"/>
          <w:sz w:val="22"/>
          <w:szCs w:val="22"/>
        </w:rPr>
        <w:t xml:space="preserve">Pain management in bone cancer patients </w:t>
      </w:r>
      <w:r w:rsidR="00791A1D" w:rsidRPr="00F56F38">
        <w:rPr>
          <w:rFonts w:ascii="Arial" w:hAnsi="Arial" w:cs="Arial"/>
          <w:sz w:val="22"/>
          <w:szCs w:val="22"/>
        </w:rPr>
        <w:t xml:space="preserve">is also difficult to manage because it </w:t>
      </w:r>
      <w:proofErr w:type="gramStart"/>
      <w:r w:rsidR="00791A1D" w:rsidRPr="00F56F38">
        <w:rPr>
          <w:rFonts w:ascii="Arial" w:hAnsi="Arial" w:cs="Arial"/>
          <w:sz w:val="22"/>
          <w:szCs w:val="22"/>
        </w:rPr>
        <w:t>has to</w:t>
      </w:r>
      <w:proofErr w:type="gramEnd"/>
      <w:r w:rsidR="00791A1D" w:rsidRPr="00F56F38">
        <w:rPr>
          <w:rFonts w:ascii="Arial" w:hAnsi="Arial" w:cs="Arial"/>
          <w:sz w:val="22"/>
          <w:szCs w:val="22"/>
        </w:rPr>
        <w:t xml:space="preserve"> be tailored. Medications such as bisphosphonates and corticosteroids can be used to help alleviate the pain </w:t>
      </w:r>
      <w:r w:rsidR="00791A1D" w:rsidRPr="00F56F38">
        <w:rPr>
          <w:rFonts w:ascii="Arial" w:hAnsi="Arial" w:cs="Arial"/>
          <w:sz w:val="22"/>
          <w:szCs w:val="22"/>
        </w:rPr>
        <w:t>(Fallon and Fallon, 2022)</w:t>
      </w:r>
      <w:r w:rsidR="00791A1D" w:rsidRPr="00F56F38">
        <w:rPr>
          <w:rFonts w:ascii="Arial" w:hAnsi="Arial" w:cs="Arial"/>
          <w:sz w:val="22"/>
          <w:szCs w:val="22"/>
        </w:rPr>
        <w:t xml:space="preserve">. Rehabilitation with bone cancer patients also vary. Sometimes the goal is simply not only to focus on physical recovery, but to also maintain quality of life. The physical therapy is tailored to the individual with a focus of stability and mobility </w:t>
      </w:r>
      <w:r w:rsidR="00791A1D" w:rsidRPr="00F56F38">
        <w:rPr>
          <w:rFonts w:ascii="Arial" w:hAnsi="Arial" w:cs="Arial"/>
          <w:sz w:val="22"/>
          <w:szCs w:val="22"/>
        </w:rPr>
        <w:t>(Hackett et al., 2023)</w:t>
      </w:r>
      <w:r w:rsidR="00791A1D" w:rsidRPr="00F56F38">
        <w:rPr>
          <w:rFonts w:ascii="Arial" w:hAnsi="Arial" w:cs="Arial"/>
          <w:sz w:val="22"/>
          <w:szCs w:val="22"/>
        </w:rPr>
        <w:t>. The education element focuses on understanding the limitations due to the bone cancer, but also helping the individual understand the effects of the illness on their bones.</w:t>
      </w:r>
    </w:p>
    <w:p w14:paraId="29752B1B" w14:textId="3EC10FA5" w:rsidR="00F56F38" w:rsidRPr="00F56F38" w:rsidRDefault="00F56F38">
      <w:pPr>
        <w:rPr>
          <w:rFonts w:ascii="Arial" w:hAnsi="Arial" w:cs="Arial"/>
          <w:sz w:val="22"/>
          <w:szCs w:val="22"/>
        </w:rPr>
      </w:pPr>
      <w:r w:rsidRPr="00F56F38">
        <w:rPr>
          <w:rFonts w:ascii="Arial" w:hAnsi="Arial" w:cs="Arial"/>
          <w:sz w:val="22"/>
          <w:szCs w:val="22"/>
        </w:rPr>
        <w:t xml:space="preserve">In conclusion, fibula fractures can affect a wide variety of individuals, from young athletes to the elderly, however, the existence of bone cancer influences the diagnosis, treatment and rehabilitation elements. Whilst most fractures have a simple treatment plan, cancer related fibula fractures have a more complex route due to the bone changes. These changes slow down the healing process and increase the risk of complications so tend to require surgery. Understanding the differences in musculoskeletal management between healthy bones and non-healthy bones is essential so that the care given is patient centred, allowing a more tailored intervention for the individuals recovery. </w:t>
      </w:r>
    </w:p>
    <w:p w14:paraId="39BC0C14" w14:textId="77777777" w:rsidR="00C4684C" w:rsidRDefault="00C4684C">
      <w:pPr>
        <w:rPr>
          <w:rFonts w:ascii="Arial" w:hAnsi="Arial" w:cs="Arial"/>
          <w:sz w:val="22"/>
          <w:szCs w:val="22"/>
        </w:rPr>
      </w:pPr>
    </w:p>
    <w:p w14:paraId="2F406FFA" w14:textId="77777777" w:rsidR="00906CEA" w:rsidRDefault="00906CEA">
      <w:pPr>
        <w:rPr>
          <w:rFonts w:ascii="Arial" w:hAnsi="Arial" w:cs="Arial"/>
          <w:sz w:val="22"/>
          <w:szCs w:val="22"/>
        </w:rPr>
      </w:pPr>
    </w:p>
    <w:p w14:paraId="7090DF67" w14:textId="77777777" w:rsidR="00F56F38" w:rsidRDefault="00F56F38">
      <w:pPr>
        <w:rPr>
          <w:rFonts w:ascii="Arial" w:hAnsi="Arial" w:cs="Arial"/>
          <w:sz w:val="22"/>
          <w:szCs w:val="22"/>
        </w:rPr>
      </w:pPr>
    </w:p>
    <w:p w14:paraId="60BD38E4" w14:textId="77777777" w:rsidR="00F56F38" w:rsidRDefault="00F56F38">
      <w:pPr>
        <w:rPr>
          <w:rFonts w:ascii="Arial" w:hAnsi="Arial" w:cs="Arial"/>
          <w:sz w:val="22"/>
          <w:szCs w:val="22"/>
        </w:rPr>
      </w:pPr>
    </w:p>
    <w:p w14:paraId="67DDE52C" w14:textId="77777777" w:rsidR="00F56F38" w:rsidRDefault="00F56F38">
      <w:pPr>
        <w:rPr>
          <w:rFonts w:ascii="Arial" w:hAnsi="Arial" w:cs="Arial"/>
          <w:sz w:val="22"/>
          <w:szCs w:val="22"/>
        </w:rPr>
      </w:pPr>
    </w:p>
    <w:p w14:paraId="12F254C9" w14:textId="77777777" w:rsidR="00F56F38" w:rsidRDefault="00F56F38">
      <w:pPr>
        <w:rPr>
          <w:rFonts w:ascii="Arial" w:hAnsi="Arial" w:cs="Arial"/>
          <w:sz w:val="22"/>
          <w:szCs w:val="22"/>
        </w:rPr>
      </w:pPr>
    </w:p>
    <w:p w14:paraId="4C18F5AB" w14:textId="77777777" w:rsidR="00F56F38" w:rsidRDefault="00F56F38">
      <w:pPr>
        <w:rPr>
          <w:rFonts w:ascii="Arial" w:hAnsi="Arial" w:cs="Arial"/>
          <w:sz w:val="22"/>
          <w:szCs w:val="22"/>
        </w:rPr>
      </w:pPr>
    </w:p>
    <w:p w14:paraId="2378D99D" w14:textId="77777777" w:rsidR="00F56F38" w:rsidRDefault="00F56F38">
      <w:pPr>
        <w:rPr>
          <w:rFonts w:ascii="Arial" w:hAnsi="Arial" w:cs="Arial"/>
          <w:sz w:val="22"/>
          <w:szCs w:val="22"/>
        </w:rPr>
      </w:pPr>
    </w:p>
    <w:p w14:paraId="53474BE1" w14:textId="77777777" w:rsidR="00F56F38" w:rsidRDefault="00F56F38">
      <w:pPr>
        <w:rPr>
          <w:rFonts w:ascii="Arial" w:hAnsi="Arial" w:cs="Arial"/>
          <w:sz w:val="22"/>
          <w:szCs w:val="22"/>
        </w:rPr>
      </w:pPr>
    </w:p>
    <w:p w14:paraId="5F59CA86" w14:textId="77777777" w:rsidR="00F56F38" w:rsidRDefault="00F56F38">
      <w:pPr>
        <w:rPr>
          <w:rFonts w:ascii="Arial" w:hAnsi="Arial" w:cs="Arial"/>
          <w:sz w:val="22"/>
          <w:szCs w:val="22"/>
        </w:rPr>
      </w:pPr>
    </w:p>
    <w:p w14:paraId="3682D632" w14:textId="77777777" w:rsidR="00F56F38" w:rsidRDefault="00F56F38">
      <w:pPr>
        <w:rPr>
          <w:rFonts w:ascii="Arial" w:hAnsi="Arial" w:cs="Arial"/>
          <w:sz w:val="22"/>
          <w:szCs w:val="22"/>
        </w:rPr>
      </w:pPr>
    </w:p>
    <w:p w14:paraId="060DAC78" w14:textId="77777777" w:rsidR="00F56F38" w:rsidRDefault="00F56F38">
      <w:pPr>
        <w:rPr>
          <w:rFonts w:ascii="Arial" w:hAnsi="Arial" w:cs="Arial"/>
          <w:sz w:val="22"/>
          <w:szCs w:val="22"/>
        </w:rPr>
      </w:pPr>
    </w:p>
    <w:p w14:paraId="3020A0A0" w14:textId="77777777" w:rsidR="00F56F38" w:rsidRDefault="00F56F38">
      <w:pPr>
        <w:rPr>
          <w:rFonts w:ascii="Arial" w:hAnsi="Arial" w:cs="Arial"/>
          <w:sz w:val="22"/>
          <w:szCs w:val="22"/>
        </w:rPr>
      </w:pPr>
    </w:p>
    <w:p w14:paraId="2DB66702" w14:textId="77777777" w:rsidR="00F56F38" w:rsidRDefault="00F56F38">
      <w:pPr>
        <w:rPr>
          <w:rFonts w:ascii="Arial" w:hAnsi="Arial" w:cs="Arial"/>
          <w:sz w:val="22"/>
          <w:szCs w:val="22"/>
        </w:rPr>
      </w:pPr>
    </w:p>
    <w:p w14:paraId="48A446CC" w14:textId="77777777" w:rsidR="00F56F38" w:rsidRDefault="00F56F38">
      <w:pPr>
        <w:rPr>
          <w:rFonts w:ascii="Arial" w:hAnsi="Arial" w:cs="Arial"/>
          <w:sz w:val="22"/>
          <w:szCs w:val="22"/>
        </w:rPr>
      </w:pPr>
    </w:p>
    <w:p w14:paraId="028AFC14" w14:textId="77777777" w:rsidR="00FF165D" w:rsidRDefault="00FF165D">
      <w:pPr>
        <w:rPr>
          <w:rFonts w:ascii="Arial" w:hAnsi="Arial" w:cs="Arial"/>
          <w:sz w:val="22"/>
          <w:szCs w:val="22"/>
        </w:rPr>
      </w:pPr>
    </w:p>
    <w:p w14:paraId="4B536584" w14:textId="6E74647A" w:rsidR="001428EC" w:rsidRDefault="00A3762D">
      <w:pPr>
        <w:rPr>
          <w:rFonts w:ascii="Arial" w:hAnsi="Arial" w:cs="Arial"/>
          <w:b/>
          <w:bCs/>
          <w:sz w:val="22"/>
          <w:szCs w:val="22"/>
          <w:u w:val="single"/>
        </w:rPr>
      </w:pPr>
      <w:r>
        <w:rPr>
          <w:rFonts w:ascii="Arial" w:hAnsi="Arial" w:cs="Arial"/>
          <w:sz w:val="22"/>
          <w:szCs w:val="22"/>
        </w:rPr>
        <w:lastRenderedPageBreak/>
        <w:t xml:space="preserve"> </w:t>
      </w:r>
      <w:r w:rsidR="00F56F38" w:rsidRPr="00F56F38">
        <w:rPr>
          <w:rFonts w:ascii="Arial" w:hAnsi="Arial" w:cs="Arial"/>
          <w:b/>
          <w:bCs/>
          <w:sz w:val="22"/>
          <w:szCs w:val="22"/>
          <w:u w:val="single"/>
        </w:rPr>
        <w:t xml:space="preserve">Reference list </w:t>
      </w:r>
    </w:p>
    <w:p w14:paraId="7BBCAE2A"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Agarwal, A. and Burra, S., 2022. </w:t>
      </w:r>
      <w:r w:rsidRPr="00F56F38">
        <w:rPr>
          <w:rFonts w:ascii="Arial" w:eastAsia="Times New Roman" w:hAnsi="Arial" w:cs="Arial"/>
          <w:i/>
          <w:iCs/>
          <w:kern w:val="0"/>
          <w:sz w:val="22"/>
          <w:szCs w:val="22"/>
          <w:lang w:val="en-AE"/>
          <w14:ligatures w14:val="none"/>
        </w:rPr>
        <w:t>Fracture Healing Overview</w:t>
      </w:r>
      <w:r w:rsidRPr="00F56F38">
        <w:rPr>
          <w:rFonts w:ascii="Arial" w:eastAsia="Times New Roman" w:hAnsi="Arial" w:cs="Arial"/>
          <w:kern w:val="0"/>
          <w:sz w:val="22"/>
          <w:szCs w:val="22"/>
          <w:lang w:val="en-AE"/>
          <w14:ligatures w14:val="none"/>
        </w:rPr>
        <w:t xml:space="preserve">. In: StatPearls. Treasure Island (FL): StatPearls Publishing. Available at: </w:t>
      </w:r>
      <w:hyperlink r:id="rId6" w:tgtFrame="_new" w:history="1">
        <w:r w:rsidRPr="00F56F38">
          <w:rPr>
            <w:rFonts w:ascii="Arial" w:eastAsia="Times New Roman" w:hAnsi="Arial" w:cs="Arial"/>
            <w:color w:val="0000FF"/>
            <w:kern w:val="0"/>
            <w:sz w:val="22"/>
            <w:szCs w:val="22"/>
            <w:u w:val="single"/>
            <w:lang w:val="en-AE"/>
            <w14:ligatures w14:val="none"/>
          </w:rPr>
          <w:t>https://www.ncbi.nlm.nih.gov/books/NBK556139/</w:t>
        </w:r>
      </w:hyperlink>
      <w:r w:rsidRPr="00F56F38">
        <w:rPr>
          <w:rFonts w:ascii="Arial" w:eastAsia="Times New Roman" w:hAnsi="Arial" w:cs="Arial"/>
          <w:kern w:val="0"/>
          <w:sz w:val="22"/>
          <w:szCs w:val="22"/>
          <w:lang w:val="en-AE"/>
          <w14:ligatures w14:val="none"/>
        </w:rPr>
        <w:t xml:space="preserve"> [Accessed 10 Apr. 2025].</w:t>
      </w:r>
    </w:p>
    <w:p w14:paraId="10727746"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Agarwal, A., Burra, S. and Ryan, L., 2022. Management of fractures in cancer patients. </w:t>
      </w:r>
      <w:r w:rsidRPr="00F56F38">
        <w:rPr>
          <w:rFonts w:ascii="Arial" w:eastAsia="Times New Roman" w:hAnsi="Arial" w:cs="Arial"/>
          <w:i/>
          <w:iCs/>
          <w:kern w:val="0"/>
          <w:sz w:val="22"/>
          <w:szCs w:val="22"/>
          <w:lang w:val="en-AE"/>
          <w14:ligatures w14:val="none"/>
        </w:rPr>
        <w:t>Journal of Musculoskeletal Medicine</w:t>
      </w:r>
      <w:r w:rsidRPr="00F56F38">
        <w:rPr>
          <w:rFonts w:ascii="Arial" w:eastAsia="Times New Roman" w:hAnsi="Arial" w:cs="Arial"/>
          <w:kern w:val="0"/>
          <w:sz w:val="22"/>
          <w:szCs w:val="22"/>
          <w:lang w:val="en-AE"/>
          <w14:ligatures w14:val="none"/>
        </w:rPr>
        <w:t>, 25(3), pp.145–152.</w:t>
      </w:r>
    </w:p>
    <w:p w14:paraId="12566F35"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Anderson, M.K. and Parr, G.P., 2021. </w:t>
      </w:r>
      <w:r w:rsidRPr="00F56F38">
        <w:rPr>
          <w:rFonts w:ascii="Arial" w:eastAsia="Times New Roman" w:hAnsi="Arial" w:cs="Arial"/>
          <w:i/>
          <w:iCs/>
          <w:kern w:val="0"/>
          <w:sz w:val="22"/>
          <w:szCs w:val="22"/>
          <w:lang w:val="en-AE"/>
          <w14:ligatures w14:val="none"/>
        </w:rPr>
        <w:t>Foundations of Athletic Training: Prevention, Assessment, and Intervention</w:t>
      </w:r>
      <w:r w:rsidRPr="00F56F38">
        <w:rPr>
          <w:rFonts w:ascii="Arial" w:eastAsia="Times New Roman" w:hAnsi="Arial" w:cs="Arial"/>
          <w:kern w:val="0"/>
          <w:sz w:val="22"/>
          <w:szCs w:val="22"/>
          <w:lang w:val="en-AE"/>
          <w14:ligatures w14:val="none"/>
        </w:rPr>
        <w:t>. 7th ed. Philadelphia: Wolters Kluwer, pp.412–420.</w:t>
      </w:r>
    </w:p>
    <w:p w14:paraId="18F4EF44"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Brinker, M.R., O’Connor, D.P. and Almekinders, L.C., 2023. </w:t>
      </w:r>
      <w:r w:rsidRPr="00F56F38">
        <w:rPr>
          <w:rFonts w:ascii="Arial" w:eastAsia="Times New Roman" w:hAnsi="Arial" w:cs="Arial"/>
          <w:i/>
          <w:iCs/>
          <w:kern w:val="0"/>
          <w:sz w:val="22"/>
          <w:szCs w:val="22"/>
          <w:lang w:val="en-AE"/>
          <w14:ligatures w14:val="none"/>
        </w:rPr>
        <w:t>Review of Orthopaedic Trauma</w:t>
      </w:r>
      <w:r w:rsidRPr="00F56F38">
        <w:rPr>
          <w:rFonts w:ascii="Arial" w:eastAsia="Times New Roman" w:hAnsi="Arial" w:cs="Arial"/>
          <w:kern w:val="0"/>
          <w:sz w:val="22"/>
          <w:szCs w:val="22"/>
          <w:lang w:val="en-AE"/>
          <w14:ligatures w14:val="none"/>
        </w:rPr>
        <w:t>. 6th ed. Philadelphia: Wolters Kluwer, pp.412–414.</w:t>
      </w:r>
    </w:p>
    <w:p w14:paraId="078BC139"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Dunn, K., Whittaker, A. and Ward, M., 2021. Repetitive stress injuries and occupational health risks in physically demanding professions: A focus on lower limb fractures in military personnel. </w:t>
      </w:r>
      <w:r w:rsidRPr="00F56F38">
        <w:rPr>
          <w:rFonts w:ascii="Arial" w:eastAsia="Times New Roman" w:hAnsi="Arial" w:cs="Arial"/>
          <w:i/>
          <w:iCs/>
          <w:kern w:val="0"/>
          <w:sz w:val="22"/>
          <w:szCs w:val="22"/>
          <w:lang w:val="en-AE"/>
          <w14:ligatures w14:val="none"/>
        </w:rPr>
        <w:t>Journal of Occupational Health</w:t>
      </w:r>
      <w:r w:rsidRPr="00F56F38">
        <w:rPr>
          <w:rFonts w:ascii="Arial" w:eastAsia="Times New Roman" w:hAnsi="Arial" w:cs="Arial"/>
          <w:kern w:val="0"/>
          <w:sz w:val="22"/>
          <w:szCs w:val="22"/>
          <w:lang w:val="en-AE"/>
          <w14:ligatures w14:val="none"/>
        </w:rPr>
        <w:t>, 63(2), pp.154–161.</w:t>
      </w:r>
    </w:p>
    <w:p w14:paraId="1780600E"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Fallon, M. and Fallon, M.T., 2022. </w:t>
      </w:r>
      <w:r w:rsidRPr="00F56F38">
        <w:rPr>
          <w:rFonts w:ascii="Arial" w:eastAsia="Times New Roman" w:hAnsi="Arial" w:cs="Arial"/>
          <w:i/>
          <w:iCs/>
          <w:kern w:val="0"/>
          <w:sz w:val="22"/>
          <w:szCs w:val="22"/>
          <w:lang w:val="en-AE"/>
          <w14:ligatures w14:val="none"/>
        </w:rPr>
        <w:t>Cancer Pain: Assessment and Management</w:t>
      </w:r>
      <w:r w:rsidRPr="00F56F38">
        <w:rPr>
          <w:rFonts w:ascii="Arial" w:eastAsia="Times New Roman" w:hAnsi="Arial" w:cs="Arial"/>
          <w:kern w:val="0"/>
          <w:sz w:val="22"/>
          <w:szCs w:val="22"/>
          <w:lang w:val="en-AE"/>
          <w14:ligatures w14:val="none"/>
        </w:rPr>
        <w:t>. 3rd ed. Oxford: Oxford University Press, pp.98–115.</w:t>
      </w:r>
    </w:p>
    <w:p w14:paraId="32F1C357"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Gümüştaş, S.A. and Çevik, H.B., 2021. An epidemiological study of primary bone tumors of the fibula. </w:t>
      </w:r>
      <w:r w:rsidRPr="00F56F38">
        <w:rPr>
          <w:rFonts w:ascii="Arial" w:eastAsia="Times New Roman" w:hAnsi="Arial" w:cs="Arial"/>
          <w:i/>
          <w:iCs/>
          <w:kern w:val="0"/>
          <w:sz w:val="22"/>
          <w:szCs w:val="22"/>
          <w:lang w:val="en-AE"/>
          <w14:ligatures w14:val="none"/>
        </w:rPr>
        <w:t>Cureus</w:t>
      </w:r>
      <w:r w:rsidRPr="00F56F38">
        <w:rPr>
          <w:rFonts w:ascii="Arial" w:eastAsia="Times New Roman" w:hAnsi="Arial" w:cs="Arial"/>
          <w:kern w:val="0"/>
          <w:sz w:val="22"/>
          <w:szCs w:val="22"/>
          <w:lang w:val="en-AE"/>
          <w14:ligatures w14:val="none"/>
        </w:rPr>
        <w:t>, 13(7).</w:t>
      </w:r>
    </w:p>
    <w:p w14:paraId="7FDFBAAA"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Hackett, C.L., Wallace, M., McMillan, K. and Singh, S., 2023. </w:t>
      </w:r>
      <w:r w:rsidRPr="00F56F38">
        <w:rPr>
          <w:rFonts w:ascii="Arial" w:eastAsia="Times New Roman" w:hAnsi="Arial" w:cs="Arial"/>
          <w:i/>
          <w:iCs/>
          <w:kern w:val="0"/>
          <w:sz w:val="22"/>
          <w:szCs w:val="22"/>
          <w:lang w:val="en-AE"/>
          <w14:ligatures w14:val="none"/>
        </w:rPr>
        <w:t>Rehabilitation in Oncology: Principles and Practice</w:t>
      </w:r>
      <w:r w:rsidRPr="00F56F38">
        <w:rPr>
          <w:rFonts w:ascii="Arial" w:eastAsia="Times New Roman" w:hAnsi="Arial" w:cs="Arial"/>
          <w:kern w:val="0"/>
          <w:sz w:val="22"/>
          <w:szCs w:val="22"/>
          <w:lang w:val="en-AE"/>
          <w14:ligatures w14:val="none"/>
        </w:rPr>
        <w:t>. 2nd ed. London: Elsevier, pp.132–140.</w:t>
      </w:r>
    </w:p>
    <w:p w14:paraId="450918B3"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Hjelle, A.M., Apalset, E.M., Gjertsen, J.-E., Nilsen, R.M., Lober, A., Tell, G.S. and Mielnik, P.F., 2021. Associations of overweight, obesity and osteoporosis with ankle fractures. </w:t>
      </w:r>
      <w:r w:rsidRPr="00F56F38">
        <w:rPr>
          <w:rFonts w:ascii="Arial" w:eastAsia="Times New Roman" w:hAnsi="Arial" w:cs="Arial"/>
          <w:i/>
          <w:iCs/>
          <w:kern w:val="0"/>
          <w:sz w:val="22"/>
          <w:szCs w:val="22"/>
          <w:lang w:val="en-AE"/>
          <w14:ligatures w14:val="none"/>
        </w:rPr>
        <w:t>BMC Musculoskeletal Disorders</w:t>
      </w:r>
      <w:r w:rsidRPr="00F56F38">
        <w:rPr>
          <w:rFonts w:ascii="Arial" w:eastAsia="Times New Roman" w:hAnsi="Arial" w:cs="Arial"/>
          <w:kern w:val="0"/>
          <w:sz w:val="22"/>
          <w:szCs w:val="22"/>
          <w:lang w:val="en-AE"/>
          <w14:ligatures w14:val="none"/>
        </w:rPr>
        <w:t xml:space="preserve">, 22, Article 723. Available at: </w:t>
      </w:r>
      <w:hyperlink r:id="rId7" w:tgtFrame="_new" w:history="1">
        <w:r w:rsidRPr="00F56F38">
          <w:rPr>
            <w:rFonts w:ascii="Arial" w:eastAsia="Times New Roman" w:hAnsi="Arial" w:cs="Arial"/>
            <w:color w:val="0000FF"/>
            <w:kern w:val="0"/>
            <w:sz w:val="22"/>
            <w:szCs w:val="22"/>
            <w:u w:val="single"/>
            <w:lang w:val="en-AE"/>
            <w14:ligatures w14:val="none"/>
          </w:rPr>
          <w:t>https://doi.org/10.1186/s12891-021-04607-9</w:t>
        </w:r>
      </w:hyperlink>
      <w:r w:rsidRPr="00F56F38">
        <w:rPr>
          <w:rFonts w:ascii="Arial" w:eastAsia="Times New Roman" w:hAnsi="Arial" w:cs="Arial"/>
          <w:kern w:val="0"/>
          <w:sz w:val="22"/>
          <w:szCs w:val="22"/>
          <w:lang w:val="en-AE"/>
          <w14:ligatures w14:val="none"/>
        </w:rPr>
        <w:t>.</w:t>
      </w:r>
    </w:p>
    <w:p w14:paraId="09055822"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Hootman, J.M., Dick, R. and Agel, J., 2007. Epidemiology of collegiate injuries for 15 sports: Summary and recommendations for injury prevention initiatives. </w:t>
      </w:r>
      <w:r w:rsidRPr="00F56F38">
        <w:rPr>
          <w:rFonts w:ascii="Arial" w:eastAsia="Times New Roman" w:hAnsi="Arial" w:cs="Arial"/>
          <w:i/>
          <w:iCs/>
          <w:kern w:val="0"/>
          <w:sz w:val="22"/>
          <w:szCs w:val="22"/>
          <w:lang w:val="en-AE"/>
          <w14:ligatures w14:val="none"/>
        </w:rPr>
        <w:t>Journal of Athletic Training</w:t>
      </w:r>
      <w:r w:rsidRPr="00F56F38">
        <w:rPr>
          <w:rFonts w:ascii="Arial" w:eastAsia="Times New Roman" w:hAnsi="Arial" w:cs="Arial"/>
          <w:kern w:val="0"/>
          <w:sz w:val="22"/>
          <w:szCs w:val="22"/>
          <w:lang w:val="en-AE"/>
          <w14:ligatures w14:val="none"/>
        </w:rPr>
        <w:t>, 42(2), pp.311–319.</w:t>
      </w:r>
    </w:p>
    <w:p w14:paraId="2D12C04F"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Luther, L., McGlone, P.J., Hardacker, K.D., Alsoof, D., Hayda, R.A. and Terek, R.M., 2024. Distal fibular metastasis of colorectal carcinoma: A case report. </w:t>
      </w:r>
      <w:r w:rsidRPr="00F56F38">
        <w:rPr>
          <w:rFonts w:ascii="Arial" w:eastAsia="Times New Roman" w:hAnsi="Arial" w:cs="Arial"/>
          <w:i/>
          <w:iCs/>
          <w:kern w:val="0"/>
          <w:sz w:val="22"/>
          <w:szCs w:val="22"/>
          <w:lang w:val="en-AE"/>
          <w14:ligatures w14:val="none"/>
        </w:rPr>
        <w:t>Orthopedic Reviews</w:t>
      </w:r>
      <w:r w:rsidRPr="00F56F38">
        <w:rPr>
          <w:rFonts w:ascii="Arial" w:eastAsia="Times New Roman" w:hAnsi="Arial" w:cs="Arial"/>
          <w:kern w:val="0"/>
          <w:sz w:val="22"/>
          <w:szCs w:val="22"/>
          <w:lang w:val="en-AE"/>
          <w14:ligatures w14:val="none"/>
        </w:rPr>
        <w:t>, 16.</w:t>
      </w:r>
    </w:p>
    <w:p w14:paraId="436853C4"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Mantyh, P., 2013. Bone cancer pain: Causes, consequences, and therapeutic opportunities. </w:t>
      </w:r>
      <w:r w:rsidRPr="00F56F38">
        <w:rPr>
          <w:rFonts w:ascii="Arial" w:eastAsia="Times New Roman" w:hAnsi="Arial" w:cs="Arial"/>
          <w:i/>
          <w:iCs/>
          <w:kern w:val="0"/>
          <w:sz w:val="22"/>
          <w:szCs w:val="22"/>
          <w:lang w:val="en-AE"/>
          <w14:ligatures w14:val="none"/>
        </w:rPr>
        <w:t>Pain</w:t>
      </w:r>
      <w:r w:rsidRPr="00F56F38">
        <w:rPr>
          <w:rFonts w:ascii="Arial" w:eastAsia="Times New Roman" w:hAnsi="Arial" w:cs="Arial"/>
          <w:kern w:val="0"/>
          <w:sz w:val="22"/>
          <w:szCs w:val="22"/>
          <w:lang w:val="en-AE"/>
          <w14:ligatures w14:val="none"/>
        </w:rPr>
        <w:t xml:space="preserve">, 154, pp.S54–S62. Available at: </w:t>
      </w:r>
      <w:hyperlink r:id="rId8" w:tgtFrame="_new" w:history="1">
        <w:r w:rsidRPr="00F56F38">
          <w:rPr>
            <w:rFonts w:ascii="Arial" w:eastAsia="Times New Roman" w:hAnsi="Arial" w:cs="Arial"/>
            <w:color w:val="0000FF"/>
            <w:kern w:val="0"/>
            <w:sz w:val="22"/>
            <w:szCs w:val="22"/>
            <w:u w:val="single"/>
            <w:lang w:val="en-AE"/>
            <w14:ligatures w14:val="none"/>
          </w:rPr>
          <w:t>https://doi.org/10.1016/j.pain.2013.07.044</w:t>
        </w:r>
      </w:hyperlink>
      <w:r w:rsidRPr="00F56F38">
        <w:rPr>
          <w:rFonts w:ascii="Arial" w:eastAsia="Times New Roman" w:hAnsi="Arial" w:cs="Arial"/>
          <w:kern w:val="0"/>
          <w:sz w:val="22"/>
          <w:szCs w:val="22"/>
          <w:lang w:val="en-AE"/>
          <w14:ligatures w14:val="none"/>
        </w:rPr>
        <w:t>.</w:t>
      </w:r>
    </w:p>
    <w:p w14:paraId="14626178"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Pichardo, M.U., Krishnan, Y., Silva, M.J. and Berman, A.T., 2022. Effects of cancer therapies on bone health: Mechanisms and treatment options. </w:t>
      </w:r>
      <w:r w:rsidRPr="00F56F38">
        <w:rPr>
          <w:rFonts w:ascii="Arial" w:eastAsia="Times New Roman" w:hAnsi="Arial" w:cs="Arial"/>
          <w:i/>
          <w:iCs/>
          <w:kern w:val="0"/>
          <w:sz w:val="22"/>
          <w:szCs w:val="22"/>
          <w:lang w:val="en-AE"/>
          <w14:ligatures w14:val="none"/>
        </w:rPr>
        <w:t>Frontiers in Endocrinology</w:t>
      </w:r>
      <w:r w:rsidRPr="00F56F38">
        <w:rPr>
          <w:rFonts w:ascii="Arial" w:eastAsia="Times New Roman" w:hAnsi="Arial" w:cs="Arial"/>
          <w:kern w:val="0"/>
          <w:sz w:val="22"/>
          <w:szCs w:val="22"/>
          <w:lang w:val="en-AE"/>
          <w14:ligatures w14:val="none"/>
        </w:rPr>
        <w:t>, 13, p.906113.</w:t>
      </w:r>
    </w:p>
    <w:p w14:paraId="1D41F537"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Read, P.J., Oliver, J.L., De Ste Croix, M.B.A., Myer, G.D. and Lloyd, R.S., 2020. A prospective investigation to evaluate risk factors for lower extremity injury risk in male youth soccer players. </w:t>
      </w:r>
      <w:r w:rsidRPr="00F56F38">
        <w:rPr>
          <w:rFonts w:ascii="Arial" w:eastAsia="Times New Roman" w:hAnsi="Arial" w:cs="Arial"/>
          <w:i/>
          <w:iCs/>
          <w:kern w:val="0"/>
          <w:sz w:val="22"/>
          <w:szCs w:val="22"/>
          <w:lang w:val="en-AE"/>
          <w14:ligatures w14:val="none"/>
        </w:rPr>
        <w:t>Scandinavian Journal of Medicine &amp; Science in Sports</w:t>
      </w:r>
      <w:r w:rsidRPr="00F56F38">
        <w:rPr>
          <w:rFonts w:ascii="Arial" w:eastAsia="Times New Roman" w:hAnsi="Arial" w:cs="Arial"/>
          <w:kern w:val="0"/>
          <w:sz w:val="22"/>
          <w:szCs w:val="22"/>
          <w:lang w:val="en-AE"/>
          <w14:ligatures w14:val="none"/>
        </w:rPr>
        <w:t>, 30(1), pp.158–165.</w:t>
      </w:r>
    </w:p>
    <w:p w14:paraId="0668F070"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lastRenderedPageBreak/>
        <w:t xml:space="preserve">Rees, D., Stride, M. and Scott, M., 2022. </w:t>
      </w:r>
      <w:r w:rsidRPr="00F56F38">
        <w:rPr>
          <w:rFonts w:ascii="Arial" w:eastAsia="Times New Roman" w:hAnsi="Arial" w:cs="Arial"/>
          <w:i/>
          <w:iCs/>
          <w:kern w:val="0"/>
          <w:sz w:val="22"/>
          <w:szCs w:val="22"/>
          <w:lang w:val="en-AE"/>
          <w14:ligatures w14:val="none"/>
        </w:rPr>
        <w:t>Practical Orthopaedic Rehabilitation</w:t>
      </w:r>
      <w:r w:rsidRPr="00F56F38">
        <w:rPr>
          <w:rFonts w:ascii="Arial" w:eastAsia="Times New Roman" w:hAnsi="Arial" w:cs="Arial"/>
          <w:kern w:val="0"/>
          <w:sz w:val="22"/>
          <w:szCs w:val="22"/>
          <w:lang w:val="en-AE"/>
          <w14:ligatures w14:val="none"/>
        </w:rPr>
        <w:t>. 2nd ed. London: Elsevier, pp.158–165.</w:t>
      </w:r>
    </w:p>
    <w:p w14:paraId="02DCA7AC"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Shahzad, F., Fazzalari, A., Zoghbi, Y., Coriddi, M.R., Chapman, T.R., Mehrara, B.J., Disa, J.J., Cordeiro, P.G., Healey, J. and Athanasian, E., 2023. Reconstruction of oncologic upper extremity defects with fibula free flaps has high union rates and excellent functional outcomes. </w:t>
      </w:r>
      <w:r w:rsidRPr="00F56F38">
        <w:rPr>
          <w:rFonts w:ascii="Arial" w:eastAsia="Times New Roman" w:hAnsi="Arial" w:cs="Arial"/>
          <w:i/>
          <w:iCs/>
          <w:kern w:val="0"/>
          <w:sz w:val="22"/>
          <w:szCs w:val="22"/>
          <w:lang w:val="en-AE"/>
          <w14:ligatures w14:val="none"/>
        </w:rPr>
        <w:t>Journal of Surgical Oncology</w:t>
      </w:r>
      <w:r w:rsidRPr="00F56F38">
        <w:rPr>
          <w:rFonts w:ascii="Arial" w:eastAsia="Times New Roman" w:hAnsi="Arial" w:cs="Arial"/>
          <w:kern w:val="0"/>
          <w:sz w:val="22"/>
          <w:szCs w:val="22"/>
          <w:lang w:val="en-AE"/>
          <w14:ligatures w14:val="none"/>
        </w:rPr>
        <w:t>, 128(8), pp.1416–1427.</w:t>
      </w:r>
    </w:p>
    <w:p w14:paraId="661920B0"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Sharma, J. and Heagerty, R., 2017. Stress fracture: A review of the pathophysiology, epidemiology and management options. </w:t>
      </w:r>
      <w:r w:rsidRPr="00F56F38">
        <w:rPr>
          <w:rFonts w:ascii="Arial" w:eastAsia="Times New Roman" w:hAnsi="Arial" w:cs="Arial"/>
          <w:i/>
          <w:iCs/>
          <w:kern w:val="0"/>
          <w:sz w:val="22"/>
          <w:szCs w:val="22"/>
          <w:lang w:val="en-AE"/>
          <w14:ligatures w14:val="none"/>
        </w:rPr>
        <w:t>Journal of Sports Science &amp; Medicine</w:t>
      </w:r>
      <w:r w:rsidRPr="00F56F38">
        <w:rPr>
          <w:rFonts w:ascii="Arial" w:eastAsia="Times New Roman" w:hAnsi="Arial" w:cs="Arial"/>
          <w:kern w:val="0"/>
          <w:sz w:val="22"/>
          <w:szCs w:val="22"/>
          <w:lang w:val="en-AE"/>
          <w14:ligatures w14:val="none"/>
        </w:rPr>
        <w:t>, 16(3), pp.349–355.</w:t>
      </w:r>
    </w:p>
    <w:p w14:paraId="6D07EA69"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Subbiah, V. and West, H.L., 2016. Bone complications in patients with cancer. </w:t>
      </w:r>
      <w:r w:rsidRPr="00F56F38">
        <w:rPr>
          <w:rFonts w:ascii="Arial" w:eastAsia="Times New Roman" w:hAnsi="Arial" w:cs="Arial"/>
          <w:i/>
          <w:iCs/>
          <w:kern w:val="0"/>
          <w:sz w:val="22"/>
          <w:szCs w:val="22"/>
          <w:lang w:val="en-AE"/>
          <w14:ligatures w14:val="none"/>
        </w:rPr>
        <w:t>JAMA Oncology</w:t>
      </w:r>
      <w:r w:rsidRPr="00F56F38">
        <w:rPr>
          <w:rFonts w:ascii="Arial" w:eastAsia="Times New Roman" w:hAnsi="Arial" w:cs="Arial"/>
          <w:kern w:val="0"/>
          <w:sz w:val="22"/>
          <w:szCs w:val="22"/>
          <w:lang w:val="en-AE"/>
          <w14:ligatures w14:val="none"/>
        </w:rPr>
        <w:t xml:space="preserve">, 2(5), p.695. Available at: </w:t>
      </w:r>
      <w:hyperlink r:id="rId9" w:tgtFrame="_new" w:history="1">
        <w:r w:rsidRPr="00F56F38">
          <w:rPr>
            <w:rFonts w:ascii="Arial" w:eastAsia="Times New Roman" w:hAnsi="Arial" w:cs="Arial"/>
            <w:color w:val="0000FF"/>
            <w:kern w:val="0"/>
            <w:sz w:val="22"/>
            <w:szCs w:val="22"/>
            <w:u w:val="single"/>
            <w:lang w:val="en-AE"/>
            <w14:ligatures w14:val="none"/>
          </w:rPr>
          <w:t>https://doi.org/10.1001/jamaoncol.2015.3495</w:t>
        </w:r>
      </w:hyperlink>
      <w:r w:rsidRPr="00F56F38">
        <w:rPr>
          <w:rFonts w:ascii="Arial" w:eastAsia="Times New Roman" w:hAnsi="Arial" w:cs="Arial"/>
          <w:kern w:val="0"/>
          <w:sz w:val="22"/>
          <w:szCs w:val="22"/>
          <w:lang w:val="en-AE"/>
          <w14:ligatures w14:val="none"/>
        </w:rPr>
        <w:t>.</w:t>
      </w:r>
    </w:p>
    <w:p w14:paraId="63B8B341"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Vestergaard, P., Rejnmark, L. and Mosekilde, L., 2009. Fracture risk in patients with different types of cancer. </w:t>
      </w:r>
      <w:r w:rsidRPr="00F56F38">
        <w:rPr>
          <w:rFonts w:ascii="Arial" w:eastAsia="Times New Roman" w:hAnsi="Arial" w:cs="Arial"/>
          <w:i/>
          <w:iCs/>
          <w:kern w:val="0"/>
          <w:sz w:val="22"/>
          <w:szCs w:val="22"/>
          <w:lang w:val="en-AE"/>
          <w14:ligatures w14:val="none"/>
        </w:rPr>
        <w:t>Acta Oncologica</w:t>
      </w:r>
      <w:r w:rsidRPr="00F56F38">
        <w:rPr>
          <w:rFonts w:ascii="Arial" w:eastAsia="Times New Roman" w:hAnsi="Arial" w:cs="Arial"/>
          <w:kern w:val="0"/>
          <w:sz w:val="22"/>
          <w:szCs w:val="22"/>
          <w:lang w:val="en-AE"/>
          <w14:ligatures w14:val="none"/>
        </w:rPr>
        <w:t>, 48(1), pp.105–115.</w:t>
      </w:r>
    </w:p>
    <w:p w14:paraId="3FC1C138"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Weber, K.L., Damron, T.A., Frassica, F.J. and Sim, F.H., 2023. </w:t>
      </w:r>
      <w:r w:rsidRPr="00F56F38">
        <w:rPr>
          <w:rFonts w:ascii="Arial" w:eastAsia="Times New Roman" w:hAnsi="Arial" w:cs="Arial"/>
          <w:i/>
          <w:iCs/>
          <w:kern w:val="0"/>
          <w:sz w:val="22"/>
          <w:szCs w:val="22"/>
          <w:lang w:val="en-AE"/>
          <w14:ligatures w14:val="none"/>
        </w:rPr>
        <w:t>Malignant Bone Tumors: Surgical Treatment and Reconstruction</w:t>
      </w:r>
      <w:r w:rsidRPr="00F56F38">
        <w:rPr>
          <w:rFonts w:ascii="Arial" w:eastAsia="Times New Roman" w:hAnsi="Arial" w:cs="Arial"/>
          <w:kern w:val="0"/>
          <w:sz w:val="22"/>
          <w:szCs w:val="22"/>
          <w:lang w:val="en-AE"/>
          <w14:ligatures w14:val="none"/>
        </w:rPr>
        <w:t>. 2nd ed. New York: Springer, pp.210–225.</w:t>
      </w:r>
    </w:p>
    <w:p w14:paraId="071E5DCF" w14:textId="77777777" w:rsidR="00F56F38" w:rsidRPr="00F56F38" w:rsidRDefault="00F56F38" w:rsidP="00F56F38">
      <w:pPr>
        <w:spacing w:before="100" w:beforeAutospacing="1" w:after="100" w:afterAutospacing="1" w:line="240" w:lineRule="auto"/>
        <w:rPr>
          <w:rFonts w:ascii="Arial" w:eastAsia="Times New Roman" w:hAnsi="Arial" w:cs="Arial"/>
          <w:kern w:val="0"/>
          <w:sz w:val="22"/>
          <w:szCs w:val="22"/>
          <w:lang w:val="en-AE"/>
          <w14:ligatures w14:val="none"/>
        </w:rPr>
      </w:pPr>
      <w:r w:rsidRPr="00F56F38">
        <w:rPr>
          <w:rFonts w:ascii="Arial" w:eastAsia="Times New Roman" w:hAnsi="Arial" w:cs="Arial"/>
          <w:kern w:val="0"/>
          <w:sz w:val="22"/>
          <w:szCs w:val="22"/>
          <w:lang w:val="en-AE"/>
          <w14:ligatures w14:val="none"/>
        </w:rPr>
        <w:t xml:space="preserve">Werner, B.C., Mack, C.D., Franke, K., Barnes, R.P., Warren, R.F. and Rodeo, S.A., 2017. Distal fibula fractures in National Football League athletes. </w:t>
      </w:r>
      <w:r w:rsidRPr="00F56F38">
        <w:rPr>
          <w:rFonts w:ascii="Arial" w:eastAsia="Times New Roman" w:hAnsi="Arial" w:cs="Arial"/>
          <w:i/>
          <w:iCs/>
          <w:kern w:val="0"/>
          <w:sz w:val="22"/>
          <w:szCs w:val="22"/>
          <w:lang w:val="en-AE"/>
          <w14:ligatures w14:val="none"/>
        </w:rPr>
        <w:t>Orthopaedic Journal of Sports Medicine</w:t>
      </w:r>
      <w:r w:rsidRPr="00F56F38">
        <w:rPr>
          <w:rFonts w:ascii="Arial" w:eastAsia="Times New Roman" w:hAnsi="Arial" w:cs="Arial"/>
          <w:kern w:val="0"/>
          <w:sz w:val="22"/>
          <w:szCs w:val="22"/>
          <w:lang w:val="en-AE"/>
          <w14:ligatures w14:val="none"/>
        </w:rPr>
        <w:t>, 5(9), p.2325967117726515.</w:t>
      </w:r>
    </w:p>
    <w:p w14:paraId="1A7A5E1B" w14:textId="77777777" w:rsidR="00F56F38" w:rsidRPr="00F56F38" w:rsidRDefault="00F56F38">
      <w:pPr>
        <w:rPr>
          <w:b/>
          <w:bCs/>
          <w:u w:val="single"/>
        </w:rPr>
      </w:pPr>
    </w:p>
    <w:sectPr w:rsidR="00F56F38" w:rsidRPr="00F56F38">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33D56" w14:textId="77777777" w:rsidR="000418A3" w:rsidRDefault="000418A3" w:rsidP="00A560F4">
      <w:pPr>
        <w:spacing w:after="0" w:line="240" w:lineRule="auto"/>
      </w:pPr>
      <w:r>
        <w:separator/>
      </w:r>
    </w:p>
  </w:endnote>
  <w:endnote w:type="continuationSeparator" w:id="0">
    <w:p w14:paraId="5F0921CF" w14:textId="77777777" w:rsidR="000418A3" w:rsidRDefault="000418A3" w:rsidP="00A56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9FD1" w14:textId="77777777" w:rsidR="000418A3" w:rsidRDefault="000418A3" w:rsidP="00A560F4">
      <w:pPr>
        <w:spacing w:after="0" w:line="240" w:lineRule="auto"/>
      </w:pPr>
      <w:r>
        <w:separator/>
      </w:r>
    </w:p>
  </w:footnote>
  <w:footnote w:type="continuationSeparator" w:id="0">
    <w:p w14:paraId="4830C1D5" w14:textId="77777777" w:rsidR="000418A3" w:rsidRDefault="000418A3" w:rsidP="00A56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ABF09" w14:textId="30E9C58D" w:rsidR="00A560F4" w:rsidRDefault="00A560F4">
    <w:pPr>
      <w:pStyle w:val="Header"/>
    </w:pPr>
    <w:r>
      <w:t xml:space="preserve">BMST4004 </w:t>
    </w:r>
    <w:r>
      <w:tab/>
    </w:r>
    <w:r>
      <w:tab/>
      <w:t xml:space="preserve">Lauren Evans </w:t>
    </w:r>
  </w:p>
  <w:p w14:paraId="1DCB6843" w14:textId="36336439" w:rsidR="00A560F4" w:rsidRDefault="00A560F4">
    <w:pPr>
      <w:pStyle w:val="Header"/>
    </w:pPr>
    <w:r>
      <w:tab/>
    </w:r>
    <w:r>
      <w:tab/>
      <w:t xml:space="preserve">2422515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0F4"/>
    <w:rsid w:val="000418A3"/>
    <w:rsid w:val="000657E8"/>
    <w:rsid w:val="00091612"/>
    <w:rsid w:val="00091E72"/>
    <w:rsid w:val="00125E8B"/>
    <w:rsid w:val="00132670"/>
    <w:rsid w:val="001428EC"/>
    <w:rsid w:val="001B1E24"/>
    <w:rsid w:val="001D3442"/>
    <w:rsid w:val="00253964"/>
    <w:rsid w:val="00466445"/>
    <w:rsid w:val="00475044"/>
    <w:rsid w:val="00533E2C"/>
    <w:rsid w:val="005550F8"/>
    <w:rsid w:val="00595811"/>
    <w:rsid w:val="007274C3"/>
    <w:rsid w:val="00791A1D"/>
    <w:rsid w:val="007C64B9"/>
    <w:rsid w:val="0084193F"/>
    <w:rsid w:val="00842927"/>
    <w:rsid w:val="00890886"/>
    <w:rsid w:val="00906CEA"/>
    <w:rsid w:val="009E6F9E"/>
    <w:rsid w:val="00A3762D"/>
    <w:rsid w:val="00A560F4"/>
    <w:rsid w:val="00AC4632"/>
    <w:rsid w:val="00B43469"/>
    <w:rsid w:val="00BF56F7"/>
    <w:rsid w:val="00C42EBF"/>
    <w:rsid w:val="00C4684C"/>
    <w:rsid w:val="00CB4F2B"/>
    <w:rsid w:val="00D040F8"/>
    <w:rsid w:val="00E84083"/>
    <w:rsid w:val="00EA662C"/>
    <w:rsid w:val="00F56F38"/>
    <w:rsid w:val="00FD0A1D"/>
    <w:rsid w:val="00FE448A"/>
    <w:rsid w:val="00FF165D"/>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4:docId w14:val="1AFCEF62"/>
  <w15:chartTrackingRefBased/>
  <w15:docId w15:val="{DACB5058-0261-3B4F-BA22-51E044277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60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0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0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0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0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0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0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0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0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0F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A560F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560F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560F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560F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560F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560F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560F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560F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560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0F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560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0F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560F4"/>
    <w:pPr>
      <w:spacing w:before="160"/>
      <w:jc w:val="center"/>
    </w:pPr>
    <w:rPr>
      <w:i/>
      <w:iCs/>
      <w:color w:val="404040" w:themeColor="text1" w:themeTint="BF"/>
    </w:rPr>
  </w:style>
  <w:style w:type="character" w:customStyle="1" w:styleId="QuoteChar">
    <w:name w:val="Quote Char"/>
    <w:basedOn w:val="DefaultParagraphFont"/>
    <w:link w:val="Quote"/>
    <w:uiPriority w:val="29"/>
    <w:rsid w:val="00A560F4"/>
    <w:rPr>
      <w:i/>
      <w:iCs/>
      <w:color w:val="404040" w:themeColor="text1" w:themeTint="BF"/>
      <w:lang w:val="en-GB"/>
    </w:rPr>
  </w:style>
  <w:style w:type="paragraph" w:styleId="ListParagraph">
    <w:name w:val="List Paragraph"/>
    <w:basedOn w:val="Normal"/>
    <w:uiPriority w:val="34"/>
    <w:qFormat/>
    <w:rsid w:val="00A560F4"/>
    <w:pPr>
      <w:ind w:left="720"/>
      <w:contextualSpacing/>
    </w:pPr>
  </w:style>
  <w:style w:type="character" w:styleId="IntenseEmphasis">
    <w:name w:val="Intense Emphasis"/>
    <w:basedOn w:val="DefaultParagraphFont"/>
    <w:uiPriority w:val="21"/>
    <w:qFormat/>
    <w:rsid w:val="00A560F4"/>
    <w:rPr>
      <w:i/>
      <w:iCs/>
      <w:color w:val="0F4761" w:themeColor="accent1" w:themeShade="BF"/>
    </w:rPr>
  </w:style>
  <w:style w:type="paragraph" w:styleId="IntenseQuote">
    <w:name w:val="Intense Quote"/>
    <w:basedOn w:val="Normal"/>
    <w:next w:val="Normal"/>
    <w:link w:val="IntenseQuoteChar"/>
    <w:uiPriority w:val="30"/>
    <w:qFormat/>
    <w:rsid w:val="00A560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0F4"/>
    <w:rPr>
      <w:i/>
      <w:iCs/>
      <w:color w:val="0F4761" w:themeColor="accent1" w:themeShade="BF"/>
      <w:lang w:val="en-GB"/>
    </w:rPr>
  </w:style>
  <w:style w:type="character" w:styleId="IntenseReference">
    <w:name w:val="Intense Reference"/>
    <w:basedOn w:val="DefaultParagraphFont"/>
    <w:uiPriority w:val="32"/>
    <w:qFormat/>
    <w:rsid w:val="00A560F4"/>
    <w:rPr>
      <w:b/>
      <w:bCs/>
      <w:smallCaps/>
      <w:color w:val="0F4761" w:themeColor="accent1" w:themeShade="BF"/>
      <w:spacing w:val="5"/>
    </w:rPr>
  </w:style>
  <w:style w:type="paragraph" w:styleId="Header">
    <w:name w:val="header"/>
    <w:basedOn w:val="Normal"/>
    <w:link w:val="HeaderChar"/>
    <w:uiPriority w:val="99"/>
    <w:unhideWhenUsed/>
    <w:rsid w:val="00A56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0F4"/>
    <w:rPr>
      <w:lang w:val="en-GB"/>
    </w:rPr>
  </w:style>
  <w:style w:type="paragraph" w:styleId="Footer">
    <w:name w:val="footer"/>
    <w:basedOn w:val="Normal"/>
    <w:link w:val="FooterChar"/>
    <w:uiPriority w:val="99"/>
    <w:unhideWhenUsed/>
    <w:rsid w:val="00A56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0F4"/>
    <w:rPr>
      <w:lang w:val="en-GB"/>
    </w:rPr>
  </w:style>
  <w:style w:type="character" w:styleId="Emphasis">
    <w:name w:val="Emphasis"/>
    <w:basedOn w:val="DefaultParagraphFont"/>
    <w:uiPriority w:val="20"/>
    <w:qFormat/>
    <w:rsid w:val="00475044"/>
    <w:rPr>
      <w:i/>
      <w:iCs/>
    </w:rPr>
  </w:style>
  <w:style w:type="character" w:styleId="Hyperlink">
    <w:name w:val="Hyperlink"/>
    <w:basedOn w:val="DefaultParagraphFont"/>
    <w:uiPriority w:val="99"/>
    <w:semiHidden/>
    <w:unhideWhenUsed/>
    <w:rsid w:val="004750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9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ain.2013.07.044" TargetMode="External"/><Relationship Id="rId3" Type="http://schemas.openxmlformats.org/officeDocument/2006/relationships/webSettings" Target="webSettings.xml"/><Relationship Id="rId7" Type="http://schemas.openxmlformats.org/officeDocument/2006/relationships/hyperlink" Target="https://doi.org/10.1186/s12891-021-04607-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books/NBK556139/"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01/jamaoncol.2015.3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5</Pages>
  <Words>2049</Words>
  <Characters>11684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EVA18839159 (Lauren Evans)</dc:creator>
  <cp:keywords/>
  <dc:description/>
  <cp:lastModifiedBy>EVA18839159 (Lauren Evans)</cp:lastModifiedBy>
  <cp:revision>6</cp:revision>
  <dcterms:created xsi:type="dcterms:W3CDTF">2025-04-09T12:54:00Z</dcterms:created>
  <dcterms:modified xsi:type="dcterms:W3CDTF">2025-04-11T13:32:00Z</dcterms:modified>
</cp:coreProperties>
</file>