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6FED2" w14:textId="77777777" w:rsidR="00ED7049" w:rsidRDefault="00923148">
      <w:pPr>
        <w:rPr>
          <w:rFonts w:ascii="Arial" w:hAnsi="Arial" w:cs="Arial"/>
        </w:rPr>
      </w:pPr>
      <w:r>
        <w:rPr>
          <w:rFonts w:ascii="Arial" w:hAnsi="Arial" w:cs="Arial"/>
        </w:rPr>
        <w:t>Q 6 - Why would a Catholic approach to Christian ethics stress the importance of tradition in ethical reflection?</w:t>
      </w:r>
    </w:p>
    <w:p w14:paraId="6936FED3" w14:textId="77777777" w:rsidR="00ED7049" w:rsidRDefault="00923148">
      <w:pPr>
        <w:rPr>
          <w:rFonts w:ascii="Arial" w:hAnsi="Arial" w:cs="Arial"/>
        </w:rPr>
      </w:pPr>
      <w:r>
        <w:rPr>
          <w:rFonts w:ascii="Arial" w:hAnsi="Arial" w:cs="Arial"/>
        </w:rPr>
        <w:t>Introduction</w:t>
      </w:r>
    </w:p>
    <w:p w14:paraId="6936FED4" w14:textId="77777777" w:rsidR="00ED7049" w:rsidRDefault="00923148">
      <w:r>
        <w:rPr>
          <w:rFonts w:ascii="Arial" w:hAnsi="Arial" w:cs="Arial"/>
        </w:rPr>
        <w:t xml:space="preserve">“There are not one hundred people in the United States who hate The Catholic Church, but there are </w:t>
      </w:r>
      <w:r>
        <w:rPr>
          <w:rFonts w:ascii="Arial" w:hAnsi="Arial" w:cs="Arial"/>
        </w:rPr>
        <w:t xml:space="preserve">millions who hate what they wrongly perceive the Catholic Church to be.” </w:t>
      </w:r>
      <w:r>
        <w:rPr>
          <w:rStyle w:val="FootnoteReference"/>
          <w:rFonts w:ascii="Arial" w:hAnsi="Arial" w:cs="Arial"/>
        </w:rPr>
        <w:footnoteReference w:id="1"/>
      </w:r>
    </w:p>
    <w:p w14:paraId="6936FED5" w14:textId="77777777" w:rsidR="00ED7049" w:rsidRDefault="00923148">
      <w:pPr>
        <w:rPr>
          <w:rFonts w:ascii="Arial" w:hAnsi="Arial" w:cs="Arial"/>
        </w:rPr>
      </w:pPr>
      <w:r>
        <w:rPr>
          <w:rFonts w:ascii="Arial" w:hAnsi="Arial" w:cs="Arial"/>
        </w:rPr>
        <w:t>Most of us have gaps in our knowledge which we can continue to believe are facts. Sometimes, this can cause us to become quite emotional when corrected over an erroneous piece of information we had cherished for years. There is also the case of knowledge which is handed down. This is the etymology of the word tradition, from the Latin, “</w:t>
      </w:r>
      <w:proofErr w:type="spellStart"/>
      <w:r>
        <w:rPr>
          <w:rFonts w:ascii="Arial" w:hAnsi="Arial" w:cs="Arial"/>
        </w:rPr>
        <w:t>traditio</w:t>
      </w:r>
      <w:proofErr w:type="spellEnd"/>
      <w:r>
        <w:rPr>
          <w:rFonts w:ascii="Arial" w:hAnsi="Arial" w:cs="Arial"/>
        </w:rPr>
        <w:t xml:space="preserve">” from the verb </w:t>
      </w:r>
      <w:proofErr w:type="spellStart"/>
      <w:r>
        <w:rPr>
          <w:rFonts w:ascii="Arial" w:hAnsi="Arial" w:cs="Arial"/>
        </w:rPr>
        <w:t>tradere</w:t>
      </w:r>
      <w:proofErr w:type="spellEnd"/>
      <w:r>
        <w:rPr>
          <w:rFonts w:ascii="Arial" w:hAnsi="Arial" w:cs="Arial"/>
        </w:rPr>
        <w:t>. It means to hand on but sometimes things which can be handed on are bigotry, misinformation or propaganda.</w:t>
      </w:r>
    </w:p>
    <w:p w14:paraId="6936FED6" w14:textId="77777777" w:rsidR="00ED7049" w:rsidRDefault="00923148">
      <w:r>
        <w:rPr>
          <w:rFonts w:ascii="Arial" w:hAnsi="Arial" w:cs="Arial"/>
        </w:rPr>
        <w:t>The book The Stripping of the Altars</w:t>
      </w:r>
      <w:r>
        <w:rPr>
          <w:rStyle w:val="FootnoteReference"/>
          <w:rFonts w:ascii="Arial" w:hAnsi="Arial" w:cs="Arial"/>
        </w:rPr>
        <w:footnoteReference w:id="2"/>
      </w:r>
      <w:r>
        <w:rPr>
          <w:rFonts w:ascii="Arial" w:hAnsi="Arial" w:cs="Arial"/>
        </w:rPr>
        <w:t xml:space="preserve"> removed preconceptions from me which I had no idea existed. Assumptions which had existed about Catholicism which had been reinforced by anti-Catholic propaganda for five centuries had taken root in my psyche and it wasn’t until I began to do my own research that I began to see a whole different perspective on British religious history.</w:t>
      </w:r>
    </w:p>
    <w:p w14:paraId="6936FED7" w14:textId="77777777" w:rsidR="00ED7049" w:rsidRDefault="00923148">
      <w:pPr>
        <w:rPr>
          <w:rFonts w:ascii="Arial" w:hAnsi="Arial" w:cs="Arial"/>
        </w:rPr>
      </w:pPr>
      <w:r>
        <w:rPr>
          <w:rFonts w:ascii="Arial" w:hAnsi="Arial" w:cs="Arial"/>
        </w:rPr>
        <w:t xml:space="preserve">It isn’t easy to write about a personal subject when the sneers and misinformation have already been directed at you but speaking </w:t>
      </w:r>
      <w:proofErr w:type="gramStart"/>
      <w:r>
        <w:rPr>
          <w:rFonts w:ascii="Arial" w:hAnsi="Arial" w:cs="Arial"/>
        </w:rPr>
        <w:t>The</w:t>
      </w:r>
      <w:proofErr w:type="gramEnd"/>
      <w:r>
        <w:rPr>
          <w:rFonts w:ascii="Arial" w:hAnsi="Arial" w:cs="Arial"/>
        </w:rPr>
        <w:t xml:space="preserve"> truth as opposed to the subjective idea of “my truth” is a moral obligation.</w:t>
      </w:r>
    </w:p>
    <w:p w14:paraId="6936FED8" w14:textId="77777777" w:rsidR="00ED7049" w:rsidRDefault="00923148">
      <w:pPr>
        <w:rPr>
          <w:rFonts w:ascii="Arial" w:hAnsi="Arial" w:cs="Arial"/>
        </w:rPr>
      </w:pPr>
      <w:r>
        <w:rPr>
          <w:rFonts w:ascii="Arial" w:hAnsi="Arial" w:cs="Arial"/>
        </w:rPr>
        <w:t>Tradition</w:t>
      </w:r>
    </w:p>
    <w:p w14:paraId="6936FED9" w14:textId="77777777" w:rsidR="00ED7049" w:rsidRDefault="00923148">
      <w:pPr>
        <w:rPr>
          <w:rFonts w:ascii="Arial" w:hAnsi="Arial" w:cs="Arial"/>
        </w:rPr>
      </w:pPr>
      <w:r>
        <w:rPr>
          <w:rFonts w:ascii="Arial" w:hAnsi="Arial" w:cs="Arial"/>
        </w:rPr>
        <w:t>Protestantism began in 1517 with Martin Luther and his ninety-five theses. Since then, over forty thousand Protestant denominations exist today with many dying off or starting every day. Understandably, most claim to be the true church which God is talking to directly. It would be very difficult to deny that the Roman Catholic Church didn’t start in 33 AD and continues to the present day without cessation. Many other things could be argued about but not the dates. There have been 266 Popes since St Peter an</w:t>
      </w:r>
      <w:r>
        <w:rPr>
          <w:rFonts w:ascii="Arial" w:hAnsi="Arial" w:cs="Arial"/>
        </w:rPr>
        <w:t xml:space="preserve">d 33 existed before the promulgation of the Canon of Scripture at Hippo in 393 AD. </w:t>
      </w:r>
    </w:p>
    <w:p w14:paraId="6936FEDB" w14:textId="77777777" w:rsidR="00ED7049" w:rsidRDefault="00ED7049">
      <w:pPr>
        <w:rPr>
          <w:rFonts w:ascii="Arial" w:hAnsi="Arial" w:cs="Arial"/>
        </w:rPr>
      </w:pPr>
    </w:p>
    <w:p w14:paraId="6936FEDC" w14:textId="77777777" w:rsidR="00ED7049" w:rsidRDefault="00923148">
      <w:r>
        <w:rPr>
          <w:rFonts w:ascii="Arial" w:hAnsi="Arial" w:cs="Arial"/>
        </w:rPr>
        <w:lastRenderedPageBreak/>
        <w:t xml:space="preserve">Before a Bible (the word doesn’t </w:t>
      </w:r>
      <w:proofErr w:type="gramStart"/>
      <w:r>
        <w:rPr>
          <w:rFonts w:ascii="Arial" w:hAnsi="Arial" w:cs="Arial"/>
        </w:rPr>
        <w:t>actually appear</w:t>
      </w:r>
      <w:proofErr w:type="gramEnd"/>
      <w:r>
        <w:rPr>
          <w:rFonts w:ascii="Arial" w:hAnsi="Arial" w:cs="Arial"/>
        </w:rPr>
        <w:t xml:space="preserve"> in the scripture) ever existed there were Popes, nuns, monks, priests and Mass. The same existed after there was such a thing as a bible and still do to this day in the Catholic Church. One mistake would be to justify the actions of Catholics by what is written in a bible. St Paul says to Timothy, “You then, my child, be strong in the grace that is in Christ Jesus and what you have heard from me through many witnesses entrust to faithful people who will be able to teach others as well”</w:t>
      </w:r>
      <w:r>
        <w:rPr>
          <w:rStyle w:val="FootnoteReference"/>
          <w:rFonts w:ascii="Arial" w:hAnsi="Arial" w:cs="Arial"/>
        </w:rPr>
        <w:footnoteReference w:id="3"/>
      </w:r>
      <w:r>
        <w:rPr>
          <w:rFonts w:ascii="Arial" w:hAnsi="Arial" w:cs="Arial"/>
        </w:rPr>
        <w:t>. This speaks of the oral tradition which already existed from the time of the Apostles until the Fourth Century.</w:t>
      </w:r>
    </w:p>
    <w:p w14:paraId="6936FEDD" w14:textId="77777777" w:rsidR="00ED7049" w:rsidRDefault="00923148">
      <w:pPr>
        <w:rPr>
          <w:rFonts w:ascii="Arial" w:hAnsi="Arial" w:cs="Arial"/>
        </w:rPr>
      </w:pPr>
      <w:r>
        <w:rPr>
          <w:rFonts w:ascii="Arial" w:hAnsi="Arial" w:cs="Arial"/>
        </w:rPr>
        <w:t xml:space="preserve">Part of the reason for a limited number of documents in the early Church period was persecution. The resources of the early Church were often sparse and the need for secrecy was paramount due to the actions of emperors from Nero to Diocletian. As Canon Lawyers in Rome sometimes say, “Se non è </w:t>
      </w:r>
      <w:proofErr w:type="spellStart"/>
      <w:r>
        <w:rPr>
          <w:rFonts w:ascii="Arial" w:hAnsi="Arial" w:cs="Arial"/>
        </w:rPr>
        <w:t>scritto</w:t>
      </w:r>
      <w:proofErr w:type="spellEnd"/>
      <w:r>
        <w:rPr>
          <w:rFonts w:ascii="Arial" w:hAnsi="Arial" w:cs="Arial"/>
        </w:rPr>
        <w:t xml:space="preserve">, non </w:t>
      </w:r>
      <w:proofErr w:type="spellStart"/>
      <w:r>
        <w:rPr>
          <w:rFonts w:ascii="Arial" w:hAnsi="Arial" w:cs="Arial"/>
        </w:rPr>
        <w:t>esiste</w:t>
      </w:r>
      <w:proofErr w:type="spellEnd"/>
      <w:r>
        <w:rPr>
          <w:rFonts w:ascii="Arial" w:hAnsi="Arial" w:cs="Arial"/>
        </w:rPr>
        <w:t xml:space="preserve">” (If it isn’t written down, it doesn’t exist). </w:t>
      </w:r>
    </w:p>
    <w:p w14:paraId="6936FEDE" w14:textId="77777777" w:rsidR="00ED7049" w:rsidRDefault="00923148">
      <w:pPr>
        <w:rPr>
          <w:rFonts w:ascii="Arial" w:hAnsi="Arial" w:cs="Arial"/>
        </w:rPr>
      </w:pPr>
      <w:r>
        <w:rPr>
          <w:rFonts w:ascii="Arial" w:hAnsi="Arial" w:cs="Arial"/>
        </w:rPr>
        <w:t xml:space="preserve">We have of course a vast wealth of writings from the early Church i.e. Clement of Rome, Ignatius of Antioch, Polycarp of Smyrna and Irenaeus of Lyon to mention a few but not on the same scale as after the fourth centuries when Christianity was tolerated. </w:t>
      </w:r>
    </w:p>
    <w:p w14:paraId="6936FEDF" w14:textId="77777777" w:rsidR="00ED7049" w:rsidRDefault="00923148">
      <w:r>
        <w:rPr>
          <w:rFonts w:ascii="Arial" w:hAnsi="Arial" w:cs="Arial"/>
        </w:rPr>
        <w:t xml:space="preserve">We could say that “the Bible came out of the </w:t>
      </w:r>
      <w:proofErr w:type="gramStart"/>
      <w:r>
        <w:rPr>
          <w:rFonts w:ascii="Arial" w:hAnsi="Arial" w:cs="Arial"/>
        </w:rPr>
        <w:t>Church,</w:t>
      </w:r>
      <w:proofErr w:type="gramEnd"/>
      <w:r>
        <w:rPr>
          <w:rFonts w:ascii="Arial" w:hAnsi="Arial" w:cs="Arial"/>
        </w:rPr>
        <w:t xml:space="preserve"> the Church does not come out of the Bible”. Once again St Paul speaks to Timothy, “But as for you, continue in what you have learned and firmly believed, knowing from whom you learned it and how from childhood you have known the sacred writings that are able to instruct you for salvation through faith in Christ Jesus. All scripture is inspired by God and is useful for teaching, for reproof, for correction, and for training in righteousness so that everyone who belongs to God may be proficient, equip</w:t>
      </w:r>
      <w:r>
        <w:rPr>
          <w:rFonts w:ascii="Arial" w:hAnsi="Arial" w:cs="Arial"/>
        </w:rPr>
        <w:t>ped for every good work”.</w:t>
      </w:r>
      <w:r>
        <w:rPr>
          <w:rStyle w:val="FootnoteReference"/>
          <w:rFonts w:ascii="Arial" w:hAnsi="Arial" w:cs="Arial"/>
        </w:rPr>
        <w:footnoteReference w:id="4"/>
      </w:r>
    </w:p>
    <w:p w14:paraId="6936FEE0" w14:textId="0EE30A48" w:rsidR="00ED7049" w:rsidRPr="000D5381" w:rsidRDefault="00923148">
      <w:pPr>
        <w:rPr>
          <w:rFonts w:ascii="Arial" w:hAnsi="Arial" w:cs="Arial"/>
        </w:rPr>
      </w:pPr>
      <w:r>
        <w:rPr>
          <w:rFonts w:ascii="Arial" w:hAnsi="Arial" w:cs="Arial"/>
        </w:rPr>
        <w:t>We see in the Temptation of Christ in the Desert that even the Devil can quote scripture for his own ends.</w:t>
      </w:r>
      <w:r>
        <w:rPr>
          <w:rStyle w:val="FootnoteReference"/>
          <w:rFonts w:ascii="Arial" w:hAnsi="Arial" w:cs="Arial"/>
        </w:rPr>
        <w:footnoteReference w:id="5"/>
      </w:r>
      <w:r>
        <w:rPr>
          <w:rFonts w:ascii="Arial" w:hAnsi="Arial" w:cs="Arial"/>
        </w:rPr>
        <w:t xml:space="preserve"> Nevertheless, we have certain markers that not only point out that the early Church </w:t>
      </w:r>
      <w:r>
        <w:rPr>
          <w:rFonts w:ascii="Arial" w:hAnsi="Arial" w:cs="Arial"/>
        </w:rPr>
        <w:t xml:space="preserve">didn’t expect a community of believers built solely around a bible that didn’t yet exist but because we are always faced with the challenge of interpreting and enforcing scripture. </w:t>
      </w:r>
      <w:r>
        <w:rPr>
          <w:rFonts w:ascii="Arial" w:hAnsi="Arial" w:cs="Arial"/>
        </w:rPr>
        <w:t xml:space="preserve">In Judaism there were apodictic laws, for example the Decalogue and casuistic laws dealing with specific cases. </w:t>
      </w:r>
      <w:proofErr w:type="spellStart"/>
      <w:r>
        <w:rPr>
          <w:rFonts w:ascii="Arial" w:hAnsi="Arial" w:cs="Arial"/>
        </w:rPr>
        <w:t>Paranaesis</w:t>
      </w:r>
      <w:proofErr w:type="spellEnd"/>
      <w:r>
        <w:rPr>
          <w:rFonts w:ascii="Arial" w:hAnsi="Arial" w:cs="Arial"/>
        </w:rPr>
        <w:t xml:space="preserve"> or exhortation within Old Testament scriptures urged people to do what they knew was right.</w:t>
      </w:r>
    </w:p>
    <w:p w14:paraId="6936FEE1" w14:textId="77777777" w:rsidR="00ED7049" w:rsidRDefault="00ED7049">
      <w:pPr>
        <w:rPr>
          <w:rFonts w:ascii="Arial" w:hAnsi="Arial" w:cs="Arial"/>
        </w:rPr>
      </w:pPr>
    </w:p>
    <w:p w14:paraId="6936FEE2" w14:textId="77777777" w:rsidR="00ED7049" w:rsidRDefault="00923148">
      <w:pPr>
        <w:rPr>
          <w:rFonts w:ascii="Arial" w:hAnsi="Arial" w:cs="Arial"/>
        </w:rPr>
      </w:pPr>
      <w:proofErr w:type="gramStart"/>
      <w:r>
        <w:rPr>
          <w:rFonts w:ascii="Arial" w:hAnsi="Arial" w:cs="Arial"/>
        </w:rPr>
        <w:t>Three Legged</w:t>
      </w:r>
      <w:proofErr w:type="gramEnd"/>
      <w:r>
        <w:rPr>
          <w:rFonts w:ascii="Arial" w:hAnsi="Arial" w:cs="Arial"/>
        </w:rPr>
        <w:t xml:space="preserve"> Stool</w:t>
      </w:r>
    </w:p>
    <w:p w14:paraId="6936FEE3" w14:textId="77777777" w:rsidR="00ED7049" w:rsidRDefault="00923148">
      <w:r>
        <w:rPr>
          <w:rFonts w:ascii="Arial" w:hAnsi="Arial" w:cs="Arial"/>
        </w:rPr>
        <w:t>“Therefore, brethren, stand fast; and hold the traditions which you have learned, whether by word, or by our epistle”</w:t>
      </w:r>
      <w:r>
        <w:rPr>
          <w:rStyle w:val="FootnoteReference"/>
          <w:rFonts w:ascii="Arial" w:hAnsi="Arial" w:cs="Arial"/>
        </w:rPr>
        <w:footnoteReference w:id="6"/>
      </w:r>
      <w:r>
        <w:rPr>
          <w:rFonts w:ascii="Arial" w:hAnsi="Arial" w:cs="Arial"/>
        </w:rPr>
        <w:t xml:space="preserve"> St Paul talks here about traditions handed down orally as well as scripturally. Within the Catholic tradition, scripture doesn’t just include the Bible but also the many and various writings of the Church including Papal Encyclicals.</w:t>
      </w:r>
    </w:p>
    <w:p w14:paraId="6936FEE4" w14:textId="77777777" w:rsidR="00ED7049" w:rsidRDefault="00923148">
      <w:r>
        <w:rPr>
          <w:rFonts w:ascii="Arial" w:hAnsi="Arial" w:cs="Arial"/>
        </w:rPr>
        <w:t xml:space="preserve">The three-legged stool analogy itself has been used by </w:t>
      </w:r>
      <w:proofErr w:type="gramStart"/>
      <w:r>
        <w:rPr>
          <w:rFonts w:ascii="Arial" w:hAnsi="Arial" w:cs="Arial"/>
        </w:rPr>
        <w:t>various different</w:t>
      </w:r>
      <w:proofErr w:type="gramEnd"/>
      <w:r>
        <w:rPr>
          <w:rFonts w:ascii="Arial" w:hAnsi="Arial" w:cs="Arial"/>
        </w:rPr>
        <w:t xml:space="preserve"> </w:t>
      </w:r>
      <w:proofErr w:type="spellStart"/>
      <w:r>
        <w:rPr>
          <w:rFonts w:ascii="Arial" w:hAnsi="Arial" w:cs="Arial"/>
        </w:rPr>
        <w:t>organisations</w:t>
      </w:r>
      <w:proofErr w:type="spellEnd"/>
      <w:r>
        <w:rPr>
          <w:rFonts w:ascii="Arial" w:hAnsi="Arial" w:cs="Arial"/>
        </w:rPr>
        <w:t xml:space="preserve"> over the centuries but in relation to the Catholic Church it is used to denote Scripture, Tradition and Magisterium. The idea is that if one removes any of the legs the stool will wobble or fall. In the context of Tradition something must be noted. Tradition and custom are not the same thing. Wearing a Roman “fiddleback” chasuble may be seen as some as Tradition but it is in fact a custom-tradition whereas the Holy Sacrifice of the Mass is Catholic Tradition. In the ethical s</w:t>
      </w:r>
      <w:r>
        <w:rPr>
          <w:rFonts w:ascii="Arial" w:hAnsi="Arial" w:cs="Arial"/>
        </w:rPr>
        <w:t xml:space="preserve">ense, </w:t>
      </w:r>
      <w:proofErr w:type="gramStart"/>
      <w:r>
        <w:rPr>
          <w:rFonts w:ascii="Arial" w:hAnsi="Arial" w:cs="Arial"/>
        </w:rPr>
        <w:t>the Traditional</w:t>
      </w:r>
      <w:proofErr w:type="gramEnd"/>
      <w:r>
        <w:rPr>
          <w:rFonts w:ascii="Arial" w:hAnsi="Arial" w:cs="Arial"/>
        </w:rPr>
        <w:t xml:space="preserve"> teaching is informed by Scripture and confirmed by </w:t>
      </w:r>
      <w:proofErr w:type="gramStart"/>
      <w:r>
        <w:rPr>
          <w:rFonts w:ascii="Arial" w:hAnsi="Arial" w:cs="Arial"/>
        </w:rPr>
        <w:t>the Magisterium</w:t>
      </w:r>
      <w:proofErr w:type="gramEnd"/>
      <w:r>
        <w:rPr>
          <w:rFonts w:ascii="Arial" w:hAnsi="Arial" w:cs="Arial"/>
        </w:rPr>
        <w:t>. As the Catechism of the Catholic Church #80 puts so eloquently, "Sacred Scripture is the speech of God as it is put down in writing under the breath of the Holy Spirit and Tradition transmits in its entirety the Word of God which has been entrusted to the apostles by Christ the Lord and the Holy Spirit”</w:t>
      </w:r>
      <w:r>
        <w:rPr>
          <w:rStyle w:val="FootnoteReference"/>
          <w:rFonts w:ascii="Arial" w:hAnsi="Arial" w:cs="Arial"/>
        </w:rPr>
        <w:footnoteReference w:id="7"/>
      </w:r>
    </w:p>
    <w:p w14:paraId="6936FEE5" w14:textId="77777777" w:rsidR="00ED7049" w:rsidRDefault="00923148">
      <w:r>
        <w:rPr>
          <w:rFonts w:ascii="Arial" w:hAnsi="Arial" w:cs="Arial"/>
        </w:rPr>
        <w:t xml:space="preserve">For the Catholic Church, an ethical approach would not only need to </w:t>
      </w:r>
      <w:proofErr w:type="gramStart"/>
      <w:r>
        <w:rPr>
          <w:rFonts w:ascii="Arial" w:hAnsi="Arial" w:cs="Arial"/>
        </w:rPr>
        <w:t>take into account</w:t>
      </w:r>
      <w:proofErr w:type="gramEnd"/>
      <w:r>
        <w:rPr>
          <w:rFonts w:ascii="Arial" w:hAnsi="Arial" w:cs="Arial"/>
        </w:rPr>
        <w:t xml:space="preserve"> the wisdom of scripture but the Tradition and Magisterium which preceded it, interprets it and from which it grew. One mistake in looking at the Natural Moral Law as it appears particularly in the works of St Thomas Aquinas is that the natural moral law is not the same thing as the law of nature. In Question 94 of the Summa </w:t>
      </w:r>
      <w:proofErr w:type="spellStart"/>
      <w:r>
        <w:rPr>
          <w:rFonts w:ascii="Arial" w:hAnsi="Arial" w:cs="Arial"/>
        </w:rPr>
        <w:t>Theologiae</w:t>
      </w:r>
      <w:proofErr w:type="spellEnd"/>
      <w:r>
        <w:rPr>
          <w:rFonts w:ascii="Arial" w:hAnsi="Arial" w:cs="Arial"/>
        </w:rPr>
        <w:t xml:space="preserve"> Aquinas outlines this objection saying the natural law is not a habit but reason given by God</w:t>
      </w:r>
      <w:r>
        <w:rPr>
          <w:rStyle w:val="FootnoteReference"/>
          <w:rFonts w:ascii="Arial" w:hAnsi="Arial" w:cs="Arial"/>
        </w:rPr>
        <w:footnoteReference w:id="8"/>
      </w:r>
      <w:r>
        <w:rPr>
          <w:rFonts w:ascii="Arial" w:hAnsi="Arial" w:cs="Arial"/>
        </w:rPr>
        <w:t xml:space="preserve">. </w:t>
      </w:r>
    </w:p>
    <w:p w14:paraId="6936FEE8" w14:textId="6D185E72" w:rsidR="00ED7049" w:rsidRPr="000D5381" w:rsidRDefault="00923148">
      <w:r>
        <w:rPr>
          <w:rFonts w:ascii="Arial" w:hAnsi="Arial" w:cs="Arial"/>
        </w:rPr>
        <w:t>Once again, the mistake could be made that before divine revelation the only moral compass mankind has are his animal instincts of sex, food, shelter and security. The Catechism says in 154 “Believing is possible only by grace and the interior helps of the Holy Spirit. But it is no less true that believing is an authentically human act”.</w:t>
      </w:r>
      <w:r>
        <w:rPr>
          <w:rStyle w:val="FootnoteReference"/>
          <w:rFonts w:ascii="Arial" w:hAnsi="Arial" w:cs="Arial"/>
        </w:rPr>
        <w:footnoteReference w:id="9"/>
      </w:r>
    </w:p>
    <w:p w14:paraId="6936FEE9" w14:textId="1AC67CE6" w:rsidR="00ED7049" w:rsidRDefault="000D5381">
      <w:pPr>
        <w:rPr>
          <w:rFonts w:ascii="Arial" w:hAnsi="Arial" w:cs="Arial"/>
        </w:rPr>
      </w:pPr>
      <w:r>
        <w:rPr>
          <w:rFonts w:ascii="Arial" w:hAnsi="Arial" w:cs="Arial"/>
        </w:rPr>
        <w:lastRenderedPageBreak/>
        <w:t>Natural Law</w:t>
      </w:r>
    </w:p>
    <w:p w14:paraId="6936FEEA" w14:textId="77777777" w:rsidR="00ED7049" w:rsidRDefault="00923148">
      <w:pPr>
        <w:rPr>
          <w:rFonts w:ascii="Arial" w:hAnsi="Arial" w:cs="Arial"/>
        </w:rPr>
      </w:pPr>
      <w:r>
        <w:rPr>
          <w:rFonts w:ascii="Arial" w:hAnsi="Arial" w:cs="Arial"/>
        </w:rPr>
        <w:t xml:space="preserve">Stonehenge, Newgrange or the Pyramids all predate Christ yet point to a human understanding of the cosmos, looking beyond the </w:t>
      </w:r>
      <w:r>
        <w:rPr>
          <w:rFonts w:ascii="Arial" w:hAnsi="Arial" w:cs="Arial"/>
        </w:rPr>
        <w:t xml:space="preserve">utilitarian aspects of their lives towards the metaphysical. Indeed, marriage unions, priests and liturgical rituals existed well before the arrival of missionaries from Rome. We could conclude then that aside from man’s base instinct to reproduce and eat, he had a deeper, more sophisticated view of the world which the Natural Law would say, was placed there by God and the Church would expound is fulfilled in Christ. </w:t>
      </w:r>
    </w:p>
    <w:p w14:paraId="6936FEEB" w14:textId="77777777" w:rsidR="00ED7049" w:rsidRDefault="00923148">
      <w:r>
        <w:rPr>
          <w:rFonts w:ascii="Arial" w:hAnsi="Arial" w:cs="Arial"/>
        </w:rPr>
        <w:t>As St Paul says to the Ephesians, “Blessed be the God and Father of our Lord Jesus Christ, who has blessed us in Christ with every spiritual blessing in the heavenly places, just as he chose us in Christ before the foundation of the world to be holy and blameless before him in love. He destined us for adoption as his children through Jesus Christ, according to the good pleasure of his will, to the praise of his glorious grace that he freely bestowed on us in the Beloved. In him we have redemption through hi</w:t>
      </w:r>
      <w:r>
        <w:rPr>
          <w:rFonts w:ascii="Arial" w:hAnsi="Arial" w:cs="Arial"/>
        </w:rPr>
        <w:t xml:space="preserve">s blood, the forgiveness of our trespasses, according to the riches of his grace that he lavished on us. With all wisdom and </w:t>
      </w:r>
      <w:proofErr w:type="gramStart"/>
      <w:r>
        <w:rPr>
          <w:rFonts w:ascii="Arial" w:hAnsi="Arial" w:cs="Arial"/>
        </w:rPr>
        <w:t>insight</w:t>
      </w:r>
      <w:proofErr w:type="gramEnd"/>
      <w:r>
        <w:rPr>
          <w:rFonts w:ascii="Arial" w:hAnsi="Arial" w:cs="Arial"/>
        </w:rPr>
        <w:t xml:space="preserve"> he has made known to us the mystery of his will, according to his good pleasure that he set forth in Christ, as a plan for the fullness of time, to gather up all things in him, things in heaven and things on earth.”</w:t>
      </w:r>
      <w:r>
        <w:rPr>
          <w:rStyle w:val="FootnoteReference"/>
          <w:rFonts w:ascii="Arial" w:hAnsi="Arial" w:cs="Arial"/>
        </w:rPr>
        <w:footnoteReference w:id="10"/>
      </w:r>
    </w:p>
    <w:p w14:paraId="6936FEEC" w14:textId="77777777" w:rsidR="00ED7049" w:rsidRDefault="00923148">
      <w:pPr>
        <w:rPr>
          <w:rFonts w:ascii="Arial" w:hAnsi="Arial" w:cs="Arial"/>
        </w:rPr>
      </w:pPr>
      <w:r>
        <w:rPr>
          <w:rFonts w:ascii="Arial" w:hAnsi="Arial" w:cs="Arial"/>
        </w:rPr>
        <w:t>Looked at through the lens of eternity this passage reveals the overarching destiny of man before Christ ever walked on the earth. This isn’t an argument for predestination but rather the omnipotence of God.</w:t>
      </w:r>
    </w:p>
    <w:p w14:paraId="6936FEED" w14:textId="77777777" w:rsidR="00ED7049" w:rsidRDefault="00923148">
      <w:pPr>
        <w:rPr>
          <w:rFonts w:ascii="Arial" w:hAnsi="Arial" w:cs="Arial"/>
        </w:rPr>
      </w:pPr>
      <w:r>
        <w:rPr>
          <w:rFonts w:ascii="Arial" w:hAnsi="Arial" w:cs="Arial"/>
        </w:rPr>
        <w:t>Criticisms</w:t>
      </w:r>
    </w:p>
    <w:p w14:paraId="6936FEEE" w14:textId="77777777" w:rsidR="00ED7049" w:rsidRDefault="00923148">
      <w:pPr>
        <w:rPr>
          <w:rFonts w:ascii="Arial" w:hAnsi="Arial" w:cs="Arial"/>
        </w:rPr>
      </w:pPr>
      <w:r>
        <w:rPr>
          <w:rFonts w:ascii="Arial" w:hAnsi="Arial" w:cs="Arial"/>
        </w:rPr>
        <w:t xml:space="preserve">Now to address some common criticisms of the Catholic Church. </w:t>
      </w:r>
    </w:p>
    <w:p w14:paraId="0F046D52" w14:textId="77777777" w:rsidR="000D5381" w:rsidRDefault="00923148">
      <w:pPr>
        <w:rPr>
          <w:rFonts w:ascii="Arial" w:hAnsi="Arial" w:cs="Arial"/>
        </w:rPr>
      </w:pPr>
      <w:proofErr w:type="spellStart"/>
      <w:r>
        <w:rPr>
          <w:rFonts w:ascii="Arial" w:hAnsi="Arial" w:cs="Arial"/>
        </w:rPr>
        <w:t>Godwins</w:t>
      </w:r>
      <w:proofErr w:type="spellEnd"/>
      <w:r>
        <w:rPr>
          <w:rFonts w:ascii="Arial" w:hAnsi="Arial" w:cs="Arial"/>
        </w:rPr>
        <w:t xml:space="preserve"> Law, created by Mike Godwin, an American author, claims that any modern conversation will eventually result in discussing Hitler and the Nazis. In the same way, any discussion about Catholicism will eventually bring up topics such as sex abuse, clerical celibacy or the Crusades. One might presume that the statistics for sexual abuse by Catholic priests was extremely high given the press coverage of cases and anecdotal evidence where in fact it is the lowest of any category, including Protestant Ministers, </w:t>
      </w:r>
      <w:r>
        <w:rPr>
          <w:rFonts w:ascii="Arial" w:hAnsi="Arial" w:cs="Arial"/>
        </w:rPr>
        <w:t xml:space="preserve">Imams and Gurus. </w:t>
      </w:r>
    </w:p>
    <w:p w14:paraId="6936FEEF" w14:textId="4BB23768" w:rsidR="00ED7049" w:rsidRDefault="00923148">
      <w:pPr>
        <w:rPr>
          <w:rFonts w:ascii="Arial" w:hAnsi="Arial" w:cs="Arial"/>
        </w:rPr>
      </w:pPr>
      <w:r>
        <w:rPr>
          <w:rFonts w:ascii="Arial" w:hAnsi="Arial" w:cs="Arial"/>
        </w:rPr>
        <w:lastRenderedPageBreak/>
        <w:t xml:space="preserve">The highest category is married men, especially the victims own father. This immediately destroys the argument that clerical celibacy is the cause of abuse by clerics. </w:t>
      </w:r>
    </w:p>
    <w:p w14:paraId="6936FEF0" w14:textId="77777777" w:rsidR="00ED7049" w:rsidRDefault="00923148">
      <w:r>
        <w:rPr>
          <w:rFonts w:ascii="Arial" w:hAnsi="Arial" w:cs="Arial"/>
        </w:rPr>
        <w:t xml:space="preserve">If we look at the wars in Iraq or Afghanistan, regardless of our political opinions, we can see that they were fought between two different cultural identities. Although Iraq once had a predominantly ancient Christian heritage it has been dominated increasingly by Islam and it was this Islamic culture along with that of Afghanistan which went to war with the culturally Judeo-Christian West. The reasons were varied; oil, </w:t>
      </w:r>
      <w:proofErr w:type="spellStart"/>
      <w:r>
        <w:rPr>
          <w:rFonts w:ascii="Arial" w:hAnsi="Arial" w:cs="Arial"/>
        </w:rPr>
        <w:t>defence</w:t>
      </w:r>
      <w:proofErr w:type="spellEnd"/>
      <w:r>
        <w:rPr>
          <w:rFonts w:ascii="Arial" w:hAnsi="Arial" w:cs="Arial"/>
        </w:rPr>
        <w:t xml:space="preserve"> and revenge but were the reasons all that different from the reasons the West went to war with Islam during the crusades? One group is fighting to protect their way of life and assets and vice versa and when we hear, "Cry 'Havoc!' and let slip the dogs of war" as Mark Antony was want to say in Shakespeare’s Julius Caesar,</w:t>
      </w:r>
      <w:r>
        <w:rPr>
          <w:rStyle w:val="FootnoteReference"/>
          <w:rFonts w:ascii="Arial" w:hAnsi="Arial" w:cs="Arial"/>
        </w:rPr>
        <w:footnoteReference w:id="11"/>
      </w:r>
      <w:r>
        <w:rPr>
          <w:rFonts w:ascii="Arial" w:hAnsi="Arial" w:cs="Arial"/>
        </w:rPr>
        <w:t xml:space="preserve"> or “all is fair in love and war” from John Lyly’s “</w:t>
      </w:r>
      <w:proofErr w:type="spellStart"/>
      <w:r>
        <w:rPr>
          <w:rFonts w:ascii="Arial" w:hAnsi="Arial" w:cs="Arial"/>
        </w:rPr>
        <w:t>Euphues</w:t>
      </w:r>
      <w:proofErr w:type="spellEnd"/>
      <w:r>
        <w:rPr>
          <w:rFonts w:ascii="Arial" w:hAnsi="Arial" w:cs="Arial"/>
        </w:rPr>
        <w:t>” of 1578.</w:t>
      </w:r>
      <w:r>
        <w:rPr>
          <w:rStyle w:val="FootnoteReference"/>
          <w:rFonts w:ascii="Arial" w:hAnsi="Arial" w:cs="Arial"/>
        </w:rPr>
        <w:footnoteReference w:id="12"/>
      </w:r>
    </w:p>
    <w:p w14:paraId="6936FEF1" w14:textId="77777777" w:rsidR="00ED7049" w:rsidRDefault="00923148">
      <w:pPr>
        <w:rPr>
          <w:rFonts w:ascii="Arial" w:hAnsi="Arial" w:cs="Arial"/>
        </w:rPr>
      </w:pPr>
      <w:r>
        <w:rPr>
          <w:rFonts w:ascii="Arial" w:hAnsi="Arial" w:cs="Arial"/>
        </w:rPr>
        <w:t>Conclusion</w:t>
      </w:r>
    </w:p>
    <w:p w14:paraId="6936FEF2" w14:textId="77777777" w:rsidR="00ED7049" w:rsidRDefault="00923148">
      <w:pPr>
        <w:rPr>
          <w:rFonts w:ascii="Arial" w:hAnsi="Arial" w:cs="Arial"/>
        </w:rPr>
      </w:pPr>
      <w:r>
        <w:rPr>
          <w:rFonts w:ascii="Arial" w:hAnsi="Arial" w:cs="Arial"/>
        </w:rPr>
        <w:t xml:space="preserve">The Catholic Church teaches that the individual has the moral right to defend themselves, their family or their state according to the natural moral law. These areas can become blurred either deliberately or </w:t>
      </w:r>
      <w:proofErr w:type="gramStart"/>
      <w:r>
        <w:rPr>
          <w:rFonts w:ascii="Arial" w:hAnsi="Arial" w:cs="Arial"/>
        </w:rPr>
        <w:t>accidentally</w:t>
      </w:r>
      <w:proofErr w:type="gramEnd"/>
      <w:r>
        <w:rPr>
          <w:rFonts w:ascii="Arial" w:hAnsi="Arial" w:cs="Arial"/>
        </w:rPr>
        <w:t xml:space="preserve"> but the state has a sovereign duty to protect its citizens. </w:t>
      </w:r>
    </w:p>
    <w:p w14:paraId="6936FEF3" w14:textId="77777777" w:rsidR="00ED7049" w:rsidRDefault="00923148">
      <w:r>
        <w:rPr>
          <w:rFonts w:ascii="Arial" w:hAnsi="Arial" w:cs="Arial"/>
        </w:rPr>
        <w:t xml:space="preserve">This is where the Magisterium and Tradition </w:t>
      </w:r>
      <w:proofErr w:type="gramStart"/>
      <w:r>
        <w:rPr>
          <w:rFonts w:ascii="Arial" w:hAnsi="Arial" w:cs="Arial"/>
        </w:rPr>
        <w:t>looks</w:t>
      </w:r>
      <w:proofErr w:type="gramEnd"/>
      <w:r>
        <w:rPr>
          <w:rFonts w:ascii="Arial" w:hAnsi="Arial" w:cs="Arial"/>
        </w:rPr>
        <w:t xml:space="preserve"> at the fine print of any moral situation. Scholars, experts and Bishops are called to Rome and discuss at length the various implications of modern moral questions which aren’t necessarily explicit in the Bible. Examples are contraception, nuclear weapons or space travel. The Church may also draw on 2000 years of Tradition and look at previous mistakes or insights which may inform a situation. As the Apostolic Constitution on Divine Revelation from the Second Vatican Council or “Die Verbum” says, “</w:t>
      </w:r>
      <w:proofErr w:type="gramStart"/>
      <w:r>
        <w:rPr>
          <w:rFonts w:ascii="Arial" w:hAnsi="Arial" w:cs="Arial"/>
        </w:rPr>
        <w:t xml:space="preserve">in </w:t>
      </w:r>
      <w:r>
        <w:rPr>
          <w:rFonts w:ascii="Arial" w:hAnsi="Arial" w:cs="Arial"/>
        </w:rPr>
        <w:t>order to</w:t>
      </w:r>
      <w:proofErr w:type="gramEnd"/>
      <w:r>
        <w:rPr>
          <w:rFonts w:ascii="Arial" w:hAnsi="Arial" w:cs="Arial"/>
        </w:rPr>
        <w:t xml:space="preserve"> keep the Gospel forever whole and alive within the Church, the Apostles left bishops as their successors, "handing over" to them "the authority to teach in their own place”</w:t>
      </w:r>
      <w:r>
        <w:rPr>
          <w:rStyle w:val="FootnoteReference"/>
          <w:rFonts w:ascii="Arial" w:hAnsi="Arial" w:cs="Arial"/>
        </w:rPr>
        <w:footnoteReference w:id="13"/>
      </w:r>
    </w:p>
    <w:p w14:paraId="6936FEF4" w14:textId="77777777" w:rsidR="00ED7049" w:rsidRDefault="00ED7049">
      <w:pPr>
        <w:rPr>
          <w:rFonts w:ascii="Arial" w:hAnsi="Arial" w:cs="Arial"/>
        </w:rPr>
      </w:pPr>
    </w:p>
    <w:p w14:paraId="6936FEF8" w14:textId="77777777" w:rsidR="00ED7049" w:rsidRDefault="00ED7049">
      <w:pPr>
        <w:rPr>
          <w:rFonts w:ascii="Arial" w:hAnsi="Arial" w:cs="Arial"/>
        </w:rPr>
      </w:pPr>
    </w:p>
    <w:p w14:paraId="6936FEF9" w14:textId="77777777" w:rsidR="00ED7049" w:rsidRDefault="00923148">
      <w:pPr>
        <w:rPr>
          <w:rFonts w:ascii="Arial" w:hAnsi="Arial" w:cs="Arial"/>
          <w:color w:val="000000"/>
        </w:rPr>
      </w:pPr>
      <w:r>
        <w:rPr>
          <w:rFonts w:ascii="Arial" w:hAnsi="Arial" w:cs="Arial"/>
          <w:color w:val="000000"/>
        </w:rPr>
        <w:lastRenderedPageBreak/>
        <w:t>Bibliography</w:t>
      </w:r>
    </w:p>
    <w:p w14:paraId="6936FEFA" w14:textId="77777777" w:rsidR="00ED7049" w:rsidRDefault="00923148">
      <w:pPr>
        <w:rPr>
          <w:rFonts w:ascii="Arial" w:hAnsi="Arial" w:cs="Arial"/>
        </w:rPr>
      </w:pPr>
      <w:r>
        <w:rPr>
          <w:rFonts w:ascii="Arial" w:hAnsi="Arial" w:cs="Arial"/>
        </w:rPr>
        <w:t>Aquinas, Thomas. 2019. The Summa Theologica of Saint Thomas Aquinas (Creative Media Partners)</w:t>
      </w:r>
    </w:p>
    <w:p w14:paraId="6936FEFB" w14:textId="77777777" w:rsidR="00ED7049" w:rsidRDefault="00923148">
      <w:pPr>
        <w:rPr>
          <w:rFonts w:ascii="Arial" w:hAnsi="Arial" w:cs="Arial"/>
        </w:rPr>
      </w:pPr>
      <w:r>
        <w:rPr>
          <w:rFonts w:ascii="Arial" w:hAnsi="Arial" w:cs="Arial"/>
        </w:rPr>
        <w:t>——. 2024. Summa Theologica (Ave Maria Press)</w:t>
      </w:r>
    </w:p>
    <w:p w14:paraId="6936FEFC" w14:textId="77777777" w:rsidR="00ED7049" w:rsidRDefault="00923148">
      <w:pPr>
        <w:rPr>
          <w:rFonts w:ascii="Arial" w:hAnsi="Arial" w:cs="Arial"/>
        </w:rPr>
      </w:pPr>
      <w:r>
        <w:rPr>
          <w:rFonts w:ascii="Arial" w:hAnsi="Arial" w:cs="Arial"/>
        </w:rPr>
        <w:t>Catholic Church. 1994. Catechism of the Catholic Church: Text and Commentaries (Veritas Publications)</w:t>
      </w:r>
    </w:p>
    <w:p w14:paraId="6936FEFD" w14:textId="77777777" w:rsidR="00ED7049" w:rsidRDefault="00923148">
      <w:pPr>
        <w:rPr>
          <w:rFonts w:ascii="Arial" w:hAnsi="Arial" w:cs="Arial"/>
        </w:rPr>
      </w:pPr>
      <w:r>
        <w:rPr>
          <w:rFonts w:ascii="Arial" w:hAnsi="Arial" w:cs="Arial"/>
        </w:rPr>
        <w:t>——, and Catholic Church. 1994. Catechism of the Catholic Church (Ignatius Press)</w:t>
      </w:r>
    </w:p>
    <w:p w14:paraId="6936FEFE" w14:textId="77777777" w:rsidR="00ED7049" w:rsidRDefault="00923148">
      <w:pPr>
        <w:rPr>
          <w:rFonts w:ascii="Arial" w:hAnsi="Arial" w:cs="Arial"/>
        </w:rPr>
      </w:pPr>
      <w:r>
        <w:rPr>
          <w:rFonts w:ascii="Arial" w:hAnsi="Arial" w:cs="Arial"/>
        </w:rPr>
        <w:t>Douay- Rheims Bible. 2005. (</w:t>
      </w:r>
      <w:proofErr w:type="spellStart"/>
      <w:r>
        <w:rPr>
          <w:rFonts w:ascii="Arial" w:hAnsi="Arial" w:cs="Arial"/>
        </w:rPr>
        <w:t>Baronius</w:t>
      </w:r>
      <w:proofErr w:type="spellEnd"/>
      <w:r>
        <w:rPr>
          <w:rFonts w:ascii="Arial" w:hAnsi="Arial" w:cs="Arial"/>
        </w:rPr>
        <w:t xml:space="preserve"> Press)</w:t>
      </w:r>
    </w:p>
    <w:p w14:paraId="6936FEFF" w14:textId="77777777" w:rsidR="00ED7049" w:rsidRDefault="00923148">
      <w:pPr>
        <w:rPr>
          <w:rFonts w:ascii="Arial" w:hAnsi="Arial" w:cs="Arial"/>
        </w:rPr>
      </w:pPr>
      <w:r>
        <w:rPr>
          <w:rFonts w:ascii="Arial" w:hAnsi="Arial" w:cs="Arial"/>
        </w:rPr>
        <w:t>Duffy, Eamon. 2022. The Stripping of the Altars: Traditional Religion in England, 1400-1580 (Yale University Press)</w:t>
      </w:r>
    </w:p>
    <w:p w14:paraId="6936FF00" w14:textId="77777777" w:rsidR="00ED7049" w:rsidRDefault="00923148">
      <w:pPr>
        <w:rPr>
          <w:rFonts w:ascii="Arial" w:hAnsi="Arial" w:cs="Arial"/>
        </w:rPr>
      </w:pPr>
      <w:r>
        <w:rPr>
          <w:rFonts w:ascii="Arial" w:hAnsi="Arial" w:cs="Arial"/>
        </w:rPr>
        <w:t>Fathers, Jesuit. 1982. The Church Teaches (Tan Books)</w:t>
      </w:r>
    </w:p>
    <w:p w14:paraId="6936FF01" w14:textId="77777777" w:rsidR="00ED7049" w:rsidRDefault="00923148">
      <w:pPr>
        <w:rPr>
          <w:rFonts w:ascii="Arial" w:hAnsi="Arial" w:cs="Arial"/>
        </w:rPr>
      </w:pPr>
      <w:r>
        <w:rPr>
          <w:rFonts w:ascii="Arial" w:hAnsi="Arial" w:cs="Arial"/>
        </w:rPr>
        <w:t xml:space="preserve">Finnis, J. M. </w:t>
      </w:r>
      <w:r>
        <w:rPr>
          <w:rFonts w:ascii="Arial" w:hAnsi="Arial" w:cs="Arial"/>
        </w:rPr>
        <w:t>1980. Natural Law and Natural Rights (Oxford University Press)</w:t>
      </w:r>
    </w:p>
    <w:p w14:paraId="6936FF02" w14:textId="77777777" w:rsidR="00ED7049" w:rsidRDefault="00923148">
      <w:pPr>
        <w:rPr>
          <w:rFonts w:ascii="Arial" w:hAnsi="Arial" w:cs="Arial"/>
        </w:rPr>
      </w:pPr>
      <w:r>
        <w:rPr>
          <w:rFonts w:ascii="Arial" w:hAnsi="Arial" w:cs="Arial"/>
        </w:rPr>
        <w:t>Flannery, Austin (ed.). 2014. Dei Verbum: Dogmatic Constitution on Divine Revelation (Liturgical Press)</w:t>
      </w:r>
    </w:p>
    <w:p w14:paraId="6936FF03" w14:textId="77777777" w:rsidR="00ED7049" w:rsidRDefault="00923148">
      <w:pPr>
        <w:rPr>
          <w:rFonts w:ascii="Arial" w:hAnsi="Arial" w:cs="Arial"/>
        </w:rPr>
      </w:pPr>
      <w:r>
        <w:rPr>
          <w:rFonts w:ascii="Arial" w:hAnsi="Arial" w:cs="Arial"/>
        </w:rPr>
        <w:t>Groeschel, Benedict J. 1991. Courage to Be Chaste (Paulist Press International)</w:t>
      </w:r>
    </w:p>
    <w:p w14:paraId="6936FF04" w14:textId="77777777" w:rsidR="00ED7049" w:rsidRDefault="00923148">
      <w:pPr>
        <w:rPr>
          <w:rFonts w:ascii="Arial" w:hAnsi="Arial" w:cs="Arial"/>
        </w:rPr>
      </w:pPr>
      <w:r>
        <w:rPr>
          <w:rFonts w:ascii="Arial" w:hAnsi="Arial" w:cs="Arial"/>
        </w:rPr>
        <w:t>Hahn, Scott, and Curtis Mitch (eds.). 2024. Ignatius Catholic Study Bible: Old and New Testaments (Ignatius Press)</w:t>
      </w:r>
    </w:p>
    <w:p w14:paraId="6936FF05" w14:textId="77777777" w:rsidR="00ED7049" w:rsidRDefault="00923148">
      <w:pPr>
        <w:rPr>
          <w:rFonts w:ascii="Arial" w:hAnsi="Arial" w:cs="Arial"/>
        </w:rPr>
      </w:pPr>
      <w:r>
        <w:rPr>
          <w:rFonts w:ascii="Arial" w:hAnsi="Arial" w:cs="Arial"/>
        </w:rPr>
        <w:t xml:space="preserve">Lyly, John. 2012. Eupheus, the Anatomy of Wit; </w:t>
      </w:r>
      <w:proofErr w:type="spellStart"/>
      <w:r>
        <w:rPr>
          <w:rFonts w:ascii="Arial" w:hAnsi="Arial" w:cs="Arial"/>
        </w:rPr>
        <w:t>Eupheus</w:t>
      </w:r>
      <w:proofErr w:type="spellEnd"/>
      <w:r>
        <w:rPr>
          <w:rFonts w:ascii="Arial" w:hAnsi="Arial" w:cs="Arial"/>
        </w:rPr>
        <w:t xml:space="preserve"> and His England (Rarebooksclub.com)</w:t>
      </w:r>
    </w:p>
    <w:p w14:paraId="6936FF06" w14:textId="77777777" w:rsidR="00ED7049" w:rsidRDefault="00923148">
      <w:pPr>
        <w:rPr>
          <w:rFonts w:ascii="Arial" w:hAnsi="Arial" w:cs="Arial"/>
        </w:rPr>
      </w:pPr>
      <w:r>
        <w:rPr>
          <w:rFonts w:ascii="Arial" w:hAnsi="Arial" w:cs="Arial"/>
        </w:rPr>
        <w:t>Madden, Thomas F. 2017. The Crusades Controversy: Setting the Record Straight (Wellspring)</w:t>
      </w:r>
    </w:p>
    <w:p w14:paraId="6936FF07" w14:textId="77777777" w:rsidR="00ED7049" w:rsidRDefault="00923148">
      <w:pPr>
        <w:rPr>
          <w:rFonts w:ascii="Arial" w:hAnsi="Arial" w:cs="Arial"/>
        </w:rPr>
      </w:pPr>
      <w:r>
        <w:rPr>
          <w:rFonts w:ascii="Arial" w:hAnsi="Arial" w:cs="Arial"/>
        </w:rPr>
        <w:t>May, William E. 1991. Introduction to Moral Theology (Our Sunday Visitor)</w:t>
      </w:r>
    </w:p>
    <w:p w14:paraId="6936FF08" w14:textId="77777777" w:rsidR="00ED7049" w:rsidRDefault="00923148">
      <w:pPr>
        <w:rPr>
          <w:rFonts w:ascii="Arial" w:hAnsi="Arial" w:cs="Arial"/>
        </w:rPr>
      </w:pPr>
      <w:r>
        <w:rPr>
          <w:rFonts w:ascii="Arial" w:hAnsi="Arial" w:cs="Arial"/>
        </w:rPr>
        <w:t>McBrien, Richard. 1981. Catholicism/: Study Guide (HarperCollins)</w:t>
      </w:r>
    </w:p>
    <w:p w14:paraId="6936FF09" w14:textId="77777777" w:rsidR="00ED7049" w:rsidRDefault="00923148">
      <w:pPr>
        <w:rPr>
          <w:rFonts w:ascii="Arial" w:hAnsi="Arial" w:cs="Arial"/>
        </w:rPr>
      </w:pPr>
      <w:r>
        <w:rPr>
          <w:rFonts w:ascii="Arial" w:hAnsi="Arial" w:cs="Arial"/>
        </w:rPr>
        <w:t>Neuner, J., and J. Dupuis. 1983. The Christian Faith in the Doctrinal Documents of the Catholic Church (Alba House)</w:t>
      </w:r>
    </w:p>
    <w:p w14:paraId="6936FF0A" w14:textId="77777777" w:rsidR="00ED7049" w:rsidRDefault="00923148">
      <w:pPr>
        <w:rPr>
          <w:rFonts w:ascii="Arial" w:hAnsi="Arial" w:cs="Arial"/>
        </w:rPr>
      </w:pPr>
      <w:r>
        <w:rPr>
          <w:rFonts w:ascii="Arial" w:hAnsi="Arial" w:cs="Arial"/>
        </w:rPr>
        <w:t>Ott, Ludwig. 2013. Fundamentals of Catholic Dogma, ed. by James Bastible, trans. by Patrick Lynch (Tan Books</w:t>
      </w:r>
    </w:p>
    <w:p w14:paraId="6936FF0B" w14:textId="77777777" w:rsidR="00ED7049" w:rsidRDefault="00923148">
      <w:pPr>
        <w:rPr>
          <w:rFonts w:ascii="Arial" w:hAnsi="Arial" w:cs="Arial"/>
        </w:rPr>
      </w:pPr>
      <w:r>
        <w:rPr>
          <w:rFonts w:ascii="Arial" w:hAnsi="Arial" w:cs="Arial"/>
        </w:rPr>
        <w:t xml:space="preserve">Peschke, Karl H. 2012. Christian Ethics: Moral Theology </w:t>
      </w:r>
      <w:proofErr w:type="gramStart"/>
      <w:r>
        <w:rPr>
          <w:rFonts w:ascii="Arial" w:hAnsi="Arial" w:cs="Arial"/>
        </w:rPr>
        <w:t>in Light of</w:t>
      </w:r>
      <w:proofErr w:type="gramEnd"/>
      <w:r>
        <w:rPr>
          <w:rFonts w:ascii="Arial" w:hAnsi="Arial" w:cs="Arial"/>
        </w:rPr>
        <w:t xml:space="preserve"> Vatican II v. 1, 3rd ed. (Wipf &amp; Stock)</w:t>
      </w:r>
    </w:p>
    <w:p w14:paraId="6936FF0C" w14:textId="77777777" w:rsidR="00ED7049" w:rsidRDefault="00923148">
      <w:r>
        <w:rPr>
          <w:rFonts w:ascii="Arial" w:hAnsi="Arial" w:cs="Arial"/>
        </w:rPr>
        <w:t>Shakespeare, William. 1994. Complete Works, ed. by S. Schoenbaum (Clarendon Press)</w:t>
      </w:r>
    </w:p>
    <w:sectPr w:rsidR="00ED704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EA42C" w14:textId="77777777" w:rsidR="00923148" w:rsidRDefault="00923148">
      <w:pPr>
        <w:spacing w:after="0" w:line="240" w:lineRule="auto"/>
      </w:pPr>
      <w:r>
        <w:separator/>
      </w:r>
    </w:p>
  </w:endnote>
  <w:endnote w:type="continuationSeparator" w:id="0">
    <w:p w14:paraId="733B0D5D" w14:textId="77777777" w:rsidR="00923148" w:rsidRDefault="009231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488C1" w14:textId="77777777" w:rsidR="00923148" w:rsidRDefault="00923148">
      <w:pPr>
        <w:spacing w:after="0" w:line="240" w:lineRule="auto"/>
      </w:pPr>
      <w:r>
        <w:rPr>
          <w:color w:val="000000"/>
        </w:rPr>
        <w:separator/>
      </w:r>
    </w:p>
  </w:footnote>
  <w:footnote w:type="continuationSeparator" w:id="0">
    <w:p w14:paraId="3F84CDF0" w14:textId="77777777" w:rsidR="00923148" w:rsidRDefault="00923148">
      <w:pPr>
        <w:spacing w:after="0" w:line="240" w:lineRule="auto"/>
      </w:pPr>
      <w:r>
        <w:continuationSeparator/>
      </w:r>
    </w:p>
  </w:footnote>
  <w:footnote w:id="1">
    <w:p w14:paraId="6936FED2" w14:textId="77777777" w:rsidR="00ED7049" w:rsidRDefault="00923148">
      <w:pPr>
        <w:pStyle w:val="FootnoteText"/>
      </w:pPr>
      <w:r>
        <w:rPr>
          <w:rStyle w:val="FootnoteReference"/>
        </w:rPr>
        <w:footnoteRef/>
      </w:r>
      <w:r>
        <w:t xml:space="preserve"> Servant of God and soon to be Blessed, Archbishop Fulton J Sheen 1895-1979, who was Bishop of Rochester and Titular Archbishop of Newport, Wales.</w:t>
      </w:r>
    </w:p>
    <w:p w14:paraId="6936FED3" w14:textId="77777777" w:rsidR="00923148" w:rsidRDefault="00923148"/>
  </w:footnote>
  <w:footnote w:id="2">
    <w:p w14:paraId="6936FED4" w14:textId="77777777" w:rsidR="00ED7049" w:rsidRDefault="00923148">
      <w:r>
        <w:rPr>
          <w:rStyle w:val="FootnoteReference"/>
        </w:rPr>
        <w:footnoteRef/>
      </w:r>
      <w:r>
        <w:t xml:space="preserve"> </w:t>
      </w:r>
      <w:r>
        <w:rPr>
          <w:sz w:val="20"/>
          <w:szCs w:val="20"/>
        </w:rPr>
        <w:t>Duffy, Eamon. 2022. The Stripping of the Altars: Traditional Religion in England, 1400-1580 (Yale University Press)</w:t>
      </w:r>
    </w:p>
    <w:p w14:paraId="6936FED6" w14:textId="77777777" w:rsidR="00923148" w:rsidRDefault="00923148"/>
  </w:footnote>
  <w:footnote w:id="3">
    <w:p w14:paraId="6936FED8" w14:textId="3D791757" w:rsidR="00923148" w:rsidRDefault="00923148">
      <w:r>
        <w:rPr>
          <w:rStyle w:val="FootnoteReference"/>
        </w:rPr>
        <w:footnoteRef/>
      </w:r>
      <w:r>
        <w:t xml:space="preserve"> </w:t>
      </w:r>
      <w:r>
        <w:rPr>
          <w:rFonts w:ascii="Arial" w:hAnsi="Arial" w:cs="Arial"/>
          <w:sz w:val="16"/>
          <w:szCs w:val="16"/>
          <w:lang w:val="en-IE"/>
        </w:rPr>
        <w:t>2 Tim 2.2</w:t>
      </w:r>
      <w:r>
        <w:rPr>
          <w:lang w:val="en-IE"/>
        </w:rPr>
        <w:t xml:space="preserve"> </w:t>
      </w:r>
      <w:r>
        <w:rPr>
          <w:sz w:val="20"/>
          <w:szCs w:val="20"/>
          <w:lang w:val="en-IE"/>
        </w:rPr>
        <w:t>Hahn, Scott, and Curtis Mitch (eds.). 2024. Ignatius Catholic Study Bible: Old and New Testaments (Ignatius Press)</w:t>
      </w:r>
    </w:p>
  </w:footnote>
  <w:footnote w:id="4">
    <w:p w14:paraId="6936FEDB" w14:textId="69813500" w:rsidR="00923148" w:rsidRDefault="00923148" w:rsidP="000D5381">
      <w:pPr>
        <w:pStyle w:val="FootnoteText"/>
      </w:pPr>
      <w:r>
        <w:rPr>
          <w:rStyle w:val="FootnoteReference"/>
        </w:rPr>
        <w:footnoteRef/>
      </w:r>
      <w:r>
        <w:t xml:space="preserve"> </w:t>
      </w:r>
      <w:r>
        <w:rPr>
          <w:lang w:val="en-IE"/>
        </w:rPr>
        <w:t>2 Time 3.14-17 Hahn, Scott, and Curtis Mitch (eds.). 2024. Ignatius Catholic Study Bible: Old and New Testaments (Ignatius Press)</w:t>
      </w:r>
    </w:p>
  </w:footnote>
  <w:footnote w:id="5">
    <w:p w14:paraId="6936FEDC" w14:textId="77777777" w:rsidR="00ED7049" w:rsidRDefault="00923148">
      <w:pPr>
        <w:pStyle w:val="FootnoteText"/>
      </w:pPr>
      <w:r>
        <w:rPr>
          <w:rStyle w:val="FootnoteReference"/>
        </w:rPr>
        <w:footnoteRef/>
      </w:r>
      <w:r>
        <w:t xml:space="preserve"> </w:t>
      </w:r>
      <w:r>
        <w:rPr>
          <w:lang w:val="en-IE"/>
        </w:rPr>
        <w:t xml:space="preserve"> Matt 4.1-11</w:t>
      </w:r>
    </w:p>
    <w:p w14:paraId="6936FEDD" w14:textId="77777777" w:rsidR="00923148" w:rsidRDefault="00923148"/>
  </w:footnote>
  <w:footnote w:id="6">
    <w:p w14:paraId="6936FEDF" w14:textId="370E2747" w:rsidR="00923148" w:rsidRDefault="00923148">
      <w:r>
        <w:rPr>
          <w:rStyle w:val="FootnoteReference"/>
        </w:rPr>
        <w:footnoteRef/>
      </w:r>
      <w:r>
        <w:t xml:space="preserve"> </w:t>
      </w:r>
      <w:r>
        <w:rPr>
          <w:sz w:val="20"/>
          <w:szCs w:val="20"/>
        </w:rPr>
        <w:t>2 Thessalonians 2:13-15</w:t>
      </w:r>
      <w:r>
        <w:t xml:space="preserve"> </w:t>
      </w:r>
      <w:r>
        <w:rPr>
          <w:sz w:val="20"/>
          <w:szCs w:val="20"/>
        </w:rPr>
        <w:t>Douay- Rheims Bible. 2005. (</w:t>
      </w:r>
      <w:proofErr w:type="spellStart"/>
      <w:r>
        <w:rPr>
          <w:sz w:val="20"/>
          <w:szCs w:val="20"/>
        </w:rPr>
        <w:t>Baronius</w:t>
      </w:r>
      <w:proofErr w:type="spellEnd"/>
      <w:r>
        <w:rPr>
          <w:sz w:val="20"/>
          <w:szCs w:val="20"/>
        </w:rPr>
        <w:t xml:space="preserve"> Press)</w:t>
      </w:r>
    </w:p>
  </w:footnote>
  <w:footnote w:id="7">
    <w:p w14:paraId="6936FEE1" w14:textId="35058E55" w:rsidR="00923148" w:rsidRDefault="00923148">
      <w:r>
        <w:rPr>
          <w:rStyle w:val="FootnoteReference"/>
        </w:rPr>
        <w:footnoteRef/>
      </w:r>
      <w:r>
        <w:t xml:space="preserve"> </w:t>
      </w:r>
      <w:r>
        <w:rPr>
          <w:sz w:val="20"/>
          <w:szCs w:val="20"/>
        </w:rPr>
        <w:t xml:space="preserve">Catholic Church, and Catholic Church. 1994. Catechism of the Catholic Church (Ignatius Press) </w:t>
      </w:r>
    </w:p>
  </w:footnote>
  <w:footnote w:id="8">
    <w:p w14:paraId="6936FEE3" w14:textId="31322DEB" w:rsidR="00923148" w:rsidRDefault="00923148">
      <w:r>
        <w:rPr>
          <w:rStyle w:val="FootnoteReference"/>
        </w:rPr>
        <w:footnoteRef/>
      </w:r>
      <w:r>
        <w:rPr>
          <w:sz w:val="20"/>
          <w:szCs w:val="20"/>
          <w:lang w:val="en-IE"/>
        </w:rPr>
        <w:t>Aquinas, Thomas. 2024. Summa Theologica (Ave Maria Press)</w:t>
      </w:r>
    </w:p>
  </w:footnote>
  <w:footnote w:id="9">
    <w:p w14:paraId="6936FEE4" w14:textId="77777777" w:rsidR="00ED7049" w:rsidRDefault="00923148">
      <w:r>
        <w:rPr>
          <w:rStyle w:val="FootnoteReference"/>
        </w:rPr>
        <w:footnoteRef/>
      </w:r>
      <w:r>
        <w:t xml:space="preserve"> </w:t>
      </w:r>
      <w:r>
        <w:rPr>
          <w:sz w:val="20"/>
          <w:szCs w:val="20"/>
        </w:rPr>
        <w:t>Catholic Church, and Catholic Church. 1994. Catechism of the Catholic Church (Ignatius Press) p42</w:t>
      </w:r>
    </w:p>
    <w:p w14:paraId="6936FEE5" w14:textId="77777777" w:rsidR="00ED7049" w:rsidRDefault="00ED7049">
      <w:pPr>
        <w:pStyle w:val="FootnoteText"/>
        <w:rPr>
          <w:lang w:val="en-IE"/>
        </w:rPr>
      </w:pPr>
    </w:p>
    <w:p w14:paraId="6936FEE6" w14:textId="77777777" w:rsidR="00923148" w:rsidRDefault="00923148"/>
  </w:footnote>
  <w:footnote w:id="10">
    <w:p w14:paraId="6936FEE7" w14:textId="77777777" w:rsidR="00ED7049" w:rsidRDefault="00923148">
      <w:r>
        <w:rPr>
          <w:rStyle w:val="FootnoteReference"/>
        </w:rPr>
        <w:footnoteRef/>
      </w:r>
      <w:r>
        <w:t xml:space="preserve"> </w:t>
      </w:r>
      <w:r>
        <w:rPr>
          <w:sz w:val="20"/>
          <w:szCs w:val="20"/>
        </w:rPr>
        <w:t>Hahn, Scott, and Curtis Mitch (eds.). 2024. Ignatius Catholic Study Bible: Old and New Testaments (Ignatius Press) Eph 1.3-10</w:t>
      </w:r>
    </w:p>
    <w:p w14:paraId="6936FEE8" w14:textId="77777777" w:rsidR="00ED7049" w:rsidRDefault="00ED7049">
      <w:pPr>
        <w:pStyle w:val="FootnoteText"/>
        <w:rPr>
          <w:lang w:val="en-IE"/>
        </w:rPr>
      </w:pPr>
    </w:p>
    <w:p w14:paraId="6936FEE9" w14:textId="77777777" w:rsidR="00923148" w:rsidRDefault="00923148"/>
  </w:footnote>
  <w:footnote w:id="11">
    <w:p w14:paraId="6936FEEB" w14:textId="37E2A2C7" w:rsidR="00923148" w:rsidRDefault="00923148">
      <w:r>
        <w:rPr>
          <w:rStyle w:val="FootnoteReference"/>
        </w:rPr>
        <w:footnoteRef/>
      </w:r>
      <w:r>
        <w:t xml:space="preserve"> </w:t>
      </w:r>
      <w:r>
        <w:rPr>
          <w:sz w:val="20"/>
          <w:szCs w:val="20"/>
        </w:rPr>
        <w:t>Shakespeare, William. 1994. Complete Works, ed. by S. Schoenbaum (Clarendon Press)</w:t>
      </w:r>
    </w:p>
  </w:footnote>
  <w:footnote w:id="12">
    <w:p w14:paraId="6936FEED" w14:textId="0C8B8AC8" w:rsidR="00923148" w:rsidRDefault="00923148">
      <w:r>
        <w:rPr>
          <w:rStyle w:val="FootnoteReference"/>
        </w:rPr>
        <w:footnoteRef/>
      </w:r>
      <w:r>
        <w:t xml:space="preserve"> </w:t>
      </w:r>
      <w:r>
        <w:rPr>
          <w:sz w:val="20"/>
          <w:szCs w:val="20"/>
        </w:rPr>
        <w:t xml:space="preserve">Lyly, </w:t>
      </w:r>
      <w:r>
        <w:rPr>
          <w:sz w:val="20"/>
          <w:szCs w:val="20"/>
        </w:rPr>
        <w:t xml:space="preserve">John. 2012. Eupheus, the Anatomy of Wit; </w:t>
      </w:r>
      <w:proofErr w:type="spellStart"/>
      <w:r>
        <w:rPr>
          <w:sz w:val="20"/>
          <w:szCs w:val="20"/>
        </w:rPr>
        <w:t>Eupheus</w:t>
      </w:r>
      <w:proofErr w:type="spellEnd"/>
      <w:r>
        <w:rPr>
          <w:sz w:val="20"/>
          <w:szCs w:val="20"/>
        </w:rPr>
        <w:t xml:space="preserve"> and His England (Rarebooksclub.com)</w:t>
      </w:r>
    </w:p>
  </w:footnote>
  <w:footnote w:id="13">
    <w:p w14:paraId="6936FEEE" w14:textId="77777777" w:rsidR="00ED7049" w:rsidRDefault="00923148">
      <w:r>
        <w:rPr>
          <w:rStyle w:val="FootnoteReference"/>
        </w:rPr>
        <w:footnoteRef/>
      </w:r>
      <w:r>
        <w:t xml:space="preserve"> </w:t>
      </w:r>
      <w:r>
        <w:rPr>
          <w:sz w:val="20"/>
          <w:szCs w:val="20"/>
        </w:rPr>
        <w:t>Flannery, Austin (ed.). 2014. Dei Verbum: Dogmatic Constitution on Divine Revelation (Liturgical Press</w:t>
      </w:r>
    </w:p>
    <w:p w14:paraId="6936FEEF" w14:textId="77777777" w:rsidR="00923148" w:rsidRDefault="00923148"/>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ED7049"/>
    <w:rsid w:val="000D5381"/>
    <w:rsid w:val="00877A11"/>
    <w:rsid w:val="00923148"/>
    <w:rsid w:val="00ED70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6FED2"/>
  <w15:docId w15:val="{98990C52-BEC0-4C47-89A9-F795CFDF5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US"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1873</Words>
  <Characters>10677</Characters>
  <Application>Microsoft Office Word</Application>
  <DocSecurity>0</DocSecurity>
  <Lines>88</Lines>
  <Paragraphs>25</Paragraphs>
  <ScaleCrop>false</ScaleCrop>
  <Company/>
  <LinksUpToDate>false</LinksUpToDate>
  <CharactersWithSpaces>12525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Columbanus O'Duinneacha (2517770)</dc:creator>
  <dc:description/>
  <cp:lastModifiedBy>Columbanus O'Duinneacha (2517770)</cp:lastModifiedBy>
  <cp:revision>2</cp:revision>
  <dcterms:created xsi:type="dcterms:W3CDTF">2026-04-02T18:42:00Z</dcterms:created>
  <dcterms:modified xsi:type="dcterms:W3CDTF">2026-04-02T18:42:00Z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bf0961c1-1e56-484d-8d1b-621a760d1932</vt:lpwstr>
  </property>
</Properties>
</file>