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8BFA3" w14:textId="19B11B43" w:rsidR="00D25CE8" w:rsidRDefault="00D25CE8" w:rsidP="00176685">
      <w:pPr>
        <w:ind w:right="237"/>
        <w:jc w:val="both"/>
        <w:rPr>
          <w:rFonts w:eastAsia="Arial"/>
          <w:b/>
          <w:bCs/>
          <w:color w:val="000000" w:themeColor="text1"/>
          <w:sz w:val="24"/>
          <w:szCs w:val="24"/>
        </w:rPr>
      </w:pPr>
      <w:r>
        <w:rPr>
          <w:rFonts w:eastAsia="Arial"/>
          <w:b/>
          <w:bCs/>
          <w:color w:val="000000" w:themeColor="text1"/>
          <w:sz w:val="24"/>
          <w:szCs w:val="24"/>
        </w:rPr>
        <w:t>Competency Based Workbook 2 (DHEP)</w:t>
      </w:r>
    </w:p>
    <w:p w14:paraId="754A04FF" w14:textId="24A0856D" w:rsidR="00D25CE8" w:rsidRDefault="00D25CE8" w:rsidP="00176685">
      <w:pPr>
        <w:ind w:right="237"/>
        <w:jc w:val="both"/>
        <w:rPr>
          <w:rFonts w:eastAsia="Arial"/>
          <w:b/>
          <w:bCs/>
          <w:color w:val="000000" w:themeColor="text1"/>
          <w:sz w:val="24"/>
          <w:szCs w:val="24"/>
        </w:rPr>
      </w:pPr>
    </w:p>
    <w:p w14:paraId="3D2B6C95" w14:textId="77777777" w:rsidR="00D25CE8" w:rsidRDefault="00D25CE8" w:rsidP="00176685">
      <w:pPr>
        <w:ind w:right="237"/>
        <w:jc w:val="both"/>
        <w:rPr>
          <w:rFonts w:eastAsia="Arial"/>
          <w:b/>
          <w:bCs/>
          <w:color w:val="000000" w:themeColor="text1"/>
          <w:sz w:val="24"/>
          <w:szCs w:val="24"/>
        </w:rPr>
      </w:pPr>
    </w:p>
    <w:p w14:paraId="37B8F6CB" w14:textId="45BCC122" w:rsidR="00947C08" w:rsidRPr="004A5C0E" w:rsidRDefault="00947C08" w:rsidP="00176685">
      <w:pPr>
        <w:ind w:right="237"/>
        <w:jc w:val="both"/>
        <w:rPr>
          <w:rFonts w:eastAsia="Arial"/>
          <w:b/>
          <w:bCs/>
          <w:color w:val="000000" w:themeColor="text1"/>
          <w:sz w:val="24"/>
          <w:szCs w:val="24"/>
        </w:rPr>
      </w:pPr>
      <w:r w:rsidRPr="004A5C0E">
        <w:rPr>
          <w:rFonts w:eastAsia="Arial"/>
          <w:b/>
          <w:bCs/>
          <w:color w:val="000000" w:themeColor="text1"/>
          <w:sz w:val="24"/>
          <w:szCs w:val="24"/>
        </w:rPr>
        <w:t>L</w:t>
      </w:r>
      <w:r w:rsidR="004A5C0E" w:rsidRPr="004A5C0E">
        <w:rPr>
          <w:rFonts w:eastAsia="Arial"/>
          <w:b/>
          <w:bCs/>
          <w:color w:val="000000" w:themeColor="text1"/>
          <w:sz w:val="24"/>
          <w:szCs w:val="24"/>
        </w:rPr>
        <w:t xml:space="preserve">earner name: </w:t>
      </w:r>
      <w:proofErr w:type="spellStart"/>
      <w:r w:rsidR="004A5C0E" w:rsidRPr="004A5C0E">
        <w:rPr>
          <w:rFonts w:eastAsia="Arial"/>
          <w:b/>
          <w:bCs/>
          <w:color w:val="000000" w:themeColor="text1"/>
          <w:sz w:val="24"/>
          <w:szCs w:val="24"/>
        </w:rPr>
        <w:t>Rhidian</w:t>
      </w:r>
      <w:proofErr w:type="spellEnd"/>
      <w:r w:rsidR="004A5C0E" w:rsidRPr="004A5C0E">
        <w:rPr>
          <w:rFonts w:eastAsia="Arial"/>
          <w:b/>
          <w:bCs/>
          <w:color w:val="000000" w:themeColor="text1"/>
          <w:sz w:val="24"/>
          <w:szCs w:val="24"/>
        </w:rPr>
        <w:t xml:space="preserve"> McCann</w:t>
      </w:r>
    </w:p>
    <w:p w14:paraId="2F67373C" w14:textId="51EE17C9" w:rsidR="004A5C0E" w:rsidRPr="004A5C0E" w:rsidRDefault="004A5C0E" w:rsidP="00176685">
      <w:pPr>
        <w:ind w:right="237"/>
        <w:jc w:val="both"/>
        <w:rPr>
          <w:rFonts w:eastAsia="Arial"/>
          <w:b/>
          <w:bCs/>
          <w:color w:val="000000" w:themeColor="text1"/>
          <w:sz w:val="24"/>
          <w:szCs w:val="24"/>
        </w:rPr>
      </w:pPr>
      <w:r w:rsidRPr="004A5C0E">
        <w:rPr>
          <w:rFonts w:eastAsia="Arial"/>
          <w:b/>
          <w:bCs/>
          <w:color w:val="000000" w:themeColor="text1"/>
          <w:sz w:val="24"/>
          <w:szCs w:val="24"/>
        </w:rPr>
        <w:t>Learner’s University Registration Number: 2029404</w:t>
      </w:r>
    </w:p>
    <w:p w14:paraId="3F2F94CF" w14:textId="77777777" w:rsidR="00947C08" w:rsidRDefault="00947C08" w:rsidP="00176685">
      <w:pPr>
        <w:ind w:right="237"/>
        <w:jc w:val="both"/>
        <w:rPr>
          <w:rFonts w:eastAsia="Arial"/>
          <w:color w:val="000000" w:themeColor="text1"/>
          <w:sz w:val="24"/>
          <w:szCs w:val="24"/>
        </w:rPr>
      </w:pPr>
    </w:p>
    <w:p w14:paraId="2616640A" w14:textId="77777777" w:rsidR="00947C08" w:rsidRDefault="00947C08" w:rsidP="00176685">
      <w:pPr>
        <w:ind w:right="237"/>
        <w:jc w:val="both"/>
        <w:rPr>
          <w:rFonts w:eastAsia="Arial"/>
          <w:color w:val="000000" w:themeColor="text1"/>
          <w:sz w:val="24"/>
          <w:szCs w:val="24"/>
        </w:rPr>
      </w:pPr>
    </w:p>
    <w:p w14:paraId="18C0917D" w14:textId="4C8F97B9" w:rsidR="00947C08" w:rsidRPr="004A5C0E" w:rsidRDefault="004A5C0E" w:rsidP="00176685">
      <w:pPr>
        <w:ind w:right="237"/>
        <w:jc w:val="both"/>
        <w:rPr>
          <w:rFonts w:eastAsia="Arial"/>
          <w:b/>
          <w:bCs/>
          <w:color w:val="000000" w:themeColor="text1"/>
          <w:sz w:val="24"/>
          <w:szCs w:val="24"/>
        </w:rPr>
      </w:pPr>
      <w:r w:rsidRPr="004A5C0E">
        <w:rPr>
          <w:rFonts w:eastAsia="Arial"/>
          <w:b/>
          <w:bCs/>
          <w:color w:val="000000" w:themeColor="text1"/>
          <w:sz w:val="24"/>
          <w:szCs w:val="24"/>
        </w:rPr>
        <w:t>Task 1 – Vulnerability and Risk, Evidence-based policing</w:t>
      </w:r>
    </w:p>
    <w:p w14:paraId="402EEDD7" w14:textId="77777777" w:rsidR="00947C08" w:rsidRDefault="00947C08" w:rsidP="00176685">
      <w:pPr>
        <w:ind w:right="237"/>
        <w:jc w:val="both"/>
        <w:rPr>
          <w:rFonts w:eastAsia="Arial"/>
          <w:color w:val="000000" w:themeColor="text1"/>
          <w:sz w:val="24"/>
          <w:szCs w:val="24"/>
        </w:rPr>
      </w:pPr>
    </w:p>
    <w:p w14:paraId="13305CCC" w14:textId="0BC5D953" w:rsidR="00176685" w:rsidRPr="00D25CE8" w:rsidRDefault="00176685" w:rsidP="00176685">
      <w:pPr>
        <w:ind w:right="237"/>
        <w:jc w:val="both"/>
        <w:rPr>
          <w:rFonts w:eastAsia="Arial"/>
          <w:color w:val="000000" w:themeColor="text1"/>
          <w:sz w:val="22"/>
          <w:szCs w:val="22"/>
        </w:rPr>
      </w:pPr>
      <w:r w:rsidRPr="00D25CE8">
        <w:rPr>
          <w:rFonts w:eastAsia="Arial"/>
          <w:color w:val="000000" w:themeColor="text1"/>
          <w:sz w:val="22"/>
          <w:szCs w:val="22"/>
        </w:rPr>
        <w:t>I attended an address that I had frequented regularly to assist an individual as a result of their parent making a report to police in regards to an incident of domestic violence. I had cause to attend the address on an emergency response due to the threat, risk and harm present. The relevant context in which the Association of Chief Police Officers defines this emergency response would be due to the danger to life and the use, or immediate threat of use, of violence, or the likely risk of it (</w:t>
      </w:r>
      <w:r w:rsidRPr="00D25CE8">
        <w:rPr>
          <w:rFonts w:eastAsia="Arial"/>
          <w:color w:val="auto"/>
          <w:sz w:val="22"/>
          <w:szCs w:val="22"/>
        </w:rPr>
        <w:t>Association of Chief Police Officers</w:t>
      </w:r>
      <w:r w:rsidR="00170590" w:rsidRPr="00D25CE8">
        <w:rPr>
          <w:rFonts w:eastAsia="Arial"/>
          <w:color w:val="auto"/>
          <w:sz w:val="22"/>
          <w:szCs w:val="22"/>
        </w:rPr>
        <w:t>, 2005</w:t>
      </w:r>
      <w:r w:rsidRPr="00D25CE8">
        <w:rPr>
          <w:rFonts w:eastAsia="Arial"/>
          <w:color w:val="000000" w:themeColor="text1"/>
          <w:sz w:val="22"/>
          <w:szCs w:val="22"/>
        </w:rPr>
        <w:t>). This decision is based on the nationally used THRIVE risk assessment model which was created as a means of evaluating the risk posed by considering five criteria; threat, harm, risk, investigation, vulnerability and engagement (</w:t>
      </w:r>
      <w:r w:rsidRPr="00D25CE8">
        <w:rPr>
          <w:rFonts w:eastAsia="Arial"/>
          <w:color w:val="auto"/>
          <w:sz w:val="22"/>
          <w:szCs w:val="22"/>
        </w:rPr>
        <w:t>College of Policing</w:t>
      </w:r>
      <w:r w:rsidR="00170590" w:rsidRPr="00D25CE8">
        <w:rPr>
          <w:rFonts w:eastAsia="Arial"/>
          <w:color w:val="auto"/>
          <w:sz w:val="22"/>
          <w:szCs w:val="22"/>
        </w:rPr>
        <w:t>, 2021</w:t>
      </w:r>
      <w:r w:rsidRPr="00D25CE8">
        <w:rPr>
          <w:rFonts w:eastAsia="Arial"/>
          <w:color w:val="000000" w:themeColor="text1"/>
          <w:sz w:val="22"/>
          <w:szCs w:val="22"/>
        </w:rPr>
        <w:t>). As with call grading, this model is also used to aid officers in dealing with an incident in the most appropriate manner by gathering information from the aforementioned elements and using it in conjunction with the National Decision Model.</w:t>
      </w:r>
    </w:p>
    <w:p w14:paraId="4164B21C" w14:textId="77777777" w:rsidR="00176685" w:rsidRPr="00D25CE8" w:rsidRDefault="00176685" w:rsidP="00176685">
      <w:pPr>
        <w:ind w:right="237"/>
        <w:jc w:val="both"/>
        <w:rPr>
          <w:rFonts w:eastAsia="Arial"/>
          <w:color w:val="000000" w:themeColor="text1"/>
          <w:sz w:val="22"/>
          <w:szCs w:val="22"/>
        </w:rPr>
      </w:pPr>
    </w:p>
    <w:p w14:paraId="6B649A12" w14:textId="5FDBFDCB" w:rsidR="00B27D8E" w:rsidRPr="00D25CE8" w:rsidRDefault="00176685" w:rsidP="00176685">
      <w:pPr>
        <w:ind w:right="237"/>
        <w:jc w:val="both"/>
        <w:rPr>
          <w:rFonts w:eastAsia="Arial"/>
          <w:color w:val="000000" w:themeColor="text1"/>
          <w:sz w:val="22"/>
          <w:szCs w:val="22"/>
        </w:rPr>
      </w:pPr>
      <w:r w:rsidRPr="00D25CE8">
        <w:rPr>
          <w:rFonts w:eastAsia="Arial"/>
          <w:color w:val="000000" w:themeColor="text1"/>
          <w:sz w:val="22"/>
          <w:szCs w:val="22"/>
        </w:rPr>
        <w:t>With prior knowledge of the victim’s history and knowing them to be a part of the travelling community, I had to take the relevant steps to make sure that they engaged with me as on previous occasions they have been despondent. A survey conducted showed that approximately 75% of police officers questioned had an ‘unconscious bias and/or racist behaviour’ in regards to those that identified themselves as travellers (</w:t>
      </w:r>
      <w:r w:rsidRPr="00D25CE8">
        <w:rPr>
          <w:rFonts w:eastAsia="Arial"/>
          <w:color w:val="auto"/>
          <w:sz w:val="22"/>
          <w:szCs w:val="22"/>
        </w:rPr>
        <w:t>Travellers Times</w:t>
      </w:r>
      <w:r w:rsidR="00EF7C9E" w:rsidRPr="00D25CE8">
        <w:rPr>
          <w:rFonts w:eastAsia="Arial"/>
          <w:color w:val="auto"/>
          <w:sz w:val="22"/>
          <w:szCs w:val="22"/>
        </w:rPr>
        <w:t>, 2018</w:t>
      </w:r>
      <w:r w:rsidRPr="00D25CE8">
        <w:rPr>
          <w:rFonts w:eastAsia="Arial"/>
          <w:color w:val="000000" w:themeColor="text1"/>
          <w:sz w:val="22"/>
          <w:szCs w:val="22"/>
        </w:rPr>
        <w:t>). Government figures show that 14 white gypsy/travellers per 1,000 are arrested which is the second highest rate amongst the white ethnicities (</w:t>
      </w:r>
      <w:r w:rsidRPr="00D25CE8">
        <w:rPr>
          <w:rFonts w:eastAsia="Arial"/>
          <w:color w:val="auto"/>
          <w:sz w:val="22"/>
          <w:szCs w:val="22"/>
        </w:rPr>
        <w:t>G</w:t>
      </w:r>
      <w:r w:rsidR="00866134" w:rsidRPr="00D25CE8">
        <w:rPr>
          <w:rFonts w:eastAsia="Arial"/>
          <w:color w:val="auto"/>
          <w:sz w:val="22"/>
          <w:szCs w:val="22"/>
        </w:rPr>
        <w:t>ov.</w:t>
      </w:r>
      <w:r w:rsidRPr="00D25CE8">
        <w:rPr>
          <w:rFonts w:eastAsia="Arial"/>
          <w:color w:val="auto"/>
          <w:sz w:val="22"/>
          <w:szCs w:val="22"/>
        </w:rPr>
        <w:t>UK</w:t>
      </w:r>
      <w:r w:rsidR="00866134" w:rsidRPr="00D25CE8">
        <w:rPr>
          <w:rFonts w:eastAsia="Arial"/>
          <w:color w:val="auto"/>
          <w:sz w:val="22"/>
          <w:szCs w:val="22"/>
        </w:rPr>
        <w:t>, 2022</w:t>
      </w:r>
      <w:r w:rsidRPr="00D25CE8">
        <w:rPr>
          <w:rFonts w:eastAsia="Arial"/>
          <w:color w:val="000000" w:themeColor="text1"/>
          <w:sz w:val="22"/>
          <w:szCs w:val="22"/>
        </w:rPr>
        <w:t xml:space="preserve">). All other white ethnicities in the UK bar those that identified as other were lower by some margin. </w:t>
      </w:r>
    </w:p>
    <w:p w14:paraId="4250FAD6" w14:textId="77777777" w:rsidR="00B27D8E" w:rsidRPr="00D25CE8" w:rsidRDefault="00B27D8E" w:rsidP="00176685">
      <w:pPr>
        <w:ind w:right="237"/>
        <w:jc w:val="both"/>
        <w:rPr>
          <w:rFonts w:eastAsia="Arial"/>
          <w:color w:val="000000" w:themeColor="text1"/>
          <w:sz w:val="22"/>
          <w:szCs w:val="22"/>
        </w:rPr>
      </w:pPr>
    </w:p>
    <w:p w14:paraId="29CA41E1" w14:textId="10B71CEC" w:rsidR="001C4562" w:rsidRPr="00D25CE8" w:rsidRDefault="00176685" w:rsidP="00176685">
      <w:pPr>
        <w:ind w:right="237"/>
        <w:jc w:val="both"/>
        <w:rPr>
          <w:rFonts w:eastAsia="Arial"/>
          <w:color w:val="000000" w:themeColor="text1"/>
          <w:sz w:val="22"/>
          <w:szCs w:val="22"/>
        </w:rPr>
      </w:pPr>
      <w:r w:rsidRPr="00D25CE8">
        <w:rPr>
          <w:rFonts w:eastAsia="Arial"/>
          <w:color w:val="000000" w:themeColor="text1"/>
          <w:sz w:val="22"/>
          <w:szCs w:val="22"/>
        </w:rPr>
        <w:t>This division is likely a contributing factor to the reported bias found in police against travellers and is also most likely the reason why the data in regards to travellers being the victims of domestic abuse is so low as to be non-existent. Of all sample sizes of persons surveyed from the age of 16 to 74, only 6 travellers were sampled in comparison to 20,015 White British people (</w:t>
      </w:r>
      <w:r w:rsidRPr="00D25CE8">
        <w:rPr>
          <w:rFonts w:eastAsia="Arial"/>
          <w:color w:val="auto"/>
          <w:sz w:val="22"/>
          <w:szCs w:val="22"/>
        </w:rPr>
        <w:t>G</w:t>
      </w:r>
      <w:r w:rsidR="00866134" w:rsidRPr="00D25CE8">
        <w:rPr>
          <w:rFonts w:eastAsia="Arial"/>
          <w:color w:val="auto"/>
          <w:sz w:val="22"/>
          <w:szCs w:val="22"/>
        </w:rPr>
        <w:t>ov.</w:t>
      </w:r>
      <w:r w:rsidRPr="00D25CE8">
        <w:rPr>
          <w:rFonts w:eastAsia="Arial"/>
          <w:color w:val="auto"/>
          <w:sz w:val="22"/>
          <w:szCs w:val="22"/>
        </w:rPr>
        <w:t>UK</w:t>
      </w:r>
      <w:r w:rsidR="00866134" w:rsidRPr="00D25CE8">
        <w:rPr>
          <w:rFonts w:eastAsia="Arial"/>
          <w:color w:val="auto"/>
          <w:sz w:val="22"/>
          <w:szCs w:val="22"/>
        </w:rPr>
        <w:t>, 2021</w:t>
      </w:r>
      <w:r w:rsidRPr="00D25CE8">
        <w:rPr>
          <w:rFonts w:eastAsia="Arial"/>
          <w:color w:val="000000" w:themeColor="text1"/>
          <w:sz w:val="22"/>
          <w:szCs w:val="22"/>
        </w:rPr>
        <w:t>). There is evidently a vast discrepancy and discrimination towards the travelling community which subsequently would directly affect their willingness to engage with police and partner services.</w:t>
      </w:r>
      <w:r w:rsidR="00B27D8E" w:rsidRPr="00D25CE8">
        <w:rPr>
          <w:rFonts w:eastAsia="Arial"/>
          <w:color w:val="000000" w:themeColor="text1"/>
          <w:sz w:val="22"/>
          <w:szCs w:val="22"/>
        </w:rPr>
        <w:t xml:space="preserve"> </w:t>
      </w:r>
      <w:r w:rsidRPr="00D25CE8">
        <w:rPr>
          <w:rFonts w:eastAsia="Arial"/>
          <w:color w:val="000000" w:themeColor="text1"/>
          <w:sz w:val="22"/>
          <w:szCs w:val="22"/>
        </w:rPr>
        <w:t xml:space="preserve">I took this into consideration and ensured that I would not hold any personal bias against the victim I was dealing with as I wanted to provide the best victim care possible. </w:t>
      </w:r>
      <w:r w:rsidR="001C4562" w:rsidRPr="00D25CE8">
        <w:rPr>
          <w:rFonts w:eastAsia="Arial"/>
          <w:color w:val="000000" w:themeColor="text1"/>
          <w:sz w:val="22"/>
          <w:szCs w:val="22"/>
        </w:rPr>
        <w:t xml:space="preserve">Victim care is at the forefront of priorities </w:t>
      </w:r>
      <w:r w:rsidR="0065761A" w:rsidRPr="00D25CE8">
        <w:rPr>
          <w:rFonts w:eastAsia="Arial"/>
          <w:color w:val="000000" w:themeColor="text1"/>
          <w:sz w:val="22"/>
          <w:szCs w:val="22"/>
        </w:rPr>
        <w:t>when dealing with incidents of this nature as it aids in building the victim’s confidence in the criminal justice system and directly impacts on the likelihood of them pursuing a complaint and assisting police in the investigation (</w:t>
      </w:r>
      <w:r w:rsidR="0065761A" w:rsidRPr="00D25CE8">
        <w:rPr>
          <w:rFonts w:eastAsia="Arial"/>
          <w:color w:val="auto"/>
          <w:sz w:val="22"/>
          <w:szCs w:val="22"/>
        </w:rPr>
        <w:t>College of Policing</w:t>
      </w:r>
      <w:r w:rsidR="007621A2" w:rsidRPr="00D25CE8">
        <w:rPr>
          <w:rFonts w:eastAsia="Arial"/>
          <w:color w:val="auto"/>
          <w:sz w:val="22"/>
          <w:szCs w:val="22"/>
        </w:rPr>
        <w:t>, 2020</w:t>
      </w:r>
      <w:r w:rsidR="0065761A" w:rsidRPr="00D25CE8">
        <w:rPr>
          <w:rFonts w:eastAsia="Arial"/>
          <w:color w:val="000000" w:themeColor="text1"/>
          <w:sz w:val="22"/>
          <w:szCs w:val="22"/>
        </w:rPr>
        <w:t>).</w:t>
      </w:r>
    </w:p>
    <w:p w14:paraId="022D5A2C" w14:textId="77777777" w:rsidR="001C4562" w:rsidRPr="00D25CE8" w:rsidRDefault="001C4562" w:rsidP="00176685">
      <w:pPr>
        <w:ind w:right="237"/>
        <w:jc w:val="both"/>
        <w:rPr>
          <w:rFonts w:eastAsia="Arial"/>
          <w:color w:val="000000" w:themeColor="text1"/>
          <w:sz w:val="22"/>
          <w:szCs w:val="22"/>
        </w:rPr>
      </w:pPr>
    </w:p>
    <w:p w14:paraId="459A14F3" w14:textId="3B83F6A3" w:rsidR="00176685" w:rsidRPr="00D25CE8" w:rsidRDefault="00176685" w:rsidP="00176685">
      <w:pPr>
        <w:ind w:right="237"/>
        <w:jc w:val="both"/>
        <w:rPr>
          <w:rFonts w:eastAsia="Arial"/>
          <w:color w:val="000000" w:themeColor="text1"/>
          <w:sz w:val="22"/>
          <w:szCs w:val="22"/>
        </w:rPr>
      </w:pPr>
      <w:r w:rsidRPr="00D25CE8">
        <w:rPr>
          <w:rFonts w:eastAsia="Arial"/>
          <w:color w:val="000000" w:themeColor="text1"/>
          <w:sz w:val="22"/>
          <w:szCs w:val="22"/>
        </w:rPr>
        <w:t>In line with these cultural issues to consider, I also had to acknowledge the victim’s domestic abuse history as part of the first step of the National Decision Model which was to gather information and intelligence which assists in the next step of the model which is to assess threat and risk and develop a working strategy (</w:t>
      </w:r>
      <w:r w:rsidRPr="00D25CE8">
        <w:rPr>
          <w:rFonts w:eastAsia="Arial"/>
          <w:color w:val="auto"/>
          <w:sz w:val="22"/>
          <w:szCs w:val="22"/>
        </w:rPr>
        <w:t>College of Policing</w:t>
      </w:r>
      <w:r w:rsidR="007621A2" w:rsidRPr="00D25CE8">
        <w:rPr>
          <w:rFonts w:eastAsia="Arial"/>
          <w:color w:val="auto"/>
          <w:sz w:val="22"/>
          <w:szCs w:val="22"/>
        </w:rPr>
        <w:t>, 2013</w:t>
      </w:r>
      <w:r w:rsidRPr="00D25CE8">
        <w:rPr>
          <w:rFonts w:eastAsia="Arial"/>
          <w:color w:val="000000" w:themeColor="text1"/>
          <w:sz w:val="22"/>
          <w:szCs w:val="22"/>
        </w:rPr>
        <w:t xml:space="preserve">). Due to previous dealings, I was aware that the aggrieved was a high-risk repeat victim of domestic abuse </w:t>
      </w:r>
      <w:r w:rsidR="005D6955" w:rsidRPr="00D25CE8">
        <w:rPr>
          <w:rFonts w:eastAsia="Arial"/>
          <w:color w:val="000000" w:themeColor="text1"/>
          <w:sz w:val="22"/>
          <w:szCs w:val="22"/>
        </w:rPr>
        <w:t>from the same subject. According to the Living Without Abuse charity, domestic incidents escalate to approximately two female murders every week and roughly</w:t>
      </w:r>
      <w:r w:rsidR="00B27D8E" w:rsidRPr="00D25CE8">
        <w:rPr>
          <w:rFonts w:eastAsia="Arial"/>
          <w:color w:val="000000" w:themeColor="text1"/>
          <w:sz w:val="22"/>
          <w:szCs w:val="22"/>
        </w:rPr>
        <w:t xml:space="preserve"> thirty male deaths over the course of a year. It also has the most repeat victims of all criminal incidents with victims averaging </w:t>
      </w:r>
      <w:proofErr w:type="gramStart"/>
      <w:r w:rsidR="00B27D8E" w:rsidRPr="00D25CE8">
        <w:rPr>
          <w:rFonts w:eastAsia="Arial"/>
          <w:color w:val="000000" w:themeColor="text1"/>
          <w:sz w:val="22"/>
          <w:szCs w:val="22"/>
        </w:rPr>
        <w:t>thirty five</w:t>
      </w:r>
      <w:proofErr w:type="gramEnd"/>
      <w:r w:rsidR="00B27D8E" w:rsidRPr="00D25CE8">
        <w:rPr>
          <w:rFonts w:eastAsia="Arial"/>
          <w:color w:val="000000" w:themeColor="text1"/>
          <w:sz w:val="22"/>
          <w:szCs w:val="22"/>
        </w:rPr>
        <w:t xml:space="preserve"> beatings prior to contacting police </w:t>
      </w:r>
      <w:r w:rsidR="00A66E09" w:rsidRPr="00D25CE8">
        <w:rPr>
          <w:rFonts w:eastAsia="Arial"/>
          <w:color w:val="000000" w:themeColor="text1"/>
          <w:sz w:val="22"/>
          <w:szCs w:val="22"/>
        </w:rPr>
        <w:t>(L</w:t>
      </w:r>
      <w:r w:rsidR="00B27D8E" w:rsidRPr="00D25CE8">
        <w:rPr>
          <w:rFonts w:eastAsia="Arial"/>
          <w:color w:val="auto"/>
          <w:sz w:val="22"/>
          <w:szCs w:val="22"/>
        </w:rPr>
        <w:t xml:space="preserve">iving </w:t>
      </w:r>
      <w:r w:rsidR="00A66E09" w:rsidRPr="00D25CE8">
        <w:rPr>
          <w:rFonts w:eastAsia="Arial"/>
          <w:color w:val="auto"/>
          <w:sz w:val="22"/>
          <w:szCs w:val="22"/>
        </w:rPr>
        <w:t>w</w:t>
      </w:r>
      <w:r w:rsidR="00B27D8E" w:rsidRPr="00D25CE8">
        <w:rPr>
          <w:rFonts w:eastAsia="Arial"/>
          <w:color w:val="auto"/>
          <w:sz w:val="22"/>
          <w:szCs w:val="22"/>
        </w:rPr>
        <w:t xml:space="preserve">ithout </w:t>
      </w:r>
      <w:r w:rsidR="00A66E09" w:rsidRPr="00D25CE8">
        <w:rPr>
          <w:rFonts w:eastAsia="Arial"/>
          <w:color w:val="auto"/>
          <w:sz w:val="22"/>
          <w:szCs w:val="22"/>
        </w:rPr>
        <w:t>a</w:t>
      </w:r>
      <w:r w:rsidR="00B27D8E" w:rsidRPr="00D25CE8">
        <w:rPr>
          <w:rFonts w:eastAsia="Arial"/>
          <w:color w:val="auto"/>
          <w:sz w:val="22"/>
          <w:szCs w:val="22"/>
        </w:rPr>
        <w:t>buse</w:t>
      </w:r>
      <w:r w:rsidR="00A66E09" w:rsidRPr="00D25CE8">
        <w:rPr>
          <w:rFonts w:eastAsia="Arial"/>
          <w:color w:val="auto"/>
          <w:sz w:val="22"/>
          <w:szCs w:val="22"/>
        </w:rPr>
        <w:t>, 2022</w:t>
      </w:r>
      <w:r w:rsidR="00B27D8E" w:rsidRPr="00D25CE8">
        <w:rPr>
          <w:rFonts w:eastAsia="Arial"/>
          <w:color w:val="000000" w:themeColor="text1"/>
          <w:sz w:val="22"/>
          <w:szCs w:val="22"/>
        </w:rPr>
        <w:t>).</w:t>
      </w:r>
    </w:p>
    <w:p w14:paraId="7753337E" w14:textId="4DEB5951" w:rsidR="00F90D0F" w:rsidRPr="00D25CE8" w:rsidRDefault="00F90D0F" w:rsidP="00176685">
      <w:pPr>
        <w:ind w:right="237"/>
        <w:jc w:val="both"/>
        <w:rPr>
          <w:rFonts w:eastAsia="Arial"/>
          <w:color w:val="000000" w:themeColor="text1"/>
          <w:sz w:val="22"/>
          <w:szCs w:val="22"/>
        </w:rPr>
      </w:pPr>
    </w:p>
    <w:p w14:paraId="503F12F0" w14:textId="13D53843" w:rsidR="00F90D0F" w:rsidRPr="00D25CE8" w:rsidRDefault="00F90D0F" w:rsidP="00176685">
      <w:pPr>
        <w:ind w:right="237"/>
        <w:jc w:val="both"/>
        <w:rPr>
          <w:rFonts w:eastAsia="Arial"/>
          <w:color w:val="000000" w:themeColor="text1"/>
          <w:sz w:val="22"/>
          <w:szCs w:val="22"/>
        </w:rPr>
      </w:pPr>
      <w:r w:rsidRPr="00D25CE8">
        <w:rPr>
          <w:rFonts w:eastAsia="Arial"/>
          <w:color w:val="000000" w:themeColor="text1"/>
          <w:sz w:val="22"/>
          <w:szCs w:val="22"/>
        </w:rPr>
        <w:lastRenderedPageBreak/>
        <w:t xml:space="preserve">Once I had arrived at the address and had been told the full circumstances by the victim, I set out measures to safeguard them as a matter of the utmost importance. </w:t>
      </w:r>
      <w:r w:rsidR="00BA7A05" w:rsidRPr="00D25CE8">
        <w:rPr>
          <w:rFonts w:eastAsia="Arial"/>
          <w:color w:val="000000" w:themeColor="text1"/>
          <w:sz w:val="22"/>
          <w:szCs w:val="22"/>
        </w:rPr>
        <w:t xml:space="preserve">I believe the most valuable approach to supporting and managing vulnerable people at risk of harm is to first listen to what their needs are and to best accommodate them. Organisational procedure is to take positive action in light of domestic incidents due to their risk of escalation. In most cases, positive action would constitute of safeguarding </w:t>
      </w:r>
      <w:r w:rsidR="00E66363" w:rsidRPr="00D25CE8">
        <w:rPr>
          <w:rFonts w:eastAsia="Arial"/>
          <w:color w:val="000000" w:themeColor="text1"/>
          <w:sz w:val="22"/>
          <w:szCs w:val="22"/>
        </w:rPr>
        <w:t xml:space="preserve">the victim by arresting the alleged perpetrator so that the initial threat of danger is removed. However, this sometimes exacerbates the situation as in less severe cases of domestic abuse where they are also the first instances of it, </w:t>
      </w:r>
      <w:r w:rsidR="001F7256" w:rsidRPr="00D25CE8">
        <w:rPr>
          <w:rFonts w:eastAsia="Arial"/>
          <w:color w:val="000000" w:themeColor="text1"/>
          <w:sz w:val="22"/>
          <w:szCs w:val="22"/>
        </w:rPr>
        <w:t xml:space="preserve">the instant criminalisation of a subject does not resolve the core issue of why the abuse is happening </w:t>
      </w:r>
      <w:r w:rsidR="001977F1" w:rsidRPr="00D25CE8">
        <w:rPr>
          <w:rFonts w:eastAsia="Arial"/>
          <w:color w:val="000000" w:themeColor="text1"/>
          <w:sz w:val="22"/>
          <w:szCs w:val="22"/>
        </w:rPr>
        <w:t xml:space="preserve">and can cause worse repercussions for the victim without adequate safeguarding. </w:t>
      </w:r>
    </w:p>
    <w:p w14:paraId="75DC2BB1" w14:textId="1A851ED6" w:rsidR="001977F1" w:rsidRPr="00D25CE8" w:rsidRDefault="001977F1" w:rsidP="00176685">
      <w:pPr>
        <w:ind w:right="237"/>
        <w:jc w:val="both"/>
        <w:rPr>
          <w:rFonts w:eastAsia="Arial"/>
          <w:color w:val="000000" w:themeColor="text1"/>
          <w:sz w:val="22"/>
          <w:szCs w:val="22"/>
        </w:rPr>
      </w:pPr>
    </w:p>
    <w:p w14:paraId="7FFCC331" w14:textId="6EF58870" w:rsidR="001977F1" w:rsidRPr="00D25CE8" w:rsidRDefault="001977F1" w:rsidP="00176685">
      <w:pPr>
        <w:ind w:right="237"/>
        <w:jc w:val="both"/>
        <w:rPr>
          <w:rFonts w:eastAsia="Arial"/>
          <w:color w:val="000000" w:themeColor="text1"/>
          <w:sz w:val="22"/>
          <w:szCs w:val="22"/>
        </w:rPr>
      </w:pPr>
      <w:r w:rsidRPr="00D25CE8">
        <w:rPr>
          <w:rFonts w:eastAsia="Arial"/>
          <w:color w:val="000000" w:themeColor="text1"/>
          <w:sz w:val="22"/>
          <w:szCs w:val="22"/>
        </w:rPr>
        <w:t xml:space="preserve">In this instance, this was the fifth report within six months </w:t>
      </w:r>
      <w:r w:rsidR="00E53C57" w:rsidRPr="00D25CE8">
        <w:rPr>
          <w:rFonts w:eastAsia="Arial"/>
          <w:color w:val="000000" w:themeColor="text1"/>
          <w:sz w:val="22"/>
          <w:szCs w:val="22"/>
        </w:rPr>
        <w:t>made by the victim whereby they had been subjected to an act of wounding with intent subject to a slit to their throat</w:t>
      </w:r>
      <w:r w:rsidR="00AF1861" w:rsidRPr="00D25CE8">
        <w:rPr>
          <w:rFonts w:eastAsia="Arial"/>
          <w:color w:val="000000" w:themeColor="text1"/>
          <w:sz w:val="22"/>
          <w:szCs w:val="22"/>
        </w:rPr>
        <w:t xml:space="preserve"> so the most appropriate action would be for police and partner agencies to act as one cohesive unit to protect the victim as well as ensuring that the perpetrator was brought to justice. </w:t>
      </w:r>
      <w:r w:rsidR="00F61582" w:rsidRPr="00D25CE8">
        <w:rPr>
          <w:rFonts w:eastAsia="Arial"/>
          <w:color w:val="000000" w:themeColor="text1"/>
          <w:sz w:val="22"/>
          <w:szCs w:val="22"/>
        </w:rPr>
        <w:t xml:space="preserve">The first step in supporting the vulnerable person on this occasion was to complete DASH questions which is a national risk assessment model utilised by South Wales Police that assists in characterising the level of risk that a victim is subject to in light of </w:t>
      </w:r>
      <w:r w:rsidR="00DA22A8" w:rsidRPr="00D25CE8">
        <w:rPr>
          <w:rFonts w:eastAsia="Arial"/>
          <w:color w:val="000000" w:themeColor="text1"/>
          <w:sz w:val="22"/>
          <w:szCs w:val="22"/>
        </w:rPr>
        <w:t>incidents that comprise of Domestic Abuse, Stalking and Harassment (Robinson et al., 2016). Depending on how the victim responds to the questions asked, they are then categorised accordingly as either standard, medium or high</w:t>
      </w:r>
      <w:r w:rsidR="0041283C" w:rsidRPr="00D25CE8">
        <w:rPr>
          <w:rFonts w:eastAsia="Arial"/>
          <w:color w:val="000000" w:themeColor="text1"/>
          <w:sz w:val="22"/>
          <w:szCs w:val="22"/>
        </w:rPr>
        <w:t>-</w:t>
      </w:r>
      <w:r w:rsidR="00956456" w:rsidRPr="00D25CE8">
        <w:rPr>
          <w:rFonts w:eastAsia="Arial"/>
          <w:color w:val="000000" w:themeColor="text1"/>
          <w:sz w:val="22"/>
          <w:szCs w:val="22"/>
        </w:rPr>
        <w:t xml:space="preserve">risk subjects. </w:t>
      </w:r>
    </w:p>
    <w:p w14:paraId="51F53DD7" w14:textId="485242E3" w:rsidR="00956456" w:rsidRPr="00D25CE8" w:rsidRDefault="00956456" w:rsidP="00176685">
      <w:pPr>
        <w:ind w:right="237"/>
        <w:jc w:val="both"/>
        <w:rPr>
          <w:rFonts w:eastAsia="Arial"/>
          <w:color w:val="000000" w:themeColor="text1"/>
          <w:sz w:val="22"/>
          <w:szCs w:val="22"/>
        </w:rPr>
      </w:pPr>
    </w:p>
    <w:p w14:paraId="16DCD9E1" w14:textId="0524C8EA" w:rsidR="00956456" w:rsidRPr="00D25CE8" w:rsidRDefault="00956456" w:rsidP="00176685">
      <w:pPr>
        <w:ind w:right="237"/>
        <w:jc w:val="both"/>
        <w:rPr>
          <w:rFonts w:eastAsia="Arial"/>
          <w:color w:val="000000" w:themeColor="text1"/>
          <w:sz w:val="22"/>
          <w:szCs w:val="22"/>
        </w:rPr>
      </w:pPr>
      <w:r w:rsidRPr="00D25CE8">
        <w:rPr>
          <w:rFonts w:eastAsia="Arial"/>
          <w:color w:val="000000" w:themeColor="text1"/>
          <w:sz w:val="22"/>
          <w:szCs w:val="22"/>
        </w:rPr>
        <w:t xml:space="preserve">The DASH model is incredibly valuable to frontline officers like myself as it is a means of gauging what level of support is required for vulnerable people that are dealt with on a daily basis. Results of the DASH questions are then reviewed by specialist officers and staff in the Public Protection Unit </w:t>
      </w:r>
      <w:r w:rsidR="0041283C" w:rsidRPr="00D25CE8">
        <w:rPr>
          <w:rFonts w:eastAsia="Arial"/>
          <w:color w:val="000000" w:themeColor="text1"/>
          <w:sz w:val="22"/>
          <w:szCs w:val="22"/>
        </w:rPr>
        <w:t>which is done via a referral called a Public Protection Notification. These officers and police staff can then implement adequate safeguarding measures that are proportionate to the victim’s needs. As the victim in this incident was measured to be high risk, there were additional measures and services that were available to them such as an IDVA.</w:t>
      </w:r>
      <w:r w:rsidR="009243DF" w:rsidRPr="00D25CE8">
        <w:rPr>
          <w:rFonts w:eastAsia="Arial"/>
          <w:color w:val="000000" w:themeColor="text1"/>
          <w:sz w:val="22"/>
          <w:szCs w:val="22"/>
        </w:rPr>
        <w:t xml:space="preserve"> An IDVA is an Independent Domestic Violence Adviser who are separate entities to the police that offer victims support and assistance. This support ranges from emotional and practical advice in dealing with the aftermath of being a victim of domestic abuse to </w:t>
      </w:r>
      <w:r w:rsidR="002A76EE" w:rsidRPr="00D25CE8">
        <w:rPr>
          <w:rFonts w:eastAsia="Arial"/>
          <w:color w:val="000000" w:themeColor="text1"/>
          <w:sz w:val="22"/>
          <w:szCs w:val="22"/>
        </w:rPr>
        <w:t>how to navigate through legal proceedings in the event that they have to go to court (</w:t>
      </w:r>
      <w:r w:rsidR="002A76EE" w:rsidRPr="00D25CE8">
        <w:rPr>
          <w:rFonts w:eastAsia="Arial"/>
          <w:color w:val="auto"/>
          <w:sz w:val="22"/>
          <w:szCs w:val="22"/>
        </w:rPr>
        <w:t>S</w:t>
      </w:r>
      <w:r w:rsidR="000B4D9B" w:rsidRPr="00D25CE8">
        <w:rPr>
          <w:rFonts w:eastAsia="Arial"/>
          <w:color w:val="auto"/>
          <w:sz w:val="22"/>
          <w:szCs w:val="22"/>
        </w:rPr>
        <w:t>afer Futures, 2022</w:t>
      </w:r>
      <w:r w:rsidR="002A76EE" w:rsidRPr="00D25CE8">
        <w:rPr>
          <w:rFonts w:eastAsia="Arial"/>
          <w:color w:val="000000" w:themeColor="text1"/>
          <w:sz w:val="22"/>
          <w:szCs w:val="22"/>
        </w:rPr>
        <w:t xml:space="preserve">). IDVAs are an integral part to the management of vulnerable people as they are a more familiar and less intimidating face for victims to be able to engage with. </w:t>
      </w:r>
      <w:r w:rsidR="0041283C" w:rsidRPr="00D25CE8">
        <w:rPr>
          <w:rFonts w:eastAsia="Arial"/>
          <w:color w:val="000000" w:themeColor="text1"/>
          <w:sz w:val="22"/>
          <w:szCs w:val="22"/>
        </w:rPr>
        <w:t xml:space="preserve"> </w:t>
      </w:r>
    </w:p>
    <w:p w14:paraId="6902FEC7" w14:textId="32F503D1" w:rsidR="002A76EE" w:rsidRPr="00D25CE8" w:rsidRDefault="002A76EE" w:rsidP="00176685">
      <w:pPr>
        <w:ind w:right="237"/>
        <w:jc w:val="both"/>
        <w:rPr>
          <w:rFonts w:eastAsia="Arial"/>
          <w:color w:val="000000" w:themeColor="text1"/>
          <w:sz w:val="22"/>
          <w:szCs w:val="22"/>
        </w:rPr>
      </w:pPr>
    </w:p>
    <w:p w14:paraId="70E150A4" w14:textId="5519A852" w:rsidR="00DC30D8" w:rsidRPr="00D25CE8" w:rsidRDefault="002A76EE" w:rsidP="00176685">
      <w:pPr>
        <w:ind w:right="237"/>
        <w:jc w:val="both"/>
        <w:rPr>
          <w:rFonts w:eastAsia="Arial"/>
          <w:color w:val="000000" w:themeColor="text1"/>
          <w:sz w:val="22"/>
          <w:szCs w:val="22"/>
        </w:rPr>
      </w:pPr>
      <w:r w:rsidRPr="00D25CE8">
        <w:rPr>
          <w:rFonts w:eastAsia="Arial"/>
          <w:color w:val="000000" w:themeColor="text1"/>
          <w:sz w:val="22"/>
          <w:szCs w:val="22"/>
        </w:rPr>
        <w:t xml:space="preserve">As a result, IDVAs also aid in tackling repeat victimisation as a sole IDVA is assigned to a victim and usually remains with them throughout the course of all domestic abuse incidents </w:t>
      </w:r>
      <w:r w:rsidR="005C38F3" w:rsidRPr="00D25CE8">
        <w:rPr>
          <w:rFonts w:eastAsia="Arial"/>
          <w:color w:val="000000" w:themeColor="text1"/>
          <w:sz w:val="22"/>
          <w:szCs w:val="22"/>
        </w:rPr>
        <w:t>that they</w:t>
      </w:r>
      <w:r w:rsidRPr="00D25CE8">
        <w:rPr>
          <w:rFonts w:eastAsia="Arial"/>
          <w:color w:val="000000" w:themeColor="text1"/>
          <w:sz w:val="22"/>
          <w:szCs w:val="22"/>
        </w:rPr>
        <w:t xml:space="preserve"> report to police. </w:t>
      </w:r>
      <w:r w:rsidR="00917A6D" w:rsidRPr="00D25CE8">
        <w:rPr>
          <w:rFonts w:eastAsia="Arial"/>
          <w:color w:val="000000" w:themeColor="text1"/>
          <w:sz w:val="22"/>
          <w:szCs w:val="22"/>
        </w:rPr>
        <w:t xml:space="preserve">As well as the utilisation of IDVAs, high-risk victims are also referred to Multi-Agency Risk Assessment Conferences. These conferences are paramount in tackling repeat victimisation and repeat offending as they are </w:t>
      </w:r>
      <w:r w:rsidR="005C38F3" w:rsidRPr="00D25CE8">
        <w:rPr>
          <w:rFonts w:eastAsia="Arial"/>
          <w:color w:val="000000" w:themeColor="text1"/>
          <w:sz w:val="22"/>
          <w:szCs w:val="22"/>
        </w:rPr>
        <w:t>an amalgamation of all supportive agencies such as police, local government and char</w:t>
      </w:r>
      <w:r w:rsidR="001C4562" w:rsidRPr="00D25CE8">
        <w:rPr>
          <w:rFonts w:eastAsia="Arial"/>
          <w:color w:val="000000" w:themeColor="text1"/>
          <w:sz w:val="22"/>
          <w:szCs w:val="22"/>
        </w:rPr>
        <w:t>ities</w:t>
      </w:r>
      <w:r w:rsidR="005C38F3" w:rsidRPr="00D25CE8">
        <w:rPr>
          <w:rFonts w:eastAsia="Arial"/>
          <w:color w:val="000000" w:themeColor="text1"/>
          <w:sz w:val="22"/>
          <w:szCs w:val="22"/>
        </w:rPr>
        <w:t xml:space="preserve"> that come together in a partnership to manage victims at risk of harm and how to best prevent </w:t>
      </w:r>
      <w:r w:rsidR="001C4562" w:rsidRPr="00D25CE8">
        <w:rPr>
          <w:rFonts w:eastAsia="Arial"/>
          <w:color w:val="000000" w:themeColor="text1"/>
          <w:sz w:val="22"/>
          <w:szCs w:val="22"/>
        </w:rPr>
        <w:t>repeat victimisation.</w:t>
      </w:r>
      <w:r w:rsidR="00DC30D8" w:rsidRPr="00D25CE8">
        <w:rPr>
          <w:rFonts w:eastAsia="Arial"/>
          <w:color w:val="000000" w:themeColor="text1"/>
          <w:sz w:val="22"/>
          <w:szCs w:val="22"/>
        </w:rPr>
        <w:t xml:space="preserve"> To ensure that the best course of action is also taken to reduce the likelihood of repeat victimisation and reoffending, we can also look to the use of evidence-based policing which is about using scientifically based research evidence to inform police practice and policy. To ensure a more holistic approach, it is important for police to not only consider </w:t>
      </w:r>
      <w:r w:rsidR="00E3089A" w:rsidRPr="00D25CE8">
        <w:rPr>
          <w:rFonts w:eastAsia="Arial"/>
          <w:color w:val="000000" w:themeColor="text1"/>
          <w:sz w:val="22"/>
          <w:szCs w:val="22"/>
        </w:rPr>
        <w:t xml:space="preserve">all previous incidents of domestic incidents as a whole but to also speak with individuals on a case-by-case basis so that the police response is tailored to the victim rather than them receiving a uniformed </w:t>
      </w:r>
      <w:r w:rsidR="00686010" w:rsidRPr="00D25CE8">
        <w:rPr>
          <w:rFonts w:eastAsia="Arial"/>
          <w:color w:val="000000" w:themeColor="text1"/>
          <w:sz w:val="22"/>
          <w:szCs w:val="22"/>
        </w:rPr>
        <w:t xml:space="preserve">solution that does not fit their needs. This relates back to the previously aforementioned point of reacting to a situation based on expected organisational procedure rather than considering an individual’s circumstances and what would be most appropriate for them. </w:t>
      </w:r>
    </w:p>
    <w:p w14:paraId="545B2B67" w14:textId="489CF18C" w:rsidR="00A606FA" w:rsidRPr="00D25CE8" w:rsidRDefault="00A606FA" w:rsidP="00176685">
      <w:pPr>
        <w:ind w:right="237"/>
        <w:jc w:val="both"/>
        <w:rPr>
          <w:rFonts w:eastAsia="Arial"/>
          <w:color w:val="000000" w:themeColor="text1"/>
          <w:sz w:val="22"/>
          <w:szCs w:val="22"/>
        </w:rPr>
      </w:pPr>
    </w:p>
    <w:p w14:paraId="47EB6D9D" w14:textId="46A1FA75" w:rsidR="00A606FA" w:rsidRPr="00D25CE8" w:rsidRDefault="00A606FA" w:rsidP="00176685">
      <w:pPr>
        <w:ind w:right="237"/>
        <w:jc w:val="both"/>
        <w:rPr>
          <w:rFonts w:eastAsia="Arial"/>
          <w:color w:val="000000" w:themeColor="text1"/>
          <w:sz w:val="22"/>
          <w:szCs w:val="22"/>
        </w:rPr>
      </w:pPr>
      <w:r w:rsidRPr="00D25CE8">
        <w:rPr>
          <w:rFonts w:eastAsia="Arial"/>
          <w:color w:val="000000" w:themeColor="text1"/>
          <w:sz w:val="22"/>
          <w:szCs w:val="22"/>
        </w:rPr>
        <w:lastRenderedPageBreak/>
        <w:t>To ensure that officers are challenged and made to think about the actions in which they take, the ATLAS model developed by the College of Policing is used as a guide and involves the following:</w:t>
      </w:r>
    </w:p>
    <w:p w14:paraId="4F123AF0" w14:textId="096BDA43" w:rsidR="00A606FA" w:rsidRPr="00D25CE8" w:rsidRDefault="00A606FA" w:rsidP="00176685">
      <w:pPr>
        <w:ind w:right="237"/>
        <w:jc w:val="both"/>
        <w:rPr>
          <w:rFonts w:eastAsia="Arial"/>
          <w:color w:val="000000" w:themeColor="text1"/>
          <w:sz w:val="22"/>
          <w:szCs w:val="22"/>
        </w:rPr>
      </w:pPr>
    </w:p>
    <w:p w14:paraId="09A10459" w14:textId="34F387FF" w:rsidR="00A606FA" w:rsidRPr="00D25CE8" w:rsidRDefault="00A606FA" w:rsidP="00A606FA">
      <w:pPr>
        <w:pStyle w:val="ListParagraph"/>
        <w:numPr>
          <w:ilvl w:val="0"/>
          <w:numId w:val="1"/>
        </w:numPr>
        <w:ind w:right="237"/>
        <w:jc w:val="both"/>
        <w:rPr>
          <w:rFonts w:eastAsia="Arial"/>
          <w:color w:val="000000" w:themeColor="text1"/>
          <w:sz w:val="22"/>
          <w:szCs w:val="22"/>
        </w:rPr>
      </w:pPr>
      <w:r w:rsidRPr="00D25CE8">
        <w:rPr>
          <w:rFonts w:eastAsia="Arial"/>
          <w:color w:val="000000" w:themeColor="text1"/>
          <w:sz w:val="22"/>
          <w:szCs w:val="22"/>
        </w:rPr>
        <w:t>Ask questions t</w:t>
      </w:r>
      <w:r w:rsidR="0075368A" w:rsidRPr="00D25CE8">
        <w:rPr>
          <w:rFonts w:eastAsia="Arial"/>
          <w:color w:val="000000" w:themeColor="text1"/>
          <w:sz w:val="22"/>
          <w:szCs w:val="22"/>
        </w:rPr>
        <w:t>hat challenge current practices.</w:t>
      </w:r>
    </w:p>
    <w:p w14:paraId="7DB513C1" w14:textId="403EF7B5" w:rsidR="0075368A" w:rsidRPr="00D25CE8" w:rsidRDefault="0075368A" w:rsidP="00A606FA">
      <w:pPr>
        <w:pStyle w:val="ListParagraph"/>
        <w:numPr>
          <w:ilvl w:val="0"/>
          <w:numId w:val="1"/>
        </w:numPr>
        <w:ind w:right="237"/>
        <w:jc w:val="both"/>
        <w:rPr>
          <w:rFonts w:eastAsia="Arial"/>
          <w:color w:val="000000" w:themeColor="text1"/>
          <w:sz w:val="22"/>
          <w:szCs w:val="22"/>
        </w:rPr>
      </w:pPr>
      <w:r w:rsidRPr="00D25CE8">
        <w:rPr>
          <w:rFonts w:eastAsia="Arial"/>
          <w:color w:val="000000" w:themeColor="text1"/>
          <w:sz w:val="22"/>
          <w:szCs w:val="22"/>
        </w:rPr>
        <w:t>Test and critically evaluate existing research and new ideas.</w:t>
      </w:r>
    </w:p>
    <w:p w14:paraId="4AB1B544" w14:textId="52DD7B89" w:rsidR="0075368A" w:rsidRPr="00D25CE8" w:rsidRDefault="0075368A" w:rsidP="00A606FA">
      <w:pPr>
        <w:pStyle w:val="ListParagraph"/>
        <w:numPr>
          <w:ilvl w:val="0"/>
          <w:numId w:val="1"/>
        </w:numPr>
        <w:ind w:right="237"/>
        <w:jc w:val="both"/>
        <w:rPr>
          <w:rFonts w:eastAsia="Arial"/>
          <w:color w:val="000000" w:themeColor="text1"/>
          <w:sz w:val="22"/>
          <w:szCs w:val="22"/>
        </w:rPr>
      </w:pPr>
      <w:r w:rsidRPr="00D25CE8">
        <w:rPr>
          <w:rFonts w:eastAsia="Arial"/>
          <w:color w:val="000000" w:themeColor="text1"/>
          <w:sz w:val="22"/>
          <w:szCs w:val="22"/>
        </w:rPr>
        <w:t>Learn from ex</w:t>
      </w:r>
      <w:r w:rsidR="006B026F" w:rsidRPr="00D25CE8">
        <w:rPr>
          <w:rFonts w:eastAsia="Arial"/>
          <w:color w:val="000000" w:themeColor="text1"/>
          <w:sz w:val="22"/>
          <w:szCs w:val="22"/>
        </w:rPr>
        <w:t>ist</w:t>
      </w:r>
      <w:r w:rsidRPr="00D25CE8">
        <w:rPr>
          <w:rFonts w:eastAsia="Arial"/>
          <w:color w:val="000000" w:themeColor="text1"/>
          <w:sz w:val="22"/>
          <w:szCs w:val="22"/>
        </w:rPr>
        <w:t xml:space="preserve">ing approaches and new ideas while considering how they work in workplace practices. </w:t>
      </w:r>
    </w:p>
    <w:p w14:paraId="4CE0D94D" w14:textId="4E0AEE73" w:rsidR="0075368A" w:rsidRPr="00D25CE8" w:rsidRDefault="0075368A" w:rsidP="00A606FA">
      <w:pPr>
        <w:pStyle w:val="ListParagraph"/>
        <w:numPr>
          <w:ilvl w:val="0"/>
          <w:numId w:val="1"/>
        </w:numPr>
        <w:ind w:right="237"/>
        <w:jc w:val="both"/>
        <w:rPr>
          <w:rFonts w:eastAsia="Arial"/>
          <w:color w:val="000000" w:themeColor="text1"/>
          <w:sz w:val="22"/>
          <w:szCs w:val="22"/>
        </w:rPr>
      </w:pPr>
      <w:r w:rsidRPr="00D25CE8">
        <w:rPr>
          <w:rFonts w:eastAsia="Arial"/>
          <w:color w:val="000000" w:themeColor="text1"/>
          <w:sz w:val="22"/>
          <w:szCs w:val="22"/>
        </w:rPr>
        <w:t>Adapt practices and policies using the best evidence available.</w:t>
      </w:r>
    </w:p>
    <w:p w14:paraId="146A94C3" w14:textId="44BC6202" w:rsidR="0075368A" w:rsidRPr="00D25CE8" w:rsidRDefault="0075368A" w:rsidP="00A606FA">
      <w:pPr>
        <w:pStyle w:val="ListParagraph"/>
        <w:numPr>
          <w:ilvl w:val="0"/>
          <w:numId w:val="1"/>
        </w:numPr>
        <w:ind w:right="237"/>
        <w:jc w:val="both"/>
        <w:rPr>
          <w:rFonts w:eastAsia="Arial"/>
          <w:color w:val="000000" w:themeColor="text1"/>
          <w:sz w:val="22"/>
          <w:szCs w:val="22"/>
        </w:rPr>
      </w:pPr>
      <w:r w:rsidRPr="00D25CE8">
        <w:rPr>
          <w:rFonts w:eastAsia="Arial"/>
          <w:color w:val="000000" w:themeColor="text1"/>
          <w:sz w:val="22"/>
          <w:szCs w:val="22"/>
        </w:rPr>
        <w:t xml:space="preserve">Share the outcomes across the service </w:t>
      </w:r>
    </w:p>
    <w:p w14:paraId="0A08D207" w14:textId="605B8A64" w:rsidR="0075368A" w:rsidRPr="00D25CE8" w:rsidRDefault="0075368A" w:rsidP="0075368A">
      <w:pPr>
        <w:ind w:right="237"/>
        <w:jc w:val="both"/>
        <w:rPr>
          <w:rFonts w:eastAsia="Arial"/>
          <w:color w:val="000000" w:themeColor="text1"/>
          <w:sz w:val="22"/>
          <w:szCs w:val="22"/>
        </w:rPr>
      </w:pPr>
    </w:p>
    <w:p w14:paraId="32D91B62" w14:textId="02E15087" w:rsidR="0075368A" w:rsidRPr="00D25CE8" w:rsidRDefault="0075368A" w:rsidP="0075368A">
      <w:pPr>
        <w:ind w:right="237"/>
        <w:jc w:val="both"/>
        <w:rPr>
          <w:rFonts w:eastAsia="Arial"/>
          <w:color w:val="000000" w:themeColor="text1"/>
          <w:sz w:val="22"/>
          <w:szCs w:val="22"/>
        </w:rPr>
      </w:pPr>
      <w:r w:rsidRPr="00D25CE8">
        <w:rPr>
          <w:rFonts w:eastAsia="Arial"/>
          <w:color w:val="000000" w:themeColor="text1"/>
          <w:sz w:val="22"/>
          <w:szCs w:val="22"/>
        </w:rPr>
        <w:t>(College of Policing, 2016).</w:t>
      </w:r>
    </w:p>
    <w:p w14:paraId="18DB038B" w14:textId="2523B453" w:rsidR="006B026F" w:rsidRPr="00D25CE8" w:rsidRDefault="006B026F" w:rsidP="0075368A">
      <w:pPr>
        <w:ind w:right="237"/>
        <w:jc w:val="both"/>
        <w:rPr>
          <w:rFonts w:eastAsia="Arial"/>
          <w:color w:val="000000" w:themeColor="text1"/>
          <w:sz w:val="22"/>
          <w:szCs w:val="22"/>
        </w:rPr>
      </w:pPr>
    </w:p>
    <w:p w14:paraId="65C99548" w14:textId="5AA7CB38" w:rsidR="006B026F" w:rsidRPr="00D25CE8" w:rsidRDefault="006B026F" w:rsidP="0075368A">
      <w:pPr>
        <w:ind w:right="237"/>
        <w:jc w:val="both"/>
        <w:rPr>
          <w:rFonts w:eastAsia="Arial"/>
          <w:color w:val="000000" w:themeColor="text1"/>
          <w:sz w:val="22"/>
          <w:szCs w:val="22"/>
        </w:rPr>
      </w:pPr>
      <w:r w:rsidRPr="00D25CE8">
        <w:rPr>
          <w:rFonts w:eastAsia="Arial"/>
          <w:color w:val="000000" w:themeColor="text1"/>
          <w:sz w:val="22"/>
          <w:szCs w:val="22"/>
        </w:rPr>
        <w:t xml:space="preserve">Taking into consideration the above model, I was able to deal with the victim in a manner that catered to the matter at hand both at the time of my arrival as well as afterwards when I was reflecting on the incident. I initially asked questions of myself such as if I should stay with the victim </w:t>
      </w:r>
      <w:r w:rsidR="00B206E9" w:rsidRPr="00D25CE8">
        <w:rPr>
          <w:rFonts w:eastAsia="Arial"/>
          <w:color w:val="000000" w:themeColor="text1"/>
          <w:sz w:val="22"/>
          <w:szCs w:val="22"/>
        </w:rPr>
        <w:t xml:space="preserve">or if I should attend the perpetrator’s address to arrest them as a matter of priority. From having put previous experiences of my own to the test </w:t>
      </w:r>
      <w:r w:rsidR="00753572" w:rsidRPr="00D25CE8">
        <w:rPr>
          <w:rFonts w:eastAsia="Arial"/>
          <w:color w:val="000000" w:themeColor="text1"/>
          <w:sz w:val="22"/>
          <w:szCs w:val="22"/>
        </w:rPr>
        <w:t xml:space="preserve">and </w:t>
      </w:r>
      <w:r w:rsidR="00B206E9" w:rsidRPr="00D25CE8">
        <w:rPr>
          <w:rFonts w:eastAsia="Arial"/>
          <w:color w:val="000000" w:themeColor="text1"/>
          <w:sz w:val="22"/>
          <w:szCs w:val="22"/>
        </w:rPr>
        <w:t>having learned that the arrest of the perpetrator is an eventuality</w:t>
      </w:r>
      <w:r w:rsidR="00753572" w:rsidRPr="00D25CE8">
        <w:rPr>
          <w:rFonts w:eastAsia="Arial"/>
          <w:color w:val="000000" w:themeColor="text1"/>
          <w:sz w:val="22"/>
          <w:szCs w:val="22"/>
        </w:rPr>
        <w:t xml:space="preserve">, I knew that victim care and staying with them to implement safeguarding measures was the most important action to take.  </w:t>
      </w:r>
    </w:p>
    <w:p w14:paraId="2E3C4CCA" w14:textId="77777777" w:rsidR="009C4187" w:rsidRPr="00D25CE8" w:rsidRDefault="009C4187" w:rsidP="00176685">
      <w:pPr>
        <w:ind w:right="237"/>
        <w:jc w:val="both"/>
        <w:rPr>
          <w:rFonts w:eastAsia="Arial"/>
          <w:color w:val="000000" w:themeColor="text1"/>
          <w:sz w:val="22"/>
          <w:szCs w:val="22"/>
        </w:rPr>
      </w:pPr>
    </w:p>
    <w:p w14:paraId="1C4C91B4" w14:textId="4EC0DFA9" w:rsidR="000E7491" w:rsidRPr="00D25CE8" w:rsidRDefault="00A00C9F" w:rsidP="00176685">
      <w:pPr>
        <w:ind w:right="237"/>
        <w:jc w:val="both"/>
        <w:rPr>
          <w:rFonts w:eastAsia="Arial"/>
          <w:color w:val="000000" w:themeColor="text1"/>
          <w:sz w:val="22"/>
          <w:szCs w:val="22"/>
        </w:rPr>
      </w:pPr>
      <w:r w:rsidRPr="00D25CE8">
        <w:rPr>
          <w:rFonts w:eastAsia="Arial"/>
          <w:color w:val="000000" w:themeColor="text1"/>
          <w:sz w:val="22"/>
          <w:szCs w:val="22"/>
        </w:rPr>
        <w:t xml:space="preserve">Before I left the address, I informed the victim of the Live Fear Free charity that </w:t>
      </w:r>
      <w:r w:rsidR="006C5445" w:rsidRPr="00D25CE8">
        <w:rPr>
          <w:rFonts w:eastAsia="Arial"/>
          <w:color w:val="000000" w:themeColor="text1"/>
          <w:sz w:val="22"/>
          <w:szCs w:val="22"/>
        </w:rPr>
        <w:t xml:space="preserve">is a government funded charity that aims to support those who have suffered domestic abuse by offering various different points of contact that can be sought </w:t>
      </w:r>
      <w:r w:rsidR="00DB6D19" w:rsidRPr="00D25CE8">
        <w:rPr>
          <w:rFonts w:eastAsia="Arial"/>
          <w:color w:val="000000" w:themeColor="text1"/>
          <w:sz w:val="22"/>
          <w:szCs w:val="22"/>
        </w:rPr>
        <w:t>twenty-four</w:t>
      </w:r>
      <w:r w:rsidR="006C5445" w:rsidRPr="00D25CE8">
        <w:rPr>
          <w:rFonts w:eastAsia="Arial"/>
          <w:color w:val="000000" w:themeColor="text1"/>
          <w:sz w:val="22"/>
          <w:szCs w:val="22"/>
        </w:rPr>
        <w:t xml:space="preserve"> hours, seven days a week. </w:t>
      </w:r>
    </w:p>
    <w:p w14:paraId="0D28E175" w14:textId="745DEBCA" w:rsidR="00B206E9" w:rsidRPr="00D25CE8" w:rsidRDefault="00B206E9" w:rsidP="00176685">
      <w:pPr>
        <w:ind w:right="237"/>
        <w:jc w:val="both"/>
        <w:rPr>
          <w:rFonts w:eastAsia="Arial"/>
          <w:color w:val="000000" w:themeColor="text1"/>
          <w:sz w:val="22"/>
          <w:szCs w:val="22"/>
        </w:rPr>
      </w:pPr>
    </w:p>
    <w:p w14:paraId="522B9D9E" w14:textId="6E05AFBC" w:rsidR="00B206E9" w:rsidRPr="00D25CE8" w:rsidRDefault="00B206E9" w:rsidP="00176685">
      <w:pPr>
        <w:ind w:right="237"/>
        <w:jc w:val="both"/>
        <w:rPr>
          <w:rFonts w:eastAsia="Arial"/>
          <w:color w:val="000000" w:themeColor="text1"/>
          <w:sz w:val="22"/>
          <w:szCs w:val="22"/>
        </w:rPr>
      </w:pPr>
      <w:r w:rsidRPr="00D25CE8">
        <w:rPr>
          <w:rFonts w:eastAsia="Arial"/>
          <w:color w:val="000000" w:themeColor="text1"/>
          <w:sz w:val="22"/>
          <w:szCs w:val="22"/>
        </w:rPr>
        <w:t xml:space="preserve">Beyond the usual means of preventing repeat offending against domestic abusers in the long term such as court sentences, police can also seek to impose short term solutions </w:t>
      </w:r>
      <w:r w:rsidR="00753572" w:rsidRPr="00D25CE8">
        <w:rPr>
          <w:rFonts w:eastAsia="Arial"/>
          <w:color w:val="000000" w:themeColor="text1"/>
          <w:sz w:val="22"/>
          <w:szCs w:val="22"/>
        </w:rPr>
        <w:t>that are akin to bail conditions in the form of a Domestic Violence Protection Order (DVPO)</w:t>
      </w:r>
      <w:r w:rsidR="00CD34CB" w:rsidRPr="00D25CE8">
        <w:rPr>
          <w:rFonts w:eastAsia="Arial"/>
          <w:color w:val="000000" w:themeColor="text1"/>
          <w:sz w:val="22"/>
          <w:szCs w:val="22"/>
        </w:rPr>
        <w:t>, however in contrast to bail conditions, an arrest is not necessary</w:t>
      </w:r>
      <w:r w:rsidR="00753572" w:rsidRPr="00D25CE8">
        <w:rPr>
          <w:rFonts w:eastAsia="Arial"/>
          <w:color w:val="000000" w:themeColor="text1"/>
          <w:sz w:val="22"/>
          <w:szCs w:val="22"/>
        </w:rPr>
        <w:t xml:space="preserve">. A DVPO is an order that can be authorised by </w:t>
      </w:r>
      <w:r w:rsidR="001B538A" w:rsidRPr="00D25CE8">
        <w:rPr>
          <w:rFonts w:eastAsia="Arial"/>
          <w:color w:val="000000" w:themeColor="text1"/>
          <w:sz w:val="22"/>
          <w:szCs w:val="22"/>
        </w:rPr>
        <w:t xml:space="preserve">an officer who is ranked as Superintendent or higher and can prohibit an alleged perpetrator </w:t>
      </w:r>
      <w:r w:rsidR="00CD34CB" w:rsidRPr="00D25CE8">
        <w:rPr>
          <w:rFonts w:eastAsia="Arial"/>
          <w:color w:val="000000" w:themeColor="text1"/>
          <w:sz w:val="22"/>
          <w:szCs w:val="22"/>
        </w:rPr>
        <w:t>from attending a victim’s home or being able to make contact with them.</w:t>
      </w:r>
    </w:p>
    <w:p w14:paraId="3B68242A" w14:textId="254024B8" w:rsidR="00F90D0F" w:rsidRPr="00D25CE8" w:rsidRDefault="00F90D0F" w:rsidP="00176685">
      <w:pPr>
        <w:ind w:right="237"/>
        <w:jc w:val="both"/>
        <w:rPr>
          <w:rFonts w:eastAsia="Arial"/>
          <w:color w:val="000000" w:themeColor="text1"/>
          <w:sz w:val="22"/>
          <w:szCs w:val="22"/>
        </w:rPr>
      </w:pPr>
    </w:p>
    <w:p w14:paraId="5A1E6635" w14:textId="17478DF6" w:rsidR="00E53C57" w:rsidRPr="00D25CE8" w:rsidRDefault="00E53C57" w:rsidP="00176685">
      <w:pPr>
        <w:ind w:right="237"/>
        <w:jc w:val="both"/>
        <w:rPr>
          <w:rFonts w:eastAsia="Arial"/>
          <w:color w:val="000000" w:themeColor="text1"/>
          <w:sz w:val="22"/>
          <w:szCs w:val="22"/>
        </w:rPr>
      </w:pPr>
      <w:r w:rsidRPr="00D25CE8">
        <w:rPr>
          <w:rFonts w:eastAsia="Arial"/>
          <w:color w:val="000000" w:themeColor="text1"/>
          <w:sz w:val="22"/>
          <w:szCs w:val="22"/>
        </w:rPr>
        <w:t xml:space="preserve">Now that the matter has been dealt with, the victim has returned to be with their abuser. Upon reflection, the only further steps that I believe I could have taken would be to issue </w:t>
      </w:r>
      <w:r w:rsidR="003D65CA" w:rsidRPr="00D25CE8">
        <w:rPr>
          <w:rFonts w:eastAsia="Arial"/>
          <w:color w:val="000000" w:themeColor="text1"/>
          <w:sz w:val="22"/>
          <w:szCs w:val="22"/>
        </w:rPr>
        <w:t>the victim with an Osman warning. An Osman warning is the colloquial name for a threat to life warning that is issued by police to those who are believed to be at serious risk of death or murder (</w:t>
      </w:r>
      <w:r w:rsidR="003D65CA" w:rsidRPr="00D25CE8">
        <w:rPr>
          <w:rFonts w:eastAsia="Arial"/>
          <w:color w:val="auto"/>
          <w:sz w:val="22"/>
          <w:szCs w:val="22"/>
        </w:rPr>
        <w:t>Pace</w:t>
      </w:r>
      <w:r w:rsidR="000B4D9B" w:rsidRPr="00D25CE8">
        <w:rPr>
          <w:rFonts w:eastAsia="Arial"/>
          <w:color w:val="auto"/>
          <w:sz w:val="22"/>
          <w:szCs w:val="22"/>
        </w:rPr>
        <w:t>,</w:t>
      </w:r>
      <w:r w:rsidR="003D65CA" w:rsidRPr="00D25CE8">
        <w:rPr>
          <w:rFonts w:eastAsia="Arial"/>
          <w:color w:val="auto"/>
          <w:sz w:val="22"/>
          <w:szCs w:val="22"/>
        </w:rPr>
        <w:t xml:space="preserve"> 2022</w:t>
      </w:r>
      <w:r w:rsidR="003D65CA" w:rsidRPr="00D25CE8">
        <w:rPr>
          <w:rFonts w:eastAsia="Arial"/>
          <w:color w:val="000000" w:themeColor="text1"/>
          <w:sz w:val="22"/>
          <w:szCs w:val="22"/>
        </w:rPr>
        <w:t xml:space="preserve">). Despite my best efforts to informally warn the victim </w:t>
      </w:r>
      <w:r w:rsidR="00616D93" w:rsidRPr="00D25CE8">
        <w:rPr>
          <w:rFonts w:eastAsia="Arial"/>
          <w:color w:val="000000" w:themeColor="text1"/>
          <w:sz w:val="22"/>
          <w:szCs w:val="22"/>
        </w:rPr>
        <w:t xml:space="preserve">of the legitimate threat to their life when I spoke to them at their property, I believe that the issuing of a formal warning may have reinforced the notion that if they did not engage with the services available to them and support police in pursuing a complaint that there would be a high probability that they would eventually succumb to a fatal incident. </w:t>
      </w:r>
    </w:p>
    <w:p w14:paraId="55455B61" w14:textId="77777777" w:rsidR="00E53C57" w:rsidRPr="00D25CE8" w:rsidRDefault="00E53C57" w:rsidP="00176685">
      <w:pPr>
        <w:ind w:right="237"/>
        <w:jc w:val="both"/>
        <w:rPr>
          <w:rFonts w:eastAsia="Arial"/>
          <w:color w:val="000000" w:themeColor="text1"/>
          <w:sz w:val="22"/>
          <w:szCs w:val="22"/>
        </w:rPr>
      </w:pPr>
    </w:p>
    <w:p w14:paraId="5BD30CB5" w14:textId="3FCDC749" w:rsidR="00616065" w:rsidRPr="00D25CE8" w:rsidRDefault="00CD34CB">
      <w:pPr>
        <w:rPr>
          <w:b/>
          <w:bCs/>
          <w:sz w:val="22"/>
          <w:szCs w:val="22"/>
        </w:rPr>
      </w:pPr>
      <w:r w:rsidRPr="00D25CE8">
        <w:rPr>
          <w:b/>
          <w:bCs/>
          <w:sz w:val="22"/>
          <w:szCs w:val="22"/>
        </w:rPr>
        <w:t>WORDS: 182</w:t>
      </w:r>
      <w:r w:rsidR="00DB6D19">
        <w:rPr>
          <w:b/>
          <w:bCs/>
          <w:sz w:val="22"/>
          <w:szCs w:val="22"/>
        </w:rPr>
        <w:t>8</w:t>
      </w:r>
    </w:p>
    <w:p w14:paraId="7386C318" w14:textId="13F7649C" w:rsidR="00170590" w:rsidRPr="00D25CE8" w:rsidRDefault="00170590">
      <w:pPr>
        <w:rPr>
          <w:sz w:val="22"/>
          <w:szCs w:val="22"/>
        </w:rPr>
      </w:pPr>
    </w:p>
    <w:p w14:paraId="103CC9B7" w14:textId="0939B136" w:rsidR="00866134" w:rsidRPr="00D25CE8" w:rsidRDefault="00866134">
      <w:pPr>
        <w:rPr>
          <w:sz w:val="22"/>
          <w:szCs w:val="22"/>
        </w:rPr>
      </w:pPr>
    </w:p>
    <w:p w14:paraId="05501D91" w14:textId="6D8AF8F3" w:rsidR="004A5C0E" w:rsidRPr="00D25CE8" w:rsidRDefault="004A5C0E">
      <w:pPr>
        <w:rPr>
          <w:sz w:val="22"/>
          <w:szCs w:val="22"/>
        </w:rPr>
      </w:pPr>
    </w:p>
    <w:p w14:paraId="19A02AD8" w14:textId="77777777" w:rsidR="00D25CE8" w:rsidRPr="00D25CE8" w:rsidRDefault="00D25CE8">
      <w:pPr>
        <w:rPr>
          <w:b/>
          <w:bCs/>
          <w:sz w:val="22"/>
          <w:szCs w:val="22"/>
        </w:rPr>
      </w:pPr>
    </w:p>
    <w:p w14:paraId="62E9CDC5" w14:textId="77777777" w:rsidR="00D25CE8" w:rsidRPr="00D25CE8" w:rsidRDefault="00D25CE8">
      <w:pPr>
        <w:rPr>
          <w:b/>
          <w:bCs/>
          <w:sz w:val="22"/>
          <w:szCs w:val="22"/>
        </w:rPr>
      </w:pPr>
    </w:p>
    <w:p w14:paraId="7D1B58BA" w14:textId="77777777" w:rsidR="00D25CE8" w:rsidRPr="00D25CE8" w:rsidRDefault="00D25CE8">
      <w:pPr>
        <w:rPr>
          <w:b/>
          <w:bCs/>
          <w:sz w:val="22"/>
          <w:szCs w:val="22"/>
        </w:rPr>
      </w:pPr>
    </w:p>
    <w:p w14:paraId="191E0041" w14:textId="77777777" w:rsidR="00D25CE8" w:rsidRPr="00D25CE8" w:rsidRDefault="00D25CE8">
      <w:pPr>
        <w:rPr>
          <w:b/>
          <w:bCs/>
          <w:sz w:val="22"/>
          <w:szCs w:val="22"/>
        </w:rPr>
      </w:pPr>
    </w:p>
    <w:p w14:paraId="25C7AE50" w14:textId="77777777" w:rsidR="00D25CE8" w:rsidRPr="00D25CE8" w:rsidRDefault="00D25CE8">
      <w:pPr>
        <w:rPr>
          <w:b/>
          <w:bCs/>
          <w:sz w:val="22"/>
          <w:szCs w:val="22"/>
        </w:rPr>
      </w:pPr>
    </w:p>
    <w:p w14:paraId="08ACFD50" w14:textId="77777777" w:rsidR="00D25CE8" w:rsidRPr="00D25CE8" w:rsidRDefault="00D25CE8">
      <w:pPr>
        <w:rPr>
          <w:b/>
          <w:bCs/>
          <w:sz w:val="22"/>
          <w:szCs w:val="22"/>
        </w:rPr>
      </w:pPr>
    </w:p>
    <w:p w14:paraId="371F748B" w14:textId="77777777" w:rsidR="00EE1CF3" w:rsidRDefault="00EE1CF3">
      <w:pPr>
        <w:rPr>
          <w:b/>
          <w:bCs/>
          <w:sz w:val="22"/>
          <w:szCs w:val="22"/>
        </w:rPr>
      </w:pPr>
    </w:p>
    <w:p w14:paraId="077D61BD" w14:textId="45CF2732" w:rsidR="004A5C0E" w:rsidRPr="00D25CE8" w:rsidRDefault="004A5C0E">
      <w:pPr>
        <w:rPr>
          <w:b/>
          <w:bCs/>
          <w:sz w:val="22"/>
          <w:szCs w:val="22"/>
        </w:rPr>
      </w:pPr>
      <w:r w:rsidRPr="00D25CE8">
        <w:rPr>
          <w:b/>
          <w:bCs/>
          <w:sz w:val="22"/>
          <w:szCs w:val="22"/>
        </w:rPr>
        <w:lastRenderedPageBreak/>
        <w:t>Task 2 Option 3 – Road Policing</w:t>
      </w:r>
    </w:p>
    <w:p w14:paraId="47A93FD6" w14:textId="4302BF5F" w:rsidR="004A5C0E" w:rsidRPr="00D25CE8" w:rsidRDefault="004A5C0E">
      <w:pPr>
        <w:rPr>
          <w:b/>
          <w:bCs/>
          <w:sz w:val="22"/>
          <w:szCs w:val="22"/>
        </w:rPr>
      </w:pPr>
    </w:p>
    <w:p w14:paraId="1DE1C90F" w14:textId="55B69F81" w:rsidR="004A5C0E" w:rsidRPr="00D25CE8" w:rsidRDefault="004A5C0E" w:rsidP="004A5C0E">
      <w:pPr>
        <w:rPr>
          <w:sz w:val="22"/>
          <w:szCs w:val="22"/>
        </w:rPr>
      </w:pPr>
      <w:r w:rsidRPr="00D25CE8">
        <w:rPr>
          <w:sz w:val="22"/>
          <w:szCs w:val="22"/>
        </w:rPr>
        <w:t>A</w:t>
      </w:r>
      <w:r w:rsidRPr="00D25CE8">
        <w:rPr>
          <w:sz w:val="22"/>
          <w:szCs w:val="22"/>
        </w:rPr>
        <w:t>pproximately 27,300 people were killed or seriously injured due to road traffic collisions in 2021 (Gov.UK, 2022). Many incidents involving what are mostly avoidable deaths have a greater impact on the community and are widely regarded as critical incidents. A critical incident is defined as ‘any incident where the effectiveness of the police response is likely to have a significant impact on the confidence of the victim, their family and/or the community’ (College of Policing, 2013). Therefore, it is of paramount importance that steps are taken by the police to prevent unnecessary deaths in our communities.</w:t>
      </w:r>
    </w:p>
    <w:p w14:paraId="79EB1358" w14:textId="77777777" w:rsidR="004A5C0E" w:rsidRPr="00D25CE8" w:rsidRDefault="004A5C0E" w:rsidP="004A5C0E">
      <w:pPr>
        <w:rPr>
          <w:sz w:val="22"/>
          <w:szCs w:val="22"/>
        </w:rPr>
      </w:pPr>
    </w:p>
    <w:p w14:paraId="4A522170" w14:textId="77777777" w:rsidR="004A5C0E" w:rsidRPr="00D25CE8" w:rsidRDefault="004A5C0E" w:rsidP="004A5C0E">
      <w:pPr>
        <w:rPr>
          <w:sz w:val="22"/>
          <w:szCs w:val="22"/>
        </w:rPr>
      </w:pPr>
      <w:r w:rsidRPr="00D25CE8">
        <w:rPr>
          <w:sz w:val="22"/>
          <w:szCs w:val="22"/>
        </w:rPr>
        <w:t xml:space="preserve">At the very start of my tour of duty in the Summer, a request was made for officers to attend a location that was within walking distance of my working station. The initial call details stated that a car had careered into a stationary parked vehicle on the side of the road which had then hit another vehicle. Upon attendance at the scene, there was significant damage caused to all vehicles and an island in the middle of the road which had a sign but fortunately all </w:t>
      </w:r>
      <w:proofErr w:type="gramStart"/>
      <w:r w:rsidRPr="00D25CE8">
        <w:rPr>
          <w:sz w:val="22"/>
          <w:szCs w:val="22"/>
        </w:rPr>
        <w:t>persons</w:t>
      </w:r>
      <w:proofErr w:type="gramEnd"/>
      <w:r w:rsidRPr="00D25CE8">
        <w:rPr>
          <w:sz w:val="22"/>
          <w:szCs w:val="22"/>
        </w:rPr>
        <w:t xml:space="preserve"> present were unharmed. However, the driver of the vehicle and the reported passenger that was seen with them were nowhere to be seen. As a result, I instinctively thought of the golden hour principles and set forth with the investigation. </w:t>
      </w:r>
    </w:p>
    <w:p w14:paraId="4BD992F0" w14:textId="77777777" w:rsidR="004A5C0E" w:rsidRPr="00D25CE8" w:rsidRDefault="004A5C0E" w:rsidP="004A5C0E">
      <w:pPr>
        <w:rPr>
          <w:sz w:val="22"/>
          <w:szCs w:val="22"/>
        </w:rPr>
      </w:pPr>
    </w:p>
    <w:p w14:paraId="74E6E570" w14:textId="77777777" w:rsidR="004A5C0E" w:rsidRPr="00D25CE8" w:rsidRDefault="004A5C0E" w:rsidP="004A5C0E">
      <w:pPr>
        <w:rPr>
          <w:sz w:val="22"/>
          <w:szCs w:val="22"/>
        </w:rPr>
      </w:pPr>
      <w:r w:rsidRPr="00D25CE8">
        <w:rPr>
          <w:sz w:val="22"/>
          <w:szCs w:val="22"/>
        </w:rPr>
        <w:t xml:space="preserve">The golden hour is the timespan immediately following an incident occurring in which the gathering of information holds the greatest significance to assure that no evidence is lost due to external factors such as the presence and memories of witnesses, weather affecting external forensics and so forth. My first concern was the absence of the driver and the passenger so I did a Police National Computer search of the vehicle’s registration to see who the registered owner was. This returned a male who lived in the immediate area and the picture attached to their police record also corroborated that of the accounts of witnesses at the scene. Police records of the male also showed that they had previously been guilty of drug driving offences. In regards to evidence based </w:t>
      </w:r>
      <w:proofErr w:type="gramStart"/>
      <w:r w:rsidRPr="00D25CE8">
        <w:rPr>
          <w:sz w:val="22"/>
          <w:szCs w:val="22"/>
        </w:rPr>
        <w:t>policing,</w:t>
      </w:r>
      <w:proofErr w:type="gramEnd"/>
      <w:r w:rsidRPr="00D25CE8">
        <w:rPr>
          <w:sz w:val="22"/>
          <w:szCs w:val="22"/>
        </w:rPr>
        <w:t xml:space="preserve"> intelligence is a valuable asset in assisting to make informed decisions on how to best act based on previous incidents. As aforementioned, we cannot form bias on those who have previously offended but it does give an indication of the subject that we are dealing with and how best to deal with them and the situation at hand based on previous dealings. </w:t>
      </w:r>
    </w:p>
    <w:p w14:paraId="58FCFB3D" w14:textId="77777777" w:rsidR="004A5C0E" w:rsidRPr="00D25CE8" w:rsidRDefault="004A5C0E" w:rsidP="004A5C0E">
      <w:pPr>
        <w:rPr>
          <w:sz w:val="22"/>
          <w:szCs w:val="22"/>
        </w:rPr>
      </w:pPr>
    </w:p>
    <w:p w14:paraId="7C3F2F3E" w14:textId="77777777" w:rsidR="004A5C0E" w:rsidRPr="00D25CE8" w:rsidRDefault="004A5C0E" w:rsidP="004A5C0E">
      <w:pPr>
        <w:rPr>
          <w:sz w:val="22"/>
          <w:szCs w:val="22"/>
        </w:rPr>
      </w:pPr>
      <w:r w:rsidRPr="00D25CE8">
        <w:rPr>
          <w:sz w:val="22"/>
          <w:szCs w:val="22"/>
        </w:rPr>
        <w:t xml:space="preserve">Due to this knowledge of previous traffic offences, suspicions started to form on the cause of the road traffic collision especially due to the fact that the driver had made off from the scene on foot. A study by the Parliamentary Advisory Council for Transport Safety found that in a 9-year span starting in 2010, that of all drug driving offences committed that roughly a quarter of them were re-offenders (Substance Misuse Resources, 2022). This is a concerning statistic which shows that drug driving is a prominent cause of avoidable collisions. Numbers showed that there </w:t>
      </w:r>
      <w:proofErr w:type="gramStart"/>
      <w:r w:rsidRPr="00D25CE8">
        <w:rPr>
          <w:sz w:val="22"/>
          <w:szCs w:val="22"/>
        </w:rPr>
        <w:t>were</w:t>
      </w:r>
      <w:proofErr w:type="gramEnd"/>
      <w:r w:rsidRPr="00D25CE8">
        <w:rPr>
          <w:sz w:val="22"/>
          <w:szCs w:val="22"/>
        </w:rPr>
        <w:t xml:space="preserve"> over double the amount of drug driving incidents in a three-year span dating from reports in 2021 compared to 2018 (Crimestoppers, 2022). </w:t>
      </w:r>
    </w:p>
    <w:p w14:paraId="1F0466CB" w14:textId="77777777" w:rsidR="004A5C0E" w:rsidRPr="00D25CE8" w:rsidRDefault="004A5C0E" w:rsidP="004A5C0E">
      <w:pPr>
        <w:rPr>
          <w:sz w:val="22"/>
          <w:szCs w:val="22"/>
        </w:rPr>
      </w:pPr>
    </w:p>
    <w:p w14:paraId="06E84A99" w14:textId="77777777" w:rsidR="004A5C0E" w:rsidRPr="00D25CE8" w:rsidRDefault="004A5C0E" w:rsidP="004A5C0E">
      <w:pPr>
        <w:rPr>
          <w:sz w:val="22"/>
          <w:szCs w:val="22"/>
        </w:rPr>
      </w:pPr>
      <w:r w:rsidRPr="00D25CE8">
        <w:rPr>
          <w:sz w:val="22"/>
          <w:szCs w:val="22"/>
        </w:rPr>
        <w:t>Legislators have made improvements to combat the reoccurrence of drug driving by implementing Section 5A of the Road Traffic Act 1988 which was introduced in March 2015 (CPS, 2019). Section 5A refers to driving or being in control of a motor vehicle whilst having a controlled drug over the specified limit. The introduction of this law sought to make drug driving the same severity of offence as drink driving following the advice of scientific review in 2012 after challenges were had in previous years trying to prove the presence of drugs in an impaired driver (Gov.UK, 2013). Establishing new precedents such as taking a zero-tolerance approach to the most frequently used illicit drugs such as cannabis and cocaine aimed to lower the cost, manpower and hours lost to failed prosecutions. More recent changes have also been implemented by the government to deter those driving under the influence of alcohol or drugs; prior to 28</w:t>
      </w:r>
      <w:r w:rsidRPr="00D25CE8">
        <w:rPr>
          <w:sz w:val="22"/>
          <w:szCs w:val="22"/>
          <w:vertAlign w:val="superscript"/>
        </w:rPr>
        <w:t>th</w:t>
      </w:r>
      <w:r w:rsidRPr="00D25CE8">
        <w:rPr>
          <w:sz w:val="22"/>
          <w:szCs w:val="22"/>
        </w:rPr>
        <w:t xml:space="preserve"> June 2022, those convicted of causing death whilst driving dangerously with the presence of intoxicants in their body could face a maximum </w:t>
      </w:r>
      <w:r w:rsidRPr="00D25CE8">
        <w:rPr>
          <w:sz w:val="22"/>
          <w:szCs w:val="22"/>
        </w:rPr>
        <w:lastRenderedPageBreak/>
        <w:t>sentence of 14 years in prison whereas those committing the same offence after the aforementioned date can now serve a life sentence if found guilty (Police.UK, 2022).</w:t>
      </w:r>
    </w:p>
    <w:p w14:paraId="188282B0" w14:textId="77777777" w:rsidR="004A5C0E" w:rsidRPr="00D25CE8" w:rsidRDefault="004A5C0E" w:rsidP="004A5C0E">
      <w:pPr>
        <w:rPr>
          <w:sz w:val="22"/>
          <w:szCs w:val="22"/>
        </w:rPr>
      </w:pPr>
    </w:p>
    <w:p w14:paraId="61DC48C4" w14:textId="77777777" w:rsidR="004A5C0E" w:rsidRPr="00D25CE8" w:rsidRDefault="004A5C0E" w:rsidP="004A5C0E">
      <w:pPr>
        <w:rPr>
          <w:sz w:val="22"/>
          <w:szCs w:val="22"/>
        </w:rPr>
      </w:pPr>
      <w:r w:rsidRPr="00D25CE8">
        <w:rPr>
          <w:sz w:val="22"/>
          <w:szCs w:val="22"/>
        </w:rPr>
        <w:t xml:space="preserve">Increasing the punishment of offences by elongating sentences would appear a simple solution to aid in reducing recidivism, but there is little to no evidence to support that it has any desired deterrence. The reason behind this is that the vast majority of the public are unaware of what exactly constitutes a certain offence such as ‘driving without due care and attention’. This offence would appear arbitrary to a member of the public as on most occasions it is the opinion of the reporting officer to determine what falls within this remit. David Brown, a professor of law at the University of New South Wales stated that ‘the only minor deterrent effect is the likelihood of apprehension’ (UNSW, 2020). South Wales Police could implement this strategy by trialling more frequent vehicle stop checks in urban, densely populated areas where fatalities or serious injury would be more likely to occur in the event of a road traffic collision. Visibility could also be key by means of advertisement by leafleting, informational posters and pamphlets that highlight the dangers of drug driving and like offences. </w:t>
      </w:r>
    </w:p>
    <w:p w14:paraId="5AE07532" w14:textId="77777777" w:rsidR="004A5C0E" w:rsidRPr="00D25CE8" w:rsidRDefault="004A5C0E" w:rsidP="004A5C0E">
      <w:pPr>
        <w:rPr>
          <w:sz w:val="22"/>
          <w:szCs w:val="22"/>
        </w:rPr>
      </w:pPr>
    </w:p>
    <w:p w14:paraId="6FFCF1E0" w14:textId="77777777" w:rsidR="004A5C0E" w:rsidRPr="00D25CE8" w:rsidRDefault="004A5C0E" w:rsidP="004A5C0E">
      <w:pPr>
        <w:rPr>
          <w:sz w:val="22"/>
          <w:szCs w:val="22"/>
        </w:rPr>
      </w:pPr>
      <w:r w:rsidRPr="00D25CE8">
        <w:rPr>
          <w:sz w:val="22"/>
          <w:szCs w:val="22"/>
        </w:rPr>
        <w:t>Similar approaches are already seen by the bilingual slogans displayed on motorway billboards in Wales that inform drivers to not drink and drive. More visually impactful methods have been utilised to warn of the dangers of driving under the influence with the use of television advertisements. The UK’s first televised drink-driving advert was screened in 1964 and consisted of a short infomercial-style piece that ended with the easily digestible phrase “Don’t ask a man to drink and drive” (BBC News, 2014). Although it was still a criminal offence to be intoxicated behind the wheel of a vehicle in the 1960s, there was no defined prescribed alcohol limit nor was there a defined means of determining a driver’s impairment. It was not until 1967 that a maximum blood alcohol limit was instated in the UK along with a device that could record the concentration of alcohol at the roadside by means of breathalyser (Drinkdriving.org, 2022). These introductions saw a 7% decrease in deaths that were as a result of alcohol-related driving (BBC News, 2014).</w:t>
      </w:r>
    </w:p>
    <w:p w14:paraId="55D82219" w14:textId="77777777" w:rsidR="004A5C0E" w:rsidRPr="00D25CE8" w:rsidRDefault="004A5C0E" w:rsidP="004A5C0E">
      <w:pPr>
        <w:rPr>
          <w:sz w:val="22"/>
          <w:szCs w:val="22"/>
        </w:rPr>
      </w:pPr>
    </w:p>
    <w:p w14:paraId="5FA0FF82" w14:textId="77777777" w:rsidR="004A5C0E" w:rsidRPr="00D25CE8" w:rsidRDefault="004A5C0E" w:rsidP="004A5C0E">
      <w:pPr>
        <w:rPr>
          <w:sz w:val="22"/>
          <w:szCs w:val="22"/>
        </w:rPr>
      </w:pPr>
      <w:r w:rsidRPr="00D25CE8">
        <w:rPr>
          <w:sz w:val="22"/>
          <w:szCs w:val="22"/>
        </w:rPr>
        <w:t>In the similar vein and train of thought as the preconceived notion of an increase in sentence leading to a decrease in reoffending, the increased awareness and publicity of drink-drive commercials did not lead to an ongoing trend of decreased collisions as a result of drink-driving. In fact, there was a proportional escalation of 35% more accidents where alcohol was a contributing cause in a six-year range commencing in 1969. It is evident that legislative reform by government was not an all-encompassing solution to the problem and the issue was that drink-driving was still not frowned upon in society at the time. Research also showed that the public did not understand alcoholic percentages or the legal ramifications of drink-driving. The intensification of the graphic content found in advertisements over the years which spoke to the emotions of the public in conjunction with tougher legislation saw an 86% decrease in drink driving fatalities in a 33-year period culminating in the year 2012 (BBC News, 2014).</w:t>
      </w:r>
    </w:p>
    <w:p w14:paraId="3E7703AE" w14:textId="77777777" w:rsidR="004A5C0E" w:rsidRPr="00D25CE8" w:rsidRDefault="004A5C0E" w:rsidP="004A5C0E">
      <w:pPr>
        <w:rPr>
          <w:sz w:val="22"/>
          <w:szCs w:val="22"/>
        </w:rPr>
      </w:pPr>
    </w:p>
    <w:p w14:paraId="76D501CD" w14:textId="77777777" w:rsidR="004A5C0E" w:rsidRPr="00D25CE8" w:rsidRDefault="004A5C0E" w:rsidP="004A5C0E">
      <w:pPr>
        <w:rPr>
          <w:sz w:val="22"/>
          <w:szCs w:val="22"/>
        </w:rPr>
      </w:pPr>
      <w:r w:rsidRPr="00D25CE8">
        <w:rPr>
          <w:sz w:val="22"/>
          <w:szCs w:val="22"/>
        </w:rPr>
        <w:t xml:space="preserve">One eminent road safety campaign to raise awareness on the most common causes of road deaths and was a means of reducing the likelihood of re-offending is known as the ‘Fatal 5’. The Fatal 5 comprises of careless driving, drink and drug driving, not wearing a seatbelt, using a mobile phone and speeding. Following the launch of the campaign, North Yorkshire Police discovered that there was a 10% decrease in road deaths (Road Wise, 2022). Evidently, as per the 1970s where people were more aptly educated on alcoholic content, just educating people on what the primary causes of fatal collisions had a positive impact on reducing collisions and subsequently fatalities. </w:t>
      </w:r>
    </w:p>
    <w:p w14:paraId="64B2FC46" w14:textId="77777777" w:rsidR="004A5C0E" w:rsidRPr="00D25CE8" w:rsidRDefault="004A5C0E" w:rsidP="004A5C0E">
      <w:pPr>
        <w:rPr>
          <w:sz w:val="22"/>
          <w:szCs w:val="22"/>
        </w:rPr>
      </w:pPr>
    </w:p>
    <w:p w14:paraId="4184EB5C" w14:textId="77777777" w:rsidR="004A5C0E" w:rsidRPr="00D25CE8" w:rsidRDefault="004A5C0E" w:rsidP="004A5C0E">
      <w:pPr>
        <w:rPr>
          <w:sz w:val="22"/>
          <w:szCs w:val="22"/>
        </w:rPr>
      </w:pPr>
      <w:r w:rsidRPr="00D25CE8">
        <w:rPr>
          <w:sz w:val="22"/>
          <w:szCs w:val="22"/>
        </w:rPr>
        <w:t xml:space="preserve">To confirm the identity of the driver, I asked my assisting colleague to make urgent CCTV enquiries in the close vicinity as they would prove vital in identifying the driver as the registered owner may not have been the driver. Despite there being a decline in aggravated </w:t>
      </w:r>
      <w:r w:rsidRPr="00D25CE8">
        <w:rPr>
          <w:sz w:val="22"/>
          <w:szCs w:val="22"/>
        </w:rPr>
        <w:lastRenderedPageBreak/>
        <w:t xml:space="preserve">vehicle taking in recent years with a 13% decrease in aggravated vehicle taking in 2020, this was a possibility that could not be ruled out at that early stage (Policy Mogul, 2021). Clear images of a male with distinctive tattooing matching that of the registered owner displayed on the Police National Computer was seen and with this, I set out to attend the registered owner’s home address as it was highly likely that they had walked home. </w:t>
      </w:r>
    </w:p>
    <w:p w14:paraId="234611C6" w14:textId="77777777" w:rsidR="004A5C0E" w:rsidRPr="00D25CE8" w:rsidRDefault="004A5C0E" w:rsidP="004A5C0E">
      <w:pPr>
        <w:rPr>
          <w:sz w:val="22"/>
          <w:szCs w:val="22"/>
        </w:rPr>
      </w:pPr>
    </w:p>
    <w:p w14:paraId="52249B3E" w14:textId="77777777" w:rsidR="004A5C0E" w:rsidRPr="00D25CE8" w:rsidRDefault="004A5C0E" w:rsidP="004A5C0E">
      <w:pPr>
        <w:rPr>
          <w:sz w:val="22"/>
          <w:szCs w:val="22"/>
        </w:rPr>
      </w:pPr>
      <w:r w:rsidRPr="00D25CE8">
        <w:rPr>
          <w:sz w:val="22"/>
          <w:szCs w:val="22"/>
        </w:rPr>
        <w:t xml:space="preserve">A short time later having arrived at the address, a female who identified herself as the registered owner’s partner came to the door. She informed me that her partner owned the vehicle that was the subject of the collision but that he had not yet returned from a night out. As it was my first experience of dealing with a road traffic related incident, I was unsure whether I was legally able to enter the address to check if the driver was present to conduct a breath test or to assess if he was unfit through drink or drugs. My sergeant was not working at the time so I called on an experienced member of the team to advise me on what I should do and they said that there was no point in pursuing the driver as even if they were in the address, they could use the ‘hip flask’ defence whereby a person states that they had in fact consumed alcohol but only after having entered their address and not prior to being in charge of a vehicle. With not knowing any better at the time, I left the address and performed the subsequent duties to manage the scene of the collision such as ascertaining the damaged vehicle owner’s details for insurance purposes as well as the clearance of debris and the removal of said affected cars. </w:t>
      </w:r>
    </w:p>
    <w:p w14:paraId="616469D8" w14:textId="77777777" w:rsidR="004A5C0E" w:rsidRPr="00D25CE8" w:rsidRDefault="004A5C0E" w:rsidP="004A5C0E">
      <w:pPr>
        <w:rPr>
          <w:sz w:val="22"/>
          <w:szCs w:val="22"/>
        </w:rPr>
      </w:pPr>
    </w:p>
    <w:p w14:paraId="643D78E1" w14:textId="77777777" w:rsidR="004A5C0E" w:rsidRPr="00D25CE8" w:rsidRDefault="004A5C0E" w:rsidP="004A5C0E">
      <w:pPr>
        <w:rPr>
          <w:sz w:val="22"/>
          <w:szCs w:val="22"/>
        </w:rPr>
      </w:pPr>
      <w:r w:rsidRPr="00D25CE8">
        <w:rPr>
          <w:sz w:val="22"/>
          <w:szCs w:val="22"/>
        </w:rPr>
        <w:t xml:space="preserve">The following day, a call was received to the Public Service Centre from the registered owner whereby he stated that he was the driver at the time of the collision and had left the scene due to struggles with his mental health. I subsequently reported the driver in person for the consideration of the offence of driving without due care and attention as a result of the damage caused and the fact that he admitted to falling asleep in an instant. His defence was that he had taken prescribed sleeping tablets and he may have been over the prescribed limit for the controlled drug but it was outside of the forensic window for me to consider investigating it at this point. </w:t>
      </w:r>
    </w:p>
    <w:p w14:paraId="255341C8" w14:textId="77777777" w:rsidR="004A5C0E" w:rsidRPr="00D25CE8" w:rsidRDefault="004A5C0E" w:rsidP="004A5C0E">
      <w:pPr>
        <w:rPr>
          <w:sz w:val="22"/>
          <w:szCs w:val="22"/>
        </w:rPr>
      </w:pPr>
    </w:p>
    <w:p w14:paraId="060F5AAB" w14:textId="77777777" w:rsidR="004A5C0E" w:rsidRPr="00D25CE8" w:rsidRDefault="004A5C0E" w:rsidP="004A5C0E">
      <w:pPr>
        <w:rPr>
          <w:sz w:val="22"/>
          <w:szCs w:val="22"/>
        </w:rPr>
      </w:pPr>
      <w:r w:rsidRPr="00D25CE8">
        <w:rPr>
          <w:sz w:val="22"/>
          <w:szCs w:val="22"/>
        </w:rPr>
        <w:t xml:space="preserve">In hindsight, I would like to have taken the initiative to enter the subject’s home address using Section 6E powers of the Road Traffic Act 1988 which grants entry to ascertain a breath sample as having reviewed the incident, I am now of the knowledge that it would be on the driver’s onus to prove his defence that he had drunk alcohol after having arrived home. I was however unaccompanied by a supervisor and was unsure of the legalities and wanted to ensure that the whole investigation did not collapse due to personal error. Ultimately, he still admitted guilt and was subsequently charged for the offence of driving without due care and attention but I believe that if provisional tests were administered when there was the opportunity to, that he may have also been over the prescribed limit for alcohol or drugs. This would have further highlighted the danger of the fatal 5 as he would have fallen foul of having committed 2 of the 5 main causes of fatal collisions. </w:t>
      </w:r>
    </w:p>
    <w:p w14:paraId="161610C4" w14:textId="77777777" w:rsidR="004A5C0E" w:rsidRPr="00D25CE8" w:rsidRDefault="004A5C0E" w:rsidP="004A5C0E">
      <w:pPr>
        <w:rPr>
          <w:sz w:val="22"/>
          <w:szCs w:val="22"/>
        </w:rPr>
      </w:pPr>
    </w:p>
    <w:p w14:paraId="678DDCFB" w14:textId="77777777" w:rsidR="004A5C0E" w:rsidRPr="00D25CE8" w:rsidRDefault="004A5C0E" w:rsidP="004A5C0E">
      <w:pPr>
        <w:rPr>
          <w:sz w:val="22"/>
          <w:szCs w:val="22"/>
        </w:rPr>
      </w:pPr>
      <w:r w:rsidRPr="00D25CE8">
        <w:rPr>
          <w:sz w:val="22"/>
          <w:szCs w:val="22"/>
        </w:rPr>
        <w:t xml:space="preserve">I believe that should the driver be found guilty of the aforementioned offences that upon review of the research stated, that education would be the most effective strategy to reduce the likelihood of it reoccurring. I think this would be best provided via the disposal of a community resolution order where the perpetrator would be made to work in communities where the consequences of his actions could have had a detrimental effect. I also believe that reform by means of a drugs support referral would also greatly benefit the perpetrator along with others in the same situation to also address their consumption habits and to realise that getting behind the wheel of a car whilst under the influence of drink or drugs can have dire consequences.  </w:t>
      </w:r>
    </w:p>
    <w:p w14:paraId="486388B6" w14:textId="77777777" w:rsidR="004A5C0E" w:rsidRPr="00D25CE8" w:rsidRDefault="004A5C0E" w:rsidP="004A5C0E">
      <w:pPr>
        <w:rPr>
          <w:sz w:val="22"/>
          <w:szCs w:val="22"/>
        </w:rPr>
      </w:pPr>
    </w:p>
    <w:p w14:paraId="2D808DCD" w14:textId="406D68F6" w:rsidR="004A5C0E" w:rsidRPr="00D25CE8" w:rsidRDefault="004A5C0E" w:rsidP="004A5C0E">
      <w:pPr>
        <w:rPr>
          <w:b/>
          <w:bCs/>
          <w:sz w:val="22"/>
          <w:szCs w:val="22"/>
        </w:rPr>
      </w:pPr>
      <w:r w:rsidRPr="00D25CE8">
        <w:rPr>
          <w:b/>
          <w:bCs/>
          <w:sz w:val="22"/>
          <w:szCs w:val="22"/>
        </w:rPr>
        <w:t>WORDS: 213</w:t>
      </w:r>
      <w:r w:rsidR="00DB6D19">
        <w:rPr>
          <w:b/>
          <w:bCs/>
          <w:sz w:val="22"/>
          <w:szCs w:val="22"/>
        </w:rPr>
        <w:t>7</w:t>
      </w:r>
    </w:p>
    <w:p w14:paraId="5B74760D" w14:textId="77777777" w:rsidR="004A5C0E" w:rsidRPr="00D25CE8" w:rsidRDefault="004A5C0E">
      <w:pPr>
        <w:rPr>
          <w:b/>
          <w:bCs/>
          <w:sz w:val="22"/>
          <w:szCs w:val="22"/>
        </w:rPr>
      </w:pPr>
    </w:p>
    <w:p w14:paraId="00F350C4" w14:textId="77777777" w:rsidR="00EE1CF3" w:rsidRDefault="00EE1CF3">
      <w:pPr>
        <w:rPr>
          <w:sz w:val="22"/>
          <w:szCs w:val="22"/>
        </w:rPr>
      </w:pPr>
    </w:p>
    <w:p w14:paraId="36D4D81B" w14:textId="4CC6C7FF" w:rsidR="004A5C0E" w:rsidRPr="00D25CE8" w:rsidRDefault="004A5C0E">
      <w:pPr>
        <w:rPr>
          <w:b/>
          <w:bCs/>
          <w:sz w:val="22"/>
          <w:szCs w:val="22"/>
        </w:rPr>
      </w:pPr>
      <w:r w:rsidRPr="00D25CE8">
        <w:rPr>
          <w:b/>
          <w:bCs/>
          <w:sz w:val="22"/>
          <w:szCs w:val="22"/>
        </w:rPr>
        <w:lastRenderedPageBreak/>
        <w:t>BIBLIOGRAPHY</w:t>
      </w:r>
    </w:p>
    <w:p w14:paraId="2D69B07E" w14:textId="4AA48CAB" w:rsidR="00D25CE8" w:rsidRPr="00D25CE8" w:rsidRDefault="00D25CE8">
      <w:pPr>
        <w:rPr>
          <w:b/>
          <w:bCs/>
          <w:sz w:val="22"/>
          <w:szCs w:val="22"/>
        </w:rPr>
      </w:pPr>
    </w:p>
    <w:p w14:paraId="375C5F4D" w14:textId="77777777" w:rsidR="00D25CE8" w:rsidRPr="00D25CE8" w:rsidRDefault="00D25CE8" w:rsidP="00D25CE8">
      <w:pPr>
        <w:rPr>
          <w:sz w:val="22"/>
          <w:szCs w:val="22"/>
        </w:rPr>
      </w:pPr>
      <w:r w:rsidRPr="00D25CE8">
        <w:rPr>
          <w:sz w:val="22"/>
          <w:szCs w:val="22"/>
        </w:rPr>
        <w:t xml:space="preserve">Association of Chief Police Officers (2005), </w:t>
      </w:r>
      <w:r w:rsidRPr="00D25CE8">
        <w:rPr>
          <w:i/>
          <w:iCs/>
          <w:sz w:val="22"/>
          <w:szCs w:val="22"/>
        </w:rPr>
        <w:t>National Call Handling Standards</w:t>
      </w:r>
      <w:r w:rsidRPr="00D25CE8">
        <w:rPr>
          <w:sz w:val="22"/>
          <w:szCs w:val="22"/>
        </w:rPr>
        <w:t xml:space="preserve">, [online] </w:t>
      </w:r>
      <w:hyperlink r:id="rId5" w:history="1">
        <w:r w:rsidRPr="00D25CE8">
          <w:rPr>
            <w:rStyle w:val="Hyperlink"/>
            <w:sz w:val="22"/>
            <w:szCs w:val="22"/>
          </w:rPr>
          <w:t>https://library.college.police.uk/docs/homeoffice/call_handling_standards.pdf</w:t>
        </w:r>
      </w:hyperlink>
      <w:r w:rsidRPr="00D25CE8">
        <w:rPr>
          <w:sz w:val="22"/>
          <w:szCs w:val="22"/>
        </w:rPr>
        <w:t xml:space="preserve"> (accessed 26 October 2022).</w:t>
      </w:r>
    </w:p>
    <w:p w14:paraId="6DC0D9EC" w14:textId="77777777" w:rsidR="00D25CE8" w:rsidRPr="00D25CE8" w:rsidRDefault="00D25CE8" w:rsidP="00D25CE8">
      <w:pPr>
        <w:rPr>
          <w:sz w:val="22"/>
          <w:szCs w:val="22"/>
        </w:rPr>
      </w:pPr>
    </w:p>
    <w:p w14:paraId="1A75217B" w14:textId="77777777" w:rsidR="00D25CE8" w:rsidRPr="00D25CE8" w:rsidRDefault="00D25CE8" w:rsidP="00D25CE8">
      <w:pPr>
        <w:rPr>
          <w:sz w:val="22"/>
          <w:szCs w:val="22"/>
        </w:rPr>
      </w:pPr>
      <w:r w:rsidRPr="00D25CE8">
        <w:rPr>
          <w:sz w:val="22"/>
          <w:szCs w:val="22"/>
        </w:rPr>
        <w:t xml:space="preserve">BBC News (2014), 50 years of truly shocking drink-driving adverts, [online] </w:t>
      </w:r>
      <w:hyperlink r:id="rId6" w:history="1">
        <w:r w:rsidRPr="00D25CE8">
          <w:rPr>
            <w:rStyle w:val="Hyperlink"/>
            <w:sz w:val="22"/>
            <w:szCs w:val="22"/>
          </w:rPr>
          <w:t>https://www.bbc.co.uk/news/magazine-29894885</w:t>
        </w:r>
      </w:hyperlink>
      <w:r w:rsidRPr="00D25CE8">
        <w:rPr>
          <w:sz w:val="22"/>
          <w:szCs w:val="22"/>
        </w:rPr>
        <w:t xml:space="preserve"> (accessed 23 October 2022).</w:t>
      </w:r>
    </w:p>
    <w:p w14:paraId="1A923125" w14:textId="77777777" w:rsidR="00D25CE8" w:rsidRPr="00D25CE8" w:rsidRDefault="00D25CE8" w:rsidP="00D25CE8">
      <w:pPr>
        <w:rPr>
          <w:sz w:val="22"/>
          <w:szCs w:val="22"/>
        </w:rPr>
      </w:pPr>
    </w:p>
    <w:p w14:paraId="75741A86" w14:textId="77777777" w:rsidR="00D25CE8" w:rsidRPr="00D25CE8" w:rsidRDefault="00D25CE8" w:rsidP="00D25CE8">
      <w:pPr>
        <w:rPr>
          <w:sz w:val="22"/>
          <w:szCs w:val="22"/>
        </w:rPr>
      </w:pPr>
      <w:r w:rsidRPr="00D25CE8">
        <w:rPr>
          <w:sz w:val="22"/>
          <w:szCs w:val="22"/>
        </w:rPr>
        <w:t xml:space="preserve">College of Policing (2013), </w:t>
      </w:r>
      <w:r w:rsidRPr="00D25CE8">
        <w:rPr>
          <w:i/>
          <w:iCs/>
          <w:sz w:val="22"/>
          <w:szCs w:val="22"/>
        </w:rPr>
        <w:t>Introduction and types of critical incidents</w:t>
      </w:r>
      <w:r w:rsidRPr="00D25CE8">
        <w:rPr>
          <w:sz w:val="22"/>
          <w:szCs w:val="22"/>
        </w:rPr>
        <w:t xml:space="preserve">, [online] </w:t>
      </w:r>
      <w:hyperlink r:id="rId7" w:history="1">
        <w:r w:rsidRPr="00D25CE8">
          <w:rPr>
            <w:rStyle w:val="Hyperlink"/>
            <w:sz w:val="22"/>
            <w:szCs w:val="22"/>
          </w:rPr>
          <w:t>https://www.college.police.uk/app/critical-incident-management/introduction-and-types-critical-incidents</w:t>
        </w:r>
      </w:hyperlink>
      <w:r w:rsidRPr="00D25CE8">
        <w:rPr>
          <w:sz w:val="22"/>
          <w:szCs w:val="22"/>
        </w:rPr>
        <w:t xml:space="preserve"> (accessed 9 October 2022).</w:t>
      </w:r>
    </w:p>
    <w:p w14:paraId="022A8ED4" w14:textId="77777777" w:rsidR="00D25CE8" w:rsidRPr="00D25CE8" w:rsidRDefault="00D25CE8" w:rsidP="00D25CE8">
      <w:pPr>
        <w:rPr>
          <w:sz w:val="22"/>
          <w:szCs w:val="22"/>
        </w:rPr>
      </w:pPr>
    </w:p>
    <w:p w14:paraId="35B61024" w14:textId="77777777" w:rsidR="00D25CE8" w:rsidRPr="00D25CE8" w:rsidRDefault="00D25CE8" w:rsidP="00D25CE8">
      <w:pPr>
        <w:rPr>
          <w:sz w:val="22"/>
          <w:szCs w:val="22"/>
        </w:rPr>
      </w:pPr>
      <w:r w:rsidRPr="00D25CE8">
        <w:rPr>
          <w:sz w:val="22"/>
          <w:szCs w:val="22"/>
        </w:rPr>
        <w:t xml:space="preserve">College of Policing (2013), </w:t>
      </w:r>
      <w:r w:rsidRPr="00D25CE8">
        <w:rPr>
          <w:i/>
          <w:iCs/>
          <w:sz w:val="22"/>
          <w:szCs w:val="22"/>
        </w:rPr>
        <w:t>National decision model</w:t>
      </w:r>
      <w:r w:rsidRPr="00D25CE8">
        <w:rPr>
          <w:sz w:val="22"/>
          <w:szCs w:val="22"/>
        </w:rPr>
        <w:t xml:space="preserve">, [online] </w:t>
      </w:r>
      <w:hyperlink r:id="rId8" w:history="1">
        <w:r w:rsidRPr="00D25CE8">
          <w:rPr>
            <w:rStyle w:val="Hyperlink"/>
            <w:sz w:val="22"/>
            <w:szCs w:val="22"/>
          </w:rPr>
          <w:t>https://www.college.police.uk/app/national-decision-model/national-decision-model</w:t>
        </w:r>
      </w:hyperlink>
      <w:r w:rsidRPr="00D25CE8">
        <w:rPr>
          <w:sz w:val="22"/>
          <w:szCs w:val="22"/>
        </w:rPr>
        <w:t xml:space="preserve"> (accessed 26 October 2022).</w:t>
      </w:r>
    </w:p>
    <w:p w14:paraId="2496069B" w14:textId="77777777" w:rsidR="00D25CE8" w:rsidRPr="00D25CE8" w:rsidRDefault="00D25CE8" w:rsidP="00D25CE8">
      <w:pPr>
        <w:rPr>
          <w:sz w:val="22"/>
          <w:szCs w:val="22"/>
        </w:rPr>
      </w:pPr>
    </w:p>
    <w:p w14:paraId="2A882467" w14:textId="77777777" w:rsidR="00D25CE8" w:rsidRPr="00D25CE8" w:rsidRDefault="00D25CE8" w:rsidP="00D25CE8">
      <w:pPr>
        <w:rPr>
          <w:sz w:val="22"/>
          <w:szCs w:val="22"/>
        </w:rPr>
      </w:pPr>
      <w:r w:rsidRPr="00D25CE8">
        <w:rPr>
          <w:sz w:val="22"/>
          <w:szCs w:val="22"/>
        </w:rPr>
        <w:t xml:space="preserve">College of Policing (2016), </w:t>
      </w:r>
      <w:r w:rsidRPr="00D25CE8">
        <w:rPr>
          <w:i/>
          <w:iCs/>
          <w:sz w:val="22"/>
          <w:szCs w:val="22"/>
        </w:rPr>
        <w:t>What is EBP? Introducing “ATLAS”</w:t>
      </w:r>
      <w:r w:rsidRPr="00D25CE8">
        <w:rPr>
          <w:sz w:val="22"/>
          <w:szCs w:val="22"/>
        </w:rPr>
        <w:t xml:space="preserve">, [online] </w:t>
      </w:r>
      <w:r w:rsidRPr="00D25CE8">
        <w:rPr>
          <w:color w:val="4472C4" w:themeColor="accent1"/>
          <w:sz w:val="22"/>
          <w:szCs w:val="22"/>
          <w:u w:val="single"/>
        </w:rPr>
        <w:t xml:space="preserve">https://whatworks.college. police.uk/About/News/Documents/ATLAS.pdf </w:t>
      </w:r>
      <w:r w:rsidRPr="00D25CE8">
        <w:rPr>
          <w:sz w:val="22"/>
          <w:szCs w:val="22"/>
        </w:rPr>
        <w:t xml:space="preserve">(accessed 26 October 2022). </w:t>
      </w:r>
    </w:p>
    <w:p w14:paraId="43E950D2" w14:textId="77777777" w:rsidR="00D25CE8" w:rsidRPr="00D25CE8" w:rsidRDefault="00D25CE8" w:rsidP="00D25CE8">
      <w:pPr>
        <w:rPr>
          <w:sz w:val="22"/>
          <w:szCs w:val="22"/>
        </w:rPr>
      </w:pPr>
    </w:p>
    <w:p w14:paraId="68CE541D" w14:textId="77777777" w:rsidR="00D25CE8" w:rsidRPr="00D25CE8" w:rsidRDefault="00D25CE8" w:rsidP="00D25CE8">
      <w:pPr>
        <w:rPr>
          <w:sz w:val="22"/>
          <w:szCs w:val="22"/>
        </w:rPr>
      </w:pPr>
      <w:r w:rsidRPr="00D25CE8">
        <w:rPr>
          <w:sz w:val="22"/>
          <w:szCs w:val="22"/>
        </w:rPr>
        <w:t xml:space="preserve">College of Policing (2020), </w:t>
      </w:r>
      <w:r w:rsidRPr="00D25CE8">
        <w:rPr>
          <w:i/>
          <w:iCs/>
          <w:sz w:val="22"/>
          <w:szCs w:val="22"/>
        </w:rPr>
        <w:t>Victim and witness care and support</w:t>
      </w:r>
      <w:r w:rsidRPr="00D25CE8">
        <w:rPr>
          <w:sz w:val="22"/>
          <w:szCs w:val="22"/>
        </w:rPr>
        <w:t xml:space="preserve">, [online] </w:t>
      </w:r>
      <w:hyperlink r:id="rId9" w:history="1">
        <w:r w:rsidRPr="00D25CE8">
          <w:rPr>
            <w:rStyle w:val="Hyperlink"/>
            <w:sz w:val="22"/>
            <w:szCs w:val="22"/>
          </w:rPr>
          <w:t>https://www.college.police.uk/app/major-investigation-and-public-protection/hate-crime/victim-and-witness-care-and-support</w:t>
        </w:r>
      </w:hyperlink>
      <w:r w:rsidRPr="00D25CE8">
        <w:rPr>
          <w:sz w:val="22"/>
          <w:szCs w:val="22"/>
        </w:rPr>
        <w:t xml:space="preserve"> (accessed 24 September 2022).</w:t>
      </w:r>
    </w:p>
    <w:p w14:paraId="4E7DD5D8" w14:textId="77777777" w:rsidR="00D25CE8" w:rsidRPr="00D25CE8" w:rsidRDefault="00D25CE8" w:rsidP="00D25CE8">
      <w:pPr>
        <w:rPr>
          <w:sz w:val="22"/>
          <w:szCs w:val="22"/>
        </w:rPr>
      </w:pPr>
    </w:p>
    <w:p w14:paraId="4C819C3B" w14:textId="77777777" w:rsidR="00D25CE8" w:rsidRPr="00D25CE8" w:rsidRDefault="00D25CE8" w:rsidP="00D25CE8">
      <w:pPr>
        <w:rPr>
          <w:sz w:val="22"/>
          <w:szCs w:val="22"/>
        </w:rPr>
      </w:pPr>
      <w:r w:rsidRPr="00D25CE8">
        <w:rPr>
          <w:sz w:val="22"/>
          <w:szCs w:val="22"/>
        </w:rPr>
        <w:t xml:space="preserve">College of Policing (2021), </w:t>
      </w:r>
      <w:r w:rsidRPr="00D25CE8">
        <w:rPr>
          <w:i/>
          <w:iCs/>
          <w:sz w:val="22"/>
          <w:szCs w:val="22"/>
        </w:rPr>
        <w:t>Recognising and responding to vulnerability-related risks guidelines</w:t>
      </w:r>
      <w:r w:rsidRPr="00D25CE8">
        <w:rPr>
          <w:sz w:val="22"/>
          <w:szCs w:val="22"/>
        </w:rPr>
        <w:t xml:space="preserve">, [online], </w:t>
      </w:r>
      <w:hyperlink r:id="rId10" w:history="1">
        <w:r w:rsidRPr="00D25CE8">
          <w:rPr>
            <w:rStyle w:val="Hyperlink"/>
            <w:sz w:val="22"/>
            <w:szCs w:val="22"/>
          </w:rPr>
          <w:t>https://assets.college.police.uk/s3fs-public/2021-11/Recognising-responding-vulnerability-related-risks-Evidence-review-part-2.pdf</w:t>
        </w:r>
      </w:hyperlink>
      <w:r w:rsidRPr="00D25CE8">
        <w:rPr>
          <w:sz w:val="22"/>
          <w:szCs w:val="22"/>
        </w:rPr>
        <w:t xml:space="preserve"> (accessed 12 September 2022). </w:t>
      </w:r>
    </w:p>
    <w:p w14:paraId="23535854" w14:textId="77777777" w:rsidR="00D25CE8" w:rsidRPr="00D25CE8" w:rsidRDefault="00D25CE8" w:rsidP="00D25CE8">
      <w:pPr>
        <w:rPr>
          <w:sz w:val="22"/>
          <w:szCs w:val="22"/>
        </w:rPr>
      </w:pPr>
    </w:p>
    <w:p w14:paraId="4F7060A3" w14:textId="77777777" w:rsidR="00D25CE8" w:rsidRPr="00D25CE8" w:rsidRDefault="00D25CE8" w:rsidP="00D25CE8">
      <w:pPr>
        <w:rPr>
          <w:sz w:val="22"/>
          <w:szCs w:val="22"/>
        </w:rPr>
      </w:pPr>
      <w:r w:rsidRPr="00D25CE8">
        <w:rPr>
          <w:sz w:val="22"/>
          <w:szCs w:val="22"/>
        </w:rPr>
        <w:t xml:space="preserve">CPS (2019), </w:t>
      </w:r>
      <w:r w:rsidRPr="00D25CE8">
        <w:rPr>
          <w:i/>
          <w:iCs/>
          <w:sz w:val="22"/>
          <w:szCs w:val="22"/>
        </w:rPr>
        <w:t>Road Traffic – Drink and Drug Driving</w:t>
      </w:r>
      <w:r w:rsidRPr="00D25CE8">
        <w:rPr>
          <w:sz w:val="22"/>
          <w:szCs w:val="22"/>
        </w:rPr>
        <w:t xml:space="preserve">, [online] </w:t>
      </w:r>
      <w:hyperlink r:id="rId11" w:history="1">
        <w:r w:rsidRPr="00D25CE8">
          <w:rPr>
            <w:rStyle w:val="Hyperlink"/>
            <w:sz w:val="22"/>
            <w:szCs w:val="22"/>
          </w:rPr>
          <w:t>https://www.cps.gov.uk/legal-guidance/road-traffic-drink-and-drug-driving</w:t>
        </w:r>
      </w:hyperlink>
      <w:r w:rsidRPr="00D25CE8">
        <w:rPr>
          <w:sz w:val="22"/>
          <w:szCs w:val="22"/>
        </w:rPr>
        <w:t xml:space="preserve"> (accessed 14 October 2022).</w:t>
      </w:r>
    </w:p>
    <w:p w14:paraId="25382A0E" w14:textId="77777777" w:rsidR="00D25CE8" w:rsidRPr="00D25CE8" w:rsidRDefault="00D25CE8" w:rsidP="00D25CE8">
      <w:pPr>
        <w:rPr>
          <w:sz w:val="22"/>
          <w:szCs w:val="22"/>
        </w:rPr>
      </w:pPr>
    </w:p>
    <w:p w14:paraId="76B21095" w14:textId="77777777" w:rsidR="00D25CE8" w:rsidRPr="00D25CE8" w:rsidRDefault="00D25CE8" w:rsidP="00D25CE8">
      <w:pPr>
        <w:rPr>
          <w:sz w:val="22"/>
          <w:szCs w:val="22"/>
        </w:rPr>
      </w:pPr>
      <w:r w:rsidRPr="00D25CE8">
        <w:rPr>
          <w:sz w:val="22"/>
          <w:szCs w:val="22"/>
        </w:rPr>
        <w:t xml:space="preserve">Crime Stoppers (2022), </w:t>
      </w:r>
      <w:r w:rsidRPr="00D25CE8">
        <w:rPr>
          <w:i/>
          <w:iCs/>
          <w:sz w:val="22"/>
          <w:szCs w:val="22"/>
        </w:rPr>
        <w:t>Drug driving</w:t>
      </w:r>
      <w:r w:rsidRPr="00D25CE8">
        <w:rPr>
          <w:sz w:val="22"/>
          <w:szCs w:val="22"/>
        </w:rPr>
        <w:t xml:space="preserve">, [online] </w:t>
      </w:r>
      <w:hyperlink r:id="rId12" w:history="1">
        <w:r w:rsidRPr="00D25CE8">
          <w:rPr>
            <w:rStyle w:val="Hyperlink"/>
            <w:sz w:val="22"/>
            <w:szCs w:val="22"/>
          </w:rPr>
          <w:t>https://crimestoppers-uk.org/campaigns-media/campaigns/drug-driving</w:t>
        </w:r>
      </w:hyperlink>
      <w:r w:rsidRPr="00D25CE8">
        <w:rPr>
          <w:sz w:val="22"/>
          <w:szCs w:val="22"/>
        </w:rPr>
        <w:t xml:space="preserve"> (accessed 12 October 2022).</w:t>
      </w:r>
    </w:p>
    <w:p w14:paraId="2833187F" w14:textId="77777777" w:rsidR="00D25CE8" w:rsidRPr="00D25CE8" w:rsidRDefault="00D25CE8" w:rsidP="00D25CE8">
      <w:pPr>
        <w:rPr>
          <w:sz w:val="22"/>
          <w:szCs w:val="22"/>
        </w:rPr>
      </w:pPr>
    </w:p>
    <w:p w14:paraId="4B3F770F" w14:textId="77777777" w:rsidR="00D25CE8" w:rsidRPr="00D25CE8" w:rsidRDefault="00D25CE8" w:rsidP="00D25CE8">
      <w:pPr>
        <w:rPr>
          <w:sz w:val="22"/>
          <w:szCs w:val="22"/>
        </w:rPr>
      </w:pPr>
      <w:r w:rsidRPr="00D25CE8">
        <w:rPr>
          <w:sz w:val="22"/>
          <w:szCs w:val="22"/>
        </w:rPr>
        <w:t xml:space="preserve">Drinkdriving.org (2022), </w:t>
      </w:r>
      <w:proofErr w:type="spellStart"/>
      <w:r w:rsidRPr="00D25CE8">
        <w:rPr>
          <w:sz w:val="22"/>
          <w:szCs w:val="22"/>
        </w:rPr>
        <w:t>Dring</w:t>
      </w:r>
      <w:proofErr w:type="spellEnd"/>
      <w:r w:rsidRPr="00D25CE8">
        <w:rPr>
          <w:sz w:val="22"/>
          <w:szCs w:val="22"/>
        </w:rPr>
        <w:t xml:space="preserve"> Driving UK Law History – A History of Drink Driving &amp; Motoring Laws in the UK, [online] </w:t>
      </w:r>
      <w:hyperlink r:id="rId13" w:history="1">
        <w:r w:rsidRPr="00D25CE8">
          <w:rPr>
            <w:rStyle w:val="Hyperlink"/>
            <w:sz w:val="22"/>
            <w:szCs w:val="22"/>
          </w:rPr>
          <w:t>https://www.drinkdriving.org/drink_driving_information_uklawhistory.php</w:t>
        </w:r>
      </w:hyperlink>
      <w:r w:rsidRPr="00D25CE8">
        <w:rPr>
          <w:sz w:val="22"/>
          <w:szCs w:val="22"/>
        </w:rPr>
        <w:t xml:space="preserve"> (accessed 29 October 2022).</w:t>
      </w:r>
    </w:p>
    <w:p w14:paraId="5CC759C2" w14:textId="77777777" w:rsidR="00D25CE8" w:rsidRPr="00D25CE8" w:rsidRDefault="00D25CE8" w:rsidP="00D25CE8">
      <w:pPr>
        <w:rPr>
          <w:sz w:val="22"/>
          <w:szCs w:val="22"/>
        </w:rPr>
      </w:pPr>
    </w:p>
    <w:p w14:paraId="66CB431D" w14:textId="77777777" w:rsidR="00D25CE8" w:rsidRPr="00D25CE8" w:rsidRDefault="00D25CE8" w:rsidP="00D25CE8">
      <w:pPr>
        <w:rPr>
          <w:sz w:val="22"/>
          <w:szCs w:val="22"/>
        </w:rPr>
      </w:pPr>
      <w:r w:rsidRPr="00D25CE8">
        <w:rPr>
          <w:sz w:val="22"/>
          <w:szCs w:val="22"/>
        </w:rPr>
        <w:t xml:space="preserve">Gov.UK (2013), </w:t>
      </w:r>
      <w:r w:rsidRPr="00D25CE8">
        <w:rPr>
          <w:i/>
          <w:iCs/>
          <w:sz w:val="22"/>
          <w:szCs w:val="22"/>
        </w:rPr>
        <w:t>Changes to drug driving law</w:t>
      </w:r>
      <w:r w:rsidRPr="00D25CE8">
        <w:rPr>
          <w:sz w:val="22"/>
          <w:szCs w:val="22"/>
        </w:rPr>
        <w:t xml:space="preserve">, [online] </w:t>
      </w:r>
      <w:hyperlink r:id="rId14" w:history="1">
        <w:r w:rsidRPr="00D25CE8">
          <w:rPr>
            <w:rStyle w:val="Hyperlink"/>
            <w:sz w:val="22"/>
            <w:szCs w:val="22"/>
          </w:rPr>
          <w:t>https://www.gov.uk/government/collections/drug-driving</w:t>
        </w:r>
      </w:hyperlink>
      <w:r w:rsidRPr="00D25CE8">
        <w:rPr>
          <w:sz w:val="22"/>
          <w:szCs w:val="22"/>
        </w:rPr>
        <w:t xml:space="preserve"> (accessed 17 October 2022).</w:t>
      </w:r>
    </w:p>
    <w:p w14:paraId="1EDA8EFF" w14:textId="77777777" w:rsidR="00D25CE8" w:rsidRPr="00D25CE8" w:rsidRDefault="00D25CE8" w:rsidP="00D25CE8">
      <w:pPr>
        <w:rPr>
          <w:sz w:val="22"/>
          <w:szCs w:val="22"/>
        </w:rPr>
      </w:pPr>
    </w:p>
    <w:p w14:paraId="41AC8FD9" w14:textId="77777777" w:rsidR="00D25CE8" w:rsidRPr="00D25CE8" w:rsidRDefault="00D25CE8" w:rsidP="00D25CE8">
      <w:pPr>
        <w:rPr>
          <w:sz w:val="22"/>
          <w:szCs w:val="22"/>
        </w:rPr>
      </w:pPr>
      <w:r w:rsidRPr="00D25CE8">
        <w:rPr>
          <w:sz w:val="22"/>
          <w:szCs w:val="22"/>
        </w:rPr>
        <w:t xml:space="preserve">Gov.UK (2021), </w:t>
      </w:r>
      <w:r w:rsidRPr="00D25CE8">
        <w:rPr>
          <w:i/>
          <w:iCs/>
          <w:sz w:val="22"/>
          <w:szCs w:val="22"/>
        </w:rPr>
        <w:t>Domestic abuse – GOV.UK Ethnicity facts and figures</w:t>
      </w:r>
      <w:r w:rsidRPr="00D25CE8">
        <w:rPr>
          <w:sz w:val="22"/>
          <w:szCs w:val="22"/>
        </w:rPr>
        <w:t xml:space="preserve">, [online] </w:t>
      </w:r>
      <w:hyperlink r:id="rId15" w:anchor="by-ethnicity" w:history="1">
        <w:r w:rsidRPr="00D25CE8">
          <w:rPr>
            <w:rStyle w:val="Hyperlink"/>
            <w:sz w:val="22"/>
            <w:szCs w:val="22"/>
          </w:rPr>
          <w:t>https://www.ethnicity-facts-figures.service.gov.uk/crime-justice-and-the-law/crime-and-reoffending/domestic-abuse/latest#by-ethnicity</w:t>
        </w:r>
      </w:hyperlink>
      <w:r w:rsidRPr="00D25CE8">
        <w:rPr>
          <w:sz w:val="22"/>
          <w:szCs w:val="22"/>
        </w:rPr>
        <w:t xml:space="preserve"> (accessed 3 October 2022).</w:t>
      </w:r>
    </w:p>
    <w:p w14:paraId="14174F0D" w14:textId="77777777" w:rsidR="00D25CE8" w:rsidRPr="00D25CE8" w:rsidRDefault="00D25CE8" w:rsidP="00D25CE8">
      <w:pPr>
        <w:rPr>
          <w:sz w:val="22"/>
          <w:szCs w:val="22"/>
        </w:rPr>
      </w:pPr>
    </w:p>
    <w:p w14:paraId="5D4069AE" w14:textId="77777777" w:rsidR="00D25CE8" w:rsidRPr="00D25CE8" w:rsidRDefault="00D25CE8" w:rsidP="00D25CE8">
      <w:pPr>
        <w:rPr>
          <w:sz w:val="22"/>
          <w:szCs w:val="22"/>
        </w:rPr>
      </w:pPr>
      <w:r w:rsidRPr="00D25CE8">
        <w:rPr>
          <w:sz w:val="22"/>
          <w:szCs w:val="22"/>
        </w:rPr>
        <w:t xml:space="preserve">Gov.UK (2022), </w:t>
      </w:r>
      <w:r w:rsidRPr="00D25CE8">
        <w:rPr>
          <w:i/>
          <w:iCs/>
          <w:sz w:val="22"/>
          <w:szCs w:val="22"/>
        </w:rPr>
        <w:t>Arrests – GOV.UK Ethnicity facts and figures</w:t>
      </w:r>
      <w:r w:rsidRPr="00D25CE8">
        <w:rPr>
          <w:sz w:val="22"/>
          <w:szCs w:val="22"/>
        </w:rPr>
        <w:t xml:space="preserve">, [online] </w:t>
      </w:r>
      <w:hyperlink r:id="rId16" w:anchor="by-ethnicity" w:history="1">
        <w:r w:rsidRPr="00D25CE8">
          <w:rPr>
            <w:rStyle w:val="Hyperlink"/>
            <w:sz w:val="22"/>
            <w:szCs w:val="22"/>
          </w:rPr>
          <w:t>https://www.ethnicity-facts-figures.service.gov.uk/crime-justice-and-the-law/policing/number-of-arrests/latest#by-ethnicity</w:t>
        </w:r>
      </w:hyperlink>
      <w:r w:rsidRPr="00D25CE8">
        <w:rPr>
          <w:sz w:val="22"/>
          <w:szCs w:val="22"/>
        </w:rPr>
        <w:t xml:space="preserve"> (accessed 10 October 2022).</w:t>
      </w:r>
    </w:p>
    <w:p w14:paraId="0B232EC0" w14:textId="77777777" w:rsidR="00D25CE8" w:rsidRPr="00D25CE8" w:rsidRDefault="00D25CE8" w:rsidP="00D25CE8">
      <w:pPr>
        <w:rPr>
          <w:sz w:val="22"/>
          <w:szCs w:val="22"/>
        </w:rPr>
      </w:pPr>
    </w:p>
    <w:p w14:paraId="5FC53CDC" w14:textId="77777777" w:rsidR="00D25CE8" w:rsidRPr="00D25CE8" w:rsidRDefault="00D25CE8" w:rsidP="00D25CE8">
      <w:pPr>
        <w:rPr>
          <w:sz w:val="22"/>
          <w:szCs w:val="22"/>
        </w:rPr>
      </w:pPr>
      <w:r w:rsidRPr="00D25CE8">
        <w:rPr>
          <w:sz w:val="22"/>
          <w:szCs w:val="22"/>
        </w:rPr>
        <w:t xml:space="preserve">Gov.UK (2022), </w:t>
      </w:r>
      <w:r w:rsidRPr="00D25CE8">
        <w:rPr>
          <w:i/>
          <w:iCs/>
          <w:sz w:val="22"/>
          <w:szCs w:val="22"/>
        </w:rPr>
        <w:t>Reported road casualties Great Britain, provisional results: 2021</w:t>
      </w:r>
      <w:r w:rsidRPr="00D25CE8">
        <w:rPr>
          <w:sz w:val="22"/>
          <w:szCs w:val="22"/>
        </w:rPr>
        <w:t xml:space="preserve">, [online] </w:t>
      </w:r>
      <w:hyperlink r:id="rId17" w:history="1">
        <w:r w:rsidRPr="00D25CE8">
          <w:rPr>
            <w:rStyle w:val="Hyperlink"/>
            <w:sz w:val="22"/>
            <w:szCs w:val="22"/>
          </w:rPr>
          <w:t>https://www.gov.uk/government/statistics/reported-road-casualties-great-britain-provisional-</w:t>
        </w:r>
        <w:r w:rsidRPr="00D25CE8">
          <w:rPr>
            <w:rStyle w:val="Hyperlink"/>
            <w:sz w:val="22"/>
            <w:szCs w:val="22"/>
          </w:rPr>
          <w:lastRenderedPageBreak/>
          <w:t>results-2021/reported-road-casualties-great-britain-provisional-results-2021</w:t>
        </w:r>
      </w:hyperlink>
      <w:r w:rsidRPr="00D25CE8">
        <w:rPr>
          <w:sz w:val="22"/>
          <w:szCs w:val="22"/>
        </w:rPr>
        <w:t xml:space="preserve"> (accessed 10 October 2022).</w:t>
      </w:r>
    </w:p>
    <w:p w14:paraId="2CBCBE35" w14:textId="77777777" w:rsidR="00D25CE8" w:rsidRPr="00D25CE8" w:rsidRDefault="00D25CE8" w:rsidP="00D25CE8">
      <w:pPr>
        <w:rPr>
          <w:sz w:val="22"/>
          <w:szCs w:val="22"/>
        </w:rPr>
      </w:pPr>
    </w:p>
    <w:p w14:paraId="5FD9BB83" w14:textId="77777777" w:rsidR="00D25CE8" w:rsidRPr="00D25CE8" w:rsidRDefault="00D25CE8" w:rsidP="00D25CE8">
      <w:pPr>
        <w:rPr>
          <w:sz w:val="22"/>
          <w:szCs w:val="22"/>
        </w:rPr>
      </w:pPr>
      <w:r w:rsidRPr="00D25CE8">
        <w:rPr>
          <w:sz w:val="22"/>
          <w:szCs w:val="22"/>
        </w:rPr>
        <w:t xml:space="preserve">Living without abuse (2022), </w:t>
      </w:r>
      <w:r w:rsidRPr="00D25CE8">
        <w:rPr>
          <w:i/>
          <w:iCs/>
          <w:sz w:val="22"/>
          <w:szCs w:val="22"/>
        </w:rPr>
        <w:t>Domestic Abuse Statistics</w:t>
      </w:r>
      <w:r w:rsidRPr="00D25CE8">
        <w:rPr>
          <w:sz w:val="22"/>
          <w:szCs w:val="22"/>
        </w:rPr>
        <w:t xml:space="preserve">, [online] </w:t>
      </w:r>
      <w:hyperlink r:id="rId18" w:history="1">
        <w:r w:rsidRPr="00D25CE8">
          <w:rPr>
            <w:rStyle w:val="Hyperlink"/>
            <w:sz w:val="22"/>
            <w:szCs w:val="22"/>
          </w:rPr>
          <w:t>https://lwa.org.uk/understanding-abuse/statistics/</w:t>
        </w:r>
      </w:hyperlink>
      <w:r w:rsidRPr="00D25CE8">
        <w:rPr>
          <w:sz w:val="22"/>
          <w:szCs w:val="22"/>
        </w:rPr>
        <w:t xml:space="preserve"> (accessed 28 October 2022).</w:t>
      </w:r>
    </w:p>
    <w:p w14:paraId="3EFB7CA3" w14:textId="77777777" w:rsidR="00D25CE8" w:rsidRPr="00D25CE8" w:rsidRDefault="00D25CE8" w:rsidP="00D25CE8">
      <w:pPr>
        <w:rPr>
          <w:sz w:val="22"/>
          <w:szCs w:val="22"/>
        </w:rPr>
      </w:pPr>
    </w:p>
    <w:p w14:paraId="50E95035" w14:textId="77777777" w:rsidR="00D25CE8" w:rsidRPr="00D25CE8" w:rsidRDefault="00D25CE8" w:rsidP="00D25CE8">
      <w:pPr>
        <w:rPr>
          <w:sz w:val="22"/>
          <w:szCs w:val="22"/>
        </w:rPr>
      </w:pPr>
      <w:r w:rsidRPr="00D25CE8">
        <w:rPr>
          <w:sz w:val="22"/>
          <w:szCs w:val="22"/>
        </w:rPr>
        <w:t xml:space="preserve">Pace (2022), </w:t>
      </w:r>
      <w:r w:rsidRPr="00D25CE8">
        <w:rPr>
          <w:i/>
          <w:iCs/>
          <w:sz w:val="22"/>
          <w:szCs w:val="22"/>
        </w:rPr>
        <w:t>Osman warning</w:t>
      </w:r>
      <w:r w:rsidRPr="00D25CE8">
        <w:rPr>
          <w:sz w:val="22"/>
          <w:szCs w:val="22"/>
        </w:rPr>
        <w:t xml:space="preserve">, [online] </w:t>
      </w:r>
      <w:hyperlink r:id="rId19" w:history="1">
        <w:r w:rsidRPr="00D25CE8">
          <w:rPr>
            <w:rStyle w:val="Hyperlink"/>
            <w:sz w:val="22"/>
            <w:szCs w:val="22"/>
          </w:rPr>
          <w:t>https://paceuk.info/criminal-exploitation/osman-warning/</w:t>
        </w:r>
      </w:hyperlink>
      <w:r w:rsidRPr="00D25CE8">
        <w:rPr>
          <w:sz w:val="22"/>
          <w:szCs w:val="22"/>
        </w:rPr>
        <w:t xml:space="preserve"> (accessed 26 October 2022). </w:t>
      </w:r>
    </w:p>
    <w:p w14:paraId="21B6D6AD" w14:textId="77777777" w:rsidR="00D25CE8" w:rsidRPr="00D25CE8" w:rsidRDefault="00D25CE8" w:rsidP="00D25CE8">
      <w:pPr>
        <w:rPr>
          <w:sz w:val="22"/>
          <w:szCs w:val="22"/>
        </w:rPr>
      </w:pPr>
    </w:p>
    <w:p w14:paraId="7E566104" w14:textId="77777777" w:rsidR="00D25CE8" w:rsidRPr="00D25CE8" w:rsidRDefault="00D25CE8" w:rsidP="00D25CE8">
      <w:pPr>
        <w:rPr>
          <w:sz w:val="22"/>
          <w:szCs w:val="22"/>
        </w:rPr>
      </w:pPr>
    </w:p>
    <w:p w14:paraId="52D4E32B" w14:textId="77777777" w:rsidR="00D25CE8" w:rsidRPr="00D25CE8" w:rsidRDefault="00D25CE8" w:rsidP="00D25CE8">
      <w:pPr>
        <w:rPr>
          <w:sz w:val="22"/>
          <w:szCs w:val="22"/>
        </w:rPr>
      </w:pPr>
      <w:r w:rsidRPr="00D25CE8">
        <w:rPr>
          <w:sz w:val="22"/>
          <w:szCs w:val="22"/>
        </w:rPr>
        <w:t xml:space="preserve">Police.UK (2022), </w:t>
      </w:r>
      <w:r w:rsidRPr="00D25CE8">
        <w:rPr>
          <w:i/>
          <w:iCs/>
          <w:sz w:val="22"/>
          <w:szCs w:val="22"/>
        </w:rPr>
        <w:t>Driving under the influence of alcohol or drugs</w:t>
      </w:r>
      <w:r w:rsidRPr="00D25CE8">
        <w:rPr>
          <w:sz w:val="22"/>
          <w:szCs w:val="22"/>
        </w:rPr>
        <w:t xml:space="preserve">, [online] </w:t>
      </w:r>
      <w:hyperlink r:id="rId20" w:history="1">
        <w:r w:rsidRPr="00D25CE8">
          <w:rPr>
            <w:rStyle w:val="Hyperlink"/>
            <w:sz w:val="22"/>
            <w:szCs w:val="22"/>
          </w:rPr>
          <w:t>https://www.police.uk/advice/advice-and-information/rs/road-safety/alcohol-drug-driving/</w:t>
        </w:r>
      </w:hyperlink>
      <w:r w:rsidRPr="00D25CE8">
        <w:rPr>
          <w:sz w:val="22"/>
          <w:szCs w:val="22"/>
        </w:rPr>
        <w:t xml:space="preserve"> (accessed 16 October 2022).</w:t>
      </w:r>
    </w:p>
    <w:p w14:paraId="4C1BC741" w14:textId="77777777" w:rsidR="00D25CE8" w:rsidRPr="00D25CE8" w:rsidRDefault="00D25CE8" w:rsidP="00D25CE8">
      <w:pPr>
        <w:rPr>
          <w:sz w:val="22"/>
          <w:szCs w:val="22"/>
        </w:rPr>
      </w:pPr>
    </w:p>
    <w:p w14:paraId="60B7F243" w14:textId="77777777" w:rsidR="00D25CE8" w:rsidRPr="00D25CE8" w:rsidRDefault="00D25CE8" w:rsidP="00D25CE8">
      <w:pPr>
        <w:rPr>
          <w:sz w:val="22"/>
          <w:szCs w:val="22"/>
        </w:rPr>
      </w:pPr>
      <w:r w:rsidRPr="00D25CE8">
        <w:rPr>
          <w:sz w:val="22"/>
          <w:szCs w:val="22"/>
        </w:rPr>
        <w:t xml:space="preserve">Policy Mogul (2021), </w:t>
      </w:r>
      <w:r w:rsidRPr="00D25CE8">
        <w:rPr>
          <w:i/>
          <w:iCs/>
          <w:sz w:val="22"/>
          <w:szCs w:val="22"/>
        </w:rPr>
        <w:t>ONS Crime stats 2020: Dangerous driving up, but vehicle theft down – AA,</w:t>
      </w:r>
      <w:r w:rsidRPr="00D25CE8">
        <w:rPr>
          <w:sz w:val="22"/>
          <w:szCs w:val="22"/>
        </w:rPr>
        <w:t xml:space="preserve"> [online] </w:t>
      </w:r>
      <w:hyperlink r:id="rId21" w:history="1">
        <w:r w:rsidRPr="00D25CE8">
          <w:rPr>
            <w:rStyle w:val="Hyperlink"/>
            <w:sz w:val="22"/>
            <w:szCs w:val="22"/>
          </w:rPr>
          <w:t>https://policymogul.com/key-updates/16376/ons-crime-stats-2020-dangerous-driving-up-but-vehicle-theft-down-aa</w:t>
        </w:r>
      </w:hyperlink>
      <w:r w:rsidRPr="00D25CE8">
        <w:rPr>
          <w:sz w:val="22"/>
          <w:szCs w:val="22"/>
        </w:rPr>
        <w:t xml:space="preserve"> (accessed 18 October 2022).</w:t>
      </w:r>
    </w:p>
    <w:p w14:paraId="0BD5D287" w14:textId="77777777" w:rsidR="00D25CE8" w:rsidRPr="00D25CE8" w:rsidRDefault="00D25CE8" w:rsidP="00D25CE8">
      <w:pPr>
        <w:rPr>
          <w:sz w:val="22"/>
          <w:szCs w:val="22"/>
        </w:rPr>
      </w:pPr>
    </w:p>
    <w:p w14:paraId="24FA44E2" w14:textId="77777777" w:rsidR="00D25CE8" w:rsidRPr="00D25CE8" w:rsidRDefault="00D25CE8" w:rsidP="00D25CE8">
      <w:pPr>
        <w:rPr>
          <w:sz w:val="22"/>
          <w:szCs w:val="22"/>
        </w:rPr>
      </w:pPr>
      <w:r w:rsidRPr="00D25CE8">
        <w:rPr>
          <w:sz w:val="22"/>
          <w:szCs w:val="22"/>
        </w:rPr>
        <w:t xml:space="preserve">Road Wise (2022), </w:t>
      </w:r>
      <w:r w:rsidRPr="00D25CE8">
        <w:rPr>
          <w:i/>
          <w:iCs/>
          <w:sz w:val="22"/>
          <w:szCs w:val="22"/>
        </w:rPr>
        <w:t>Fatal 5 road safety campaign sees “alarming” results</w:t>
      </w:r>
      <w:r w:rsidRPr="00D25CE8">
        <w:rPr>
          <w:sz w:val="22"/>
          <w:szCs w:val="22"/>
        </w:rPr>
        <w:t xml:space="preserve">, [online] </w:t>
      </w:r>
      <w:hyperlink r:id="rId22" w:history="1">
        <w:r w:rsidRPr="00D25CE8">
          <w:rPr>
            <w:rStyle w:val="Hyperlink"/>
            <w:sz w:val="22"/>
            <w:szCs w:val="22"/>
          </w:rPr>
          <w:t>https://www.roadwise.co.uk/2022/05/26/fatal-5-road-safety-campaign-sees-alarming-results/</w:t>
        </w:r>
      </w:hyperlink>
      <w:r w:rsidRPr="00D25CE8">
        <w:rPr>
          <w:sz w:val="22"/>
          <w:szCs w:val="22"/>
        </w:rPr>
        <w:t xml:space="preserve"> (accessed 21 October 2022).</w:t>
      </w:r>
    </w:p>
    <w:p w14:paraId="303162A7" w14:textId="77777777" w:rsidR="00D25CE8" w:rsidRPr="00D25CE8" w:rsidRDefault="00D25CE8" w:rsidP="00D25CE8">
      <w:pPr>
        <w:rPr>
          <w:sz w:val="22"/>
          <w:szCs w:val="22"/>
        </w:rPr>
      </w:pPr>
    </w:p>
    <w:p w14:paraId="71A25E42" w14:textId="77777777" w:rsidR="00D25CE8" w:rsidRPr="00D25CE8" w:rsidRDefault="00D25CE8" w:rsidP="00D25CE8">
      <w:pPr>
        <w:rPr>
          <w:bCs/>
          <w:sz w:val="22"/>
          <w:szCs w:val="22"/>
        </w:rPr>
      </w:pPr>
      <w:r w:rsidRPr="00D25CE8">
        <w:rPr>
          <w:bCs/>
          <w:sz w:val="22"/>
          <w:szCs w:val="22"/>
        </w:rPr>
        <w:t xml:space="preserve">Robinson, A.L., </w:t>
      </w:r>
      <w:proofErr w:type="spellStart"/>
      <w:r w:rsidRPr="00D25CE8">
        <w:rPr>
          <w:bCs/>
          <w:sz w:val="22"/>
          <w:szCs w:val="22"/>
        </w:rPr>
        <w:t>Myhill</w:t>
      </w:r>
      <w:proofErr w:type="spellEnd"/>
      <w:r w:rsidRPr="00D25CE8">
        <w:rPr>
          <w:bCs/>
          <w:sz w:val="22"/>
          <w:szCs w:val="22"/>
        </w:rPr>
        <w:t>, A., Wire, J., Roberts, J. and Tilley, N., 2016. Risk-led policing of domestic abuse and the DASH risk model. </w:t>
      </w:r>
      <w:r w:rsidRPr="00D25CE8">
        <w:rPr>
          <w:bCs/>
          <w:i/>
          <w:iCs/>
          <w:sz w:val="22"/>
          <w:szCs w:val="22"/>
        </w:rPr>
        <w:t>What Works: Crime Reduction Research. Cardiff &amp; London: Cardiff University, College of Policing and UCL Department of Security and Crime Science</w:t>
      </w:r>
      <w:r w:rsidRPr="00D25CE8">
        <w:rPr>
          <w:bCs/>
          <w:sz w:val="22"/>
          <w:szCs w:val="22"/>
        </w:rPr>
        <w:t>.</w:t>
      </w:r>
    </w:p>
    <w:p w14:paraId="7D06EFA7" w14:textId="77777777" w:rsidR="00D25CE8" w:rsidRPr="00D25CE8" w:rsidRDefault="00D25CE8" w:rsidP="00D25CE8">
      <w:pPr>
        <w:rPr>
          <w:sz w:val="22"/>
          <w:szCs w:val="22"/>
        </w:rPr>
      </w:pPr>
    </w:p>
    <w:p w14:paraId="0E24C63E" w14:textId="77777777" w:rsidR="00D25CE8" w:rsidRPr="00D25CE8" w:rsidRDefault="00D25CE8" w:rsidP="00D25CE8">
      <w:pPr>
        <w:rPr>
          <w:bCs/>
          <w:sz w:val="22"/>
          <w:szCs w:val="22"/>
        </w:rPr>
      </w:pPr>
      <w:r w:rsidRPr="00D25CE8">
        <w:rPr>
          <w:bCs/>
          <w:sz w:val="22"/>
          <w:szCs w:val="22"/>
        </w:rPr>
        <w:t xml:space="preserve">Safer Futures (2022), </w:t>
      </w:r>
      <w:r w:rsidRPr="00D25CE8">
        <w:rPr>
          <w:bCs/>
          <w:i/>
          <w:iCs/>
          <w:sz w:val="22"/>
          <w:szCs w:val="22"/>
        </w:rPr>
        <w:t>Independent Domestic Violence Advisers</w:t>
      </w:r>
      <w:r w:rsidRPr="00D25CE8">
        <w:rPr>
          <w:bCs/>
          <w:sz w:val="22"/>
          <w:szCs w:val="22"/>
        </w:rPr>
        <w:t xml:space="preserve"> (IDVA), [online] </w:t>
      </w:r>
      <w:hyperlink r:id="rId23" w:history="1">
        <w:r w:rsidRPr="00D25CE8">
          <w:rPr>
            <w:rStyle w:val="Hyperlink"/>
            <w:bCs/>
            <w:sz w:val="22"/>
            <w:szCs w:val="22"/>
          </w:rPr>
          <w:t>https://saferfutures.org.uk/our-programmes/idva/</w:t>
        </w:r>
      </w:hyperlink>
      <w:r w:rsidRPr="00D25CE8">
        <w:rPr>
          <w:bCs/>
          <w:sz w:val="22"/>
          <w:szCs w:val="22"/>
        </w:rPr>
        <w:t xml:space="preserve"> (accessed 29 September 2022).</w:t>
      </w:r>
    </w:p>
    <w:p w14:paraId="33D5F3A5" w14:textId="77777777" w:rsidR="00D25CE8" w:rsidRPr="00D25CE8" w:rsidRDefault="00D25CE8" w:rsidP="00D25CE8">
      <w:pPr>
        <w:rPr>
          <w:bCs/>
          <w:sz w:val="22"/>
          <w:szCs w:val="22"/>
        </w:rPr>
      </w:pPr>
    </w:p>
    <w:p w14:paraId="31F0C07B" w14:textId="77777777" w:rsidR="00D25CE8" w:rsidRPr="00D25CE8" w:rsidRDefault="00D25CE8" w:rsidP="00D25CE8">
      <w:pPr>
        <w:rPr>
          <w:sz w:val="22"/>
          <w:szCs w:val="22"/>
        </w:rPr>
      </w:pPr>
      <w:r w:rsidRPr="00D25CE8">
        <w:rPr>
          <w:sz w:val="22"/>
          <w:szCs w:val="22"/>
        </w:rPr>
        <w:t xml:space="preserve">Substance Misuse Resources (2022), </w:t>
      </w:r>
      <w:r w:rsidRPr="00D25CE8">
        <w:rPr>
          <w:i/>
          <w:iCs/>
          <w:sz w:val="22"/>
          <w:szCs w:val="22"/>
        </w:rPr>
        <w:t>Nearly a quarter of all drug driving offender are repeat offenders.</w:t>
      </w:r>
      <w:r w:rsidRPr="00D25CE8">
        <w:rPr>
          <w:sz w:val="22"/>
          <w:szCs w:val="22"/>
        </w:rPr>
        <w:t xml:space="preserve">, [online] </w:t>
      </w:r>
      <w:hyperlink r:id="rId24" w:history="1">
        <w:r w:rsidRPr="00D25CE8">
          <w:rPr>
            <w:rStyle w:val="Hyperlink"/>
            <w:sz w:val="22"/>
            <w:szCs w:val="22"/>
          </w:rPr>
          <w:t>https://www.substancemisuseresources.co.uk/latest/nearly-a-quarter-of-all-drug-driving-offenders-are-repeat-offenders</w:t>
        </w:r>
      </w:hyperlink>
      <w:r w:rsidRPr="00D25CE8">
        <w:rPr>
          <w:sz w:val="22"/>
          <w:szCs w:val="22"/>
        </w:rPr>
        <w:t xml:space="preserve"> (accessed 12 October 2022).</w:t>
      </w:r>
    </w:p>
    <w:p w14:paraId="7C1509B8" w14:textId="77777777" w:rsidR="00D25CE8" w:rsidRPr="00D25CE8" w:rsidRDefault="00D25CE8" w:rsidP="00D25CE8">
      <w:pPr>
        <w:rPr>
          <w:sz w:val="22"/>
          <w:szCs w:val="22"/>
        </w:rPr>
      </w:pPr>
    </w:p>
    <w:p w14:paraId="4E22CC48" w14:textId="77777777" w:rsidR="00D25CE8" w:rsidRPr="00D25CE8" w:rsidRDefault="00D25CE8" w:rsidP="00D25CE8">
      <w:pPr>
        <w:rPr>
          <w:sz w:val="22"/>
          <w:szCs w:val="22"/>
        </w:rPr>
      </w:pPr>
      <w:r w:rsidRPr="00D25CE8">
        <w:rPr>
          <w:sz w:val="22"/>
          <w:szCs w:val="22"/>
        </w:rPr>
        <w:t xml:space="preserve">Travellers Times (2018), </w:t>
      </w:r>
      <w:r w:rsidRPr="00D25CE8">
        <w:rPr>
          <w:i/>
          <w:iCs/>
          <w:sz w:val="22"/>
          <w:szCs w:val="22"/>
        </w:rPr>
        <w:t>Shocking new research shows extent of police discrimination towards Gypsies and Travellers</w:t>
      </w:r>
      <w:r w:rsidRPr="00D25CE8">
        <w:rPr>
          <w:sz w:val="22"/>
          <w:szCs w:val="22"/>
        </w:rPr>
        <w:t xml:space="preserve">, [online], </w:t>
      </w:r>
      <w:hyperlink r:id="rId25" w:history="1">
        <w:r w:rsidRPr="00D25CE8">
          <w:rPr>
            <w:rStyle w:val="Hyperlink"/>
            <w:sz w:val="22"/>
            <w:szCs w:val="22"/>
          </w:rPr>
          <w:t>https://www.travellerstimes.org.uk/news/2018/06/shocking-new-research-shows-extent-police-discrimination-towards-gypsies-and</w:t>
        </w:r>
      </w:hyperlink>
      <w:r w:rsidRPr="00D25CE8">
        <w:rPr>
          <w:sz w:val="22"/>
          <w:szCs w:val="22"/>
        </w:rPr>
        <w:t xml:space="preserve"> (accessed 20 September 2022).</w:t>
      </w:r>
    </w:p>
    <w:p w14:paraId="2803CA7D" w14:textId="77777777" w:rsidR="00D25CE8" w:rsidRPr="00D25CE8" w:rsidRDefault="00D25CE8" w:rsidP="00D25CE8">
      <w:pPr>
        <w:rPr>
          <w:sz w:val="22"/>
          <w:szCs w:val="22"/>
        </w:rPr>
      </w:pPr>
    </w:p>
    <w:p w14:paraId="347BD934" w14:textId="77777777" w:rsidR="00D25CE8" w:rsidRPr="00D25CE8" w:rsidRDefault="00D25CE8" w:rsidP="00D25CE8">
      <w:pPr>
        <w:rPr>
          <w:sz w:val="22"/>
          <w:szCs w:val="22"/>
        </w:rPr>
      </w:pPr>
      <w:r w:rsidRPr="00D25CE8">
        <w:rPr>
          <w:sz w:val="22"/>
          <w:szCs w:val="22"/>
        </w:rPr>
        <w:t xml:space="preserve">UNSW (2020), </w:t>
      </w:r>
      <w:r w:rsidRPr="00D25CE8">
        <w:rPr>
          <w:i/>
          <w:iCs/>
          <w:sz w:val="22"/>
          <w:szCs w:val="22"/>
        </w:rPr>
        <w:t xml:space="preserve">Do harsher punishments deter </w:t>
      </w:r>
      <w:proofErr w:type="gramStart"/>
      <w:r w:rsidRPr="00D25CE8">
        <w:rPr>
          <w:i/>
          <w:iCs/>
          <w:sz w:val="22"/>
          <w:szCs w:val="22"/>
        </w:rPr>
        <w:t>crime?,</w:t>
      </w:r>
      <w:proofErr w:type="gramEnd"/>
      <w:r w:rsidRPr="00D25CE8">
        <w:rPr>
          <w:sz w:val="22"/>
          <w:szCs w:val="22"/>
        </w:rPr>
        <w:t xml:space="preserve"> [online] </w:t>
      </w:r>
      <w:hyperlink r:id="rId26" w:history="1">
        <w:r w:rsidRPr="00D25CE8">
          <w:rPr>
            <w:rStyle w:val="Hyperlink"/>
            <w:sz w:val="22"/>
            <w:szCs w:val="22"/>
          </w:rPr>
          <w:t>https://newsroom.unsw.edu.au/news/business-law/do-harsher-punishments-deter-crime</w:t>
        </w:r>
      </w:hyperlink>
      <w:r w:rsidRPr="00D25CE8">
        <w:rPr>
          <w:sz w:val="22"/>
          <w:szCs w:val="22"/>
        </w:rPr>
        <w:t xml:space="preserve"> (accessed 20 October 2022).</w:t>
      </w:r>
    </w:p>
    <w:p w14:paraId="25B54D1F" w14:textId="3CC7080C" w:rsidR="00D25CE8" w:rsidRDefault="00D25CE8">
      <w:pPr>
        <w:rPr>
          <w:b/>
          <w:bCs/>
        </w:rPr>
      </w:pPr>
    </w:p>
    <w:p w14:paraId="3A8C8FD9" w14:textId="3D77495B" w:rsidR="00D25CE8" w:rsidRDefault="00D25CE8">
      <w:pPr>
        <w:rPr>
          <w:b/>
          <w:bCs/>
        </w:rPr>
      </w:pPr>
    </w:p>
    <w:p w14:paraId="2445F383" w14:textId="2A9BBF0F" w:rsidR="00D25CE8" w:rsidRDefault="00D25CE8">
      <w:pPr>
        <w:rPr>
          <w:b/>
          <w:bCs/>
        </w:rPr>
      </w:pPr>
    </w:p>
    <w:p w14:paraId="1C5CCE2A" w14:textId="77777777" w:rsidR="00D25CE8" w:rsidRDefault="00D25CE8" w:rsidP="00D25CE8">
      <w:r w:rsidRPr="5CE196A1">
        <w:rPr>
          <w:rFonts w:eastAsia="Arial"/>
          <w:b/>
          <w:bCs/>
          <w:color w:val="000000" w:themeColor="text1"/>
          <w:sz w:val="24"/>
          <w:szCs w:val="24"/>
        </w:rPr>
        <w:t xml:space="preserve">Authentication signature: </w:t>
      </w:r>
    </w:p>
    <w:p w14:paraId="2F5DDEA0" w14:textId="77777777" w:rsidR="00D25CE8" w:rsidRDefault="00D25CE8" w:rsidP="00D25CE8">
      <w:r w:rsidRPr="5CE196A1">
        <w:rPr>
          <w:rFonts w:eastAsia="Arial"/>
          <w:b/>
          <w:bCs/>
          <w:color w:val="000000" w:themeColor="text1"/>
          <w:sz w:val="24"/>
          <w:szCs w:val="24"/>
        </w:rPr>
        <w:t xml:space="preserve"> </w:t>
      </w:r>
    </w:p>
    <w:p w14:paraId="3F3270E6" w14:textId="77777777" w:rsidR="00D25CE8" w:rsidRDefault="00D25CE8" w:rsidP="00D25CE8">
      <w:r w:rsidRPr="5CE196A1">
        <w:rPr>
          <w:rFonts w:eastAsia="Arial"/>
          <w:b/>
          <w:bCs/>
          <w:color w:val="000000" w:themeColor="text1"/>
          <w:sz w:val="24"/>
          <w:szCs w:val="24"/>
        </w:rPr>
        <w:t xml:space="preserve">Please sign to confirm that the work submitted is your own and has not been copied from another: </w:t>
      </w:r>
    </w:p>
    <w:p w14:paraId="0D21FA0E" w14:textId="77777777" w:rsidR="00D25CE8" w:rsidRDefault="00D25CE8" w:rsidP="00D25CE8">
      <w:r w:rsidRPr="5CE196A1">
        <w:rPr>
          <w:rFonts w:eastAsia="Arial"/>
          <w:b/>
          <w:bCs/>
          <w:color w:val="000000" w:themeColor="text1"/>
          <w:sz w:val="24"/>
          <w:szCs w:val="24"/>
        </w:rPr>
        <w:t xml:space="preserve"> </w:t>
      </w:r>
    </w:p>
    <w:p w14:paraId="6B829E09" w14:textId="5F576AC5" w:rsidR="00D25CE8" w:rsidRDefault="00D25CE8" w:rsidP="00D25CE8">
      <w:r w:rsidRPr="5CE196A1">
        <w:rPr>
          <w:rFonts w:eastAsia="Arial"/>
          <w:b/>
          <w:bCs/>
          <w:color w:val="000000" w:themeColor="text1"/>
          <w:sz w:val="24"/>
          <w:szCs w:val="24"/>
        </w:rPr>
        <w:t xml:space="preserve">Signed: </w:t>
      </w:r>
      <w:r>
        <w:rPr>
          <w:rFonts w:eastAsia="Arial"/>
          <w:b/>
          <w:bCs/>
          <w:color w:val="000000" w:themeColor="text1"/>
          <w:sz w:val="24"/>
          <w:szCs w:val="24"/>
        </w:rPr>
        <w:t>RJM</w:t>
      </w:r>
    </w:p>
    <w:p w14:paraId="0CF5ACE5" w14:textId="77777777" w:rsidR="00D25CE8" w:rsidRDefault="00D25CE8" w:rsidP="00D25CE8">
      <w:r w:rsidRPr="5CE196A1">
        <w:rPr>
          <w:rFonts w:eastAsia="Arial"/>
          <w:b/>
          <w:bCs/>
          <w:color w:val="000000" w:themeColor="text1"/>
          <w:sz w:val="24"/>
          <w:szCs w:val="24"/>
        </w:rPr>
        <w:t xml:space="preserve"> </w:t>
      </w:r>
    </w:p>
    <w:p w14:paraId="47F676C7" w14:textId="16229B03" w:rsidR="00D25CE8" w:rsidRDefault="00D25CE8" w:rsidP="00D25CE8">
      <w:r w:rsidRPr="5CE196A1">
        <w:rPr>
          <w:rFonts w:eastAsia="Arial"/>
          <w:b/>
          <w:bCs/>
          <w:color w:val="000000" w:themeColor="text1"/>
          <w:sz w:val="24"/>
          <w:szCs w:val="24"/>
        </w:rPr>
        <w:t>Date:</w:t>
      </w:r>
      <w:r>
        <w:rPr>
          <w:rFonts w:eastAsia="Arial"/>
          <w:b/>
          <w:bCs/>
          <w:color w:val="000000" w:themeColor="text1"/>
          <w:sz w:val="24"/>
          <w:szCs w:val="24"/>
        </w:rPr>
        <w:t xml:space="preserve"> 31/10/2022</w:t>
      </w:r>
    </w:p>
    <w:p w14:paraId="33FD6D74" w14:textId="77777777" w:rsidR="00D25CE8" w:rsidRPr="004A5C0E" w:rsidRDefault="00D25CE8">
      <w:pPr>
        <w:rPr>
          <w:b/>
          <w:bCs/>
        </w:rPr>
      </w:pPr>
    </w:p>
    <w:sectPr w:rsidR="00D25CE8" w:rsidRPr="004A5C0E" w:rsidSect="0021195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02743"/>
    <w:multiLevelType w:val="hybridMultilevel"/>
    <w:tmpl w:val="D3E22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4684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685"/>
    <w:rsid w:val="00002675"/>
    <w:rsid w:val="000B4D9B"/>
    <w:rsid w:val="000E7491"/>
    <w:rsid w:val="0015019D"/>
    <w:rsid w:val="00170590"/>
    <w:rsid w:val="00176685"/>
    <w:rsid w:val="0018529F"/>
    <w:rsid w:val="001977F1"/>
    <w:rsid w:val="001B538A"/>
    <w:rsid w:val="001C4562"/>
    <w:rsid w:val="001F7256"/>
    <w:rsid w:val="00211957"/>
    <w:rsid w:val="002A76EE"/>
    <w:rsid w:val="003D65CA"/>
    <w:rsid w:val="0041283C"/>
    <w:rsid w:val="004A5C0E"/>
    <w:rsid w:val="005C38F3"/>
    <w:rsid w:val="005D6955"/>
    <w:rsid w:val="00616065"/>
    <w:rsid w:val="00616D93"/>
    <w:rsid w:val="0065761A"/>
    <w:rsid w:val="00686010"/>
    <w:rsid w:val="006B026F"/>
    <w:rsid w:val="006C5445"/>
    <w:rsid w:val="00753572"/>
    <w:rsid w:val="0075368A"/>
    <w:rsid w:val="007621A2"/>
    <w:rsid w:val="00866134"/>
    <w:rsid w:val="008E7DA8"/>
    <w:rsid w:val="00917A6D"/>
    <w:rsid w:val="009243DF"/>
    <w:rsid w:val="00947C08"/>
    <w:rsid w:val="00956456"/>
    <w:rsid w:val="00967788"/>
    <w:rsid w:val="009C4187"/>
    <w:rsid w:val="00A00C9F"/>
    <w:rsid w:val="00A362EE"/>
    <w:rsid w:val="00A606FA"/>
    <w:rsid w:val="00A66E09"/>
    <w:rsid w:val="00AA151B"/>
    <w:rsid w:val="00AF1861"/>
    <w:rsid w:val="00B206E9"/>
    <w:rsid w:val="00B27D8E"/>
    <w:rsid w:val="00BA7A05"/>
    <w:rsid w:val="00BB1245"/>
    <w:rsid w:val="00BF01B3"/>
    <w:rsid w:val="00C83FA8"/>
    <w:rsid w:val="00CD34CB"/>
    <w:rsid w:val="00D25CE8"/>
    <w:rsid w:val="00DA22A8"/>
    <w:rsid w:val="00DB6D19"/>
    <w:rsid w:val="00DC30D8"/>
    <w:rsid w:val="00E3089A"/>
    <w:rsid w:val="00E53C57"/>
    <w:rsid w:val="00E66363"/>
    <w:rsid w:val="00EE1CF3"/>
    <w:rsid w:val="00EF7C9E"/>
    <w:rsid w:val="00F61582"/>
    <w:rsid w:val="00F83A21"/>
    <w:rsid w:val="00F90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FAE2AB"/>
  <w15:chartTrackingRefBased/>
  <w15:docId w15:val="{411074EE-54B1-7643-8C01-2753B54CA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685"/>
    <w:pPr>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06FA"/>
    <w:pPr>
      <w:ind w:left="720"/>
      <w:contextualSpacing/>
    </w:pPr>
  </w:style>
  <w:style w:type="character" w:styleId="Hyperlink">
    <w:name w:val="Hyperlink"/>
    <w:basedOn w:val="DefaultParagraphFont"/>
    <w:uiPriority w:val="99"/>
    <w:unhideWhenUsed/>
    <w:rsid w:val="00170590"/>
    <w:rPr>
      <w:color w:val="0563C1" w:themeColor="hyperlink"/>
      <w:u w:val="single"/>
    </w:rPr>
  </w:style>
  <w:style w:type="character" w:styleId="UnresolvedMention">
    <w:name w:val="Unresolved Mention"/>
    <w:basedOn w:val="DefaultParagraphFont"/>
    <w:uiPriority w:val="99"/>
    <w:semiHidden/>
    <w:unhideWhenUsed/>
    <w:rsid w:val="001705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national-decision-model/national-decision-model" TargetMode="External"/><Relationship Id="rId13" Type="http://schemas.openxmlformats.org/officeDocument/2006/relationships/hyperlink" Target="https://www.drinkdriving.org/drink_driving_information_uklawhistory.php" TargetMode="External"/><Relationship Id="rId18" Type="http://schemas.openxmlformats.org/officeDocument/2006/relationships/hyperlink" Target="https://lwa.org.uk/understanding-abuse/statistics/" TargetMode="External"/><Relationship Id="rId26" Type="http://schemas.openxmlformats.org/officeDocument/2006/relationships/hyperlink" Target="https://newsroom.unsw.edu.au/news/business-law/do-harsher-punishments-deter-crime" TargetMode="External"/><Relationship Id="rId3" Type="http://schemas.openxmlformats.org/officeDocument/2006/relationships/settings" Target="settings.xml"/><Relationship Id="rId21" Type="http://schemas.openxmlformats.org/officeDocument/2006/relationships/hyperlink" Target="https://policymogul.com/key-updates/16376/ons-crime-stats-2020-dangerous-driving-up-but-vehicle-theft-down-aa" TargetMode="External"/><Relationship Id="rId7" Type="http://schemas.openxmlformats.org/officeDocument/2006/relationships/hyperlink" Target="https://www.college.police.uk/app/critical-incident-management/introduction-and-types-critical-incidents" TargetMode="External"/><Relationship Id="rId12" Type="http://schemas.openxmlformats.org/officeDocument/2006/relationships/hyperlink" Target="https://crimestoppers-uk.org/campaigns-media/campaigns/drug-driving" TargetMode="External"/><Relationship Id="rId17" Type="http://schemas.openxmlformats.org/officeDocument/2006/relationships/hyperlink" Target="https://www.gov.uk/government/statistics/reported-road-casualties-great-britain-provisional-results-2021/reported-road-casualties-great-britain-provisional-results-2021" TargetMode="External"/><Relationship Id="rId25" Type="http://schemas.openxmlformats.org/officeDocument/2006/relationships/hyperlink" Target="https://www.travellerstimes.org.uk/news/2018/06/shocking-new-research-shows-extent-police-discrimination-towards-gypsies-and" TargetMode="External"/><Relationship Id="rId2" Type="http://schemas.openxmlformats.org/officeDocument/2006/relationships/styles" Target="styles.xml"/><Relationship Id="rId16" Type="http://schemas.openxmlformats.org/officeDocument/2006/relationships/hyperlink" Target="https://www.ethnicity-facts-figures.service.gov.uk/crime-justice-and-the-law/policing/number-of-arrests/latest" TargetMode="External"/><Relationship Id="rId20" Type="http://schemas.openxmlformats.org/officeDocument/2006/relationships/hyperlink" Target="https://www.police.uk/advice/advice-and-information/rs/road-safety/alcohol-drug-driving/" TargetMode="External"/><Relationship Id="rId1" Type="http://schemas.openxmlformats.org/officeDocument/2006/relationships/numbering" Target="numbering.xml"/><Relationship Id="rId6" Type="http://schemas.openxmlformats.org/officeDocument/2006/relationships/hyperlink" Target="https://www.bbc.co.uk/news/magazine-29894885" TargetMode="External"/><Relationship Id="rId11" Type="http://schemas.openxmlformats.org/officeDocument/2006/relationships/hyperlink" Target="https://www.cps.gov.uk/legal-guidance/road-traffic-drink-and-drug-driving" TargetMode="External"/><Relationship Id="rId24" Type="http://schemas.openxmlformats.org/officeDocument/2006/relationships/hyperlink" Target="https://www.substancemisuseresources.co.uk/latest/nearly-a-quarter-of-all-drug-driving-offenders-are-repeat-offenders" TargetMode="External"/><Relationship Id="rId5" Type="http://schemas.openxmlformats.org/officeDocument/2006/relationships/hyperlink" Target="https://library.college.police.uk/docs/homeoffice/call_handling_standards.pdf" TargetMode="External"/><Relationship Id="rId15" Type="http://schemas.openxmlformats.org/officeDocument/2006/relationships/hyperlink" Target="https://www.ethnicity-facts-figures.service.gov.uk/crime-justice-and-the-law/crime-and-reoffending/domestic-abuse/latest" TargetMode="External"/><Relationship Id="rId23" Type="http://schemas.openxmlformats.org/officeDocument/2006/relationships/hyperlink" Target="https://saferfutures.org.uk/our-programmes/idva/" TargetMode="External"/><Relationship Id="rId28" Type="http://schemas.openxmlformats.org/officeDocument/2006/relationships/theme" Target="theme/theme1.xml"/><Relationship Id="rId10" Type="http://schemas.openxmlformats.org/officeDocument/2006/relationships/hyperlink" Target="https://assets.college.police.uk/s3fs-public/2021-11/Recognising-responding-vulnerability-related-risks-Evidence-review-part-2.pdf" TargetMode="External"/><Relationship Id="rId19" Type="http://schemas.openxmlformats.org/officeDocument/2006/relationships/hyperlink" Target="https://paceuk.info/criminal-exploitation/osman-warning/" TargetMode="External"/><Relationship Id="rId4" Type="http://schemas.openxmlformats.org/officeDocument/2006/relationships/webSettings" Target="webSettings.xml"/><Relationship Id="rId9" Type="http://schemas.openxmlformats.org/officeDocument/2006/relationships/hyperlink" Target="https://www.college.police.uk/app/major-investigation-and-public-protection/hate-crime/victim-and-witness-care-and-support" TargetMode="External"/><Relationship Id="rId14" Type="http://schemas.openxmlformats.org/officeDocument/2006/relationships/hyperlink" Target="https://www.gov.uk/government/collections/drug-driving" TargetMode="External"/><Relationship Id="rId22" Type="http://schemas.openxmlformats.org/officeDocument/2006/relationships/hyperlink" Target="https://www.roadwise.co.uk/2022/05/26/fatal-5-road-safety-campaign-sees-alarming-resul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4669</Words>
  <Characters>26618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2022-10-31T23:24:00Z</dcterms:created>
  <dcterms:modified xsi:type="dcterms:W3CDTF">2022-10-31T23:26:00Z</dcterms:modified>
</cp:coreProperties>
</file>