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8F688" w14:textId="30BA350C" w:rsidR="00C340F1" w:rsidRPr="00500A97" w:rsidRDefault="00C340F1" w:rsidP="00500A97">
      <w:pPr>
        <w:pStyle w:val="Heading1"/>
        <w:spacing w:line="360" w:lineRule="auto"/>
        <w:jc w:val="both"/>
        <w:rPr>
          <w:rFonts w:ascii="Arial" w:hAnsi="Arial" w:cs="Arial"/>
          <w:color w:val="0D0D0D" w:themeColor="text1" w:themeTint="F2"/>
          <w:sz w:val="22"/>
          <w:szCs w:val="22"/>
        </w:rPr>
      </w:pPr>
    </w:p>
    <w:p w14:paraId="5D42AB99" w14:textId="77777777" w:rsidR="003878B5" w:rsidRPr="00500A97" w:rsidRDefault="003878B5" w:rsidP="00500A97">
      <w:pPr>
        <w:spacing w:line="360" w:lineRule="auto"/>
        <w:jc w:val="center"/>
        <w:rPr>
          <w:rFonts w:ascii="Arial" w:hAnsi="Arial" w:cs="Arial"/>
          <w:color w:val="0D0D0D" w:themeColor="text1" w:themeTint="F2"/>
        </w:rPr>
      </w:pPr>
      <w:r w:rsidRPr="00500A97">
        <w:rPr>
          <w:rFonts w:ascii="Arial" w:hAnsi="Arial" w:cs="Arial"/>
          <w:color w:val="0D0D0D" w:themeColor="text1" w:themeTint="F2"/>
        </w:rPr>
        <w:t>University of Wales Trinity Saint David</w:t>
      </w:r>
    </w:p>
    <w:p w14:paraId="61BDE5BF" w14:textId="77777777" w:rsidR="003878B5" w:rsidRPr="00500A97" w:rsidRDefault="003878B5" w:rsidP="00500A97">
      <w:pPr>
        <w:spacing w:line="360" w:lineRule="auto"/>
        <w:jc w:val="center"/>
        <w:rPr>
          <w:rFonts w:ascii="Arial" w:hAnsi="Arial" w:cs="Arial"/>
          <w:color w:val="0D0D0D" w:themeColor="text1" w:themeTint="F2"/>
        </w:rPr>
      </w:pPr>
    </w:p>
    <w:p w14:paraId="4D23B012" w14:textId="77777777" w:rsidR="003878B5" w:rsidRPr="00500A97" w:rsidRDefault="003878B5" w:rsidP="00500A97">
      <w:pPr>
        <w:spacing w:line="360" w:lineRule="auto"/>
        <w:jc w:val="center"/>
        <w:rPr>
          <w:rFonts w:ascii="Arial" w:hAnsi="Arial" w:cs="Arial"/>
          <w:color w:val="0D0D0D" w:themeColor="text1" w:themeTint="F2"/>
        </w:rPr>
      </w:pPr>
    </w:p>
    <w:p w14:paraId="6D267AA7" w14:textId="77777777" w:rsidR="003878B5" w:rsidRPr="00500A97" w:rsidRDefault="003878B5" w:rsidP="00500A97">
      <w:pPr>
        <w:spacing w:line="360" w:lineRule="auto"/>
        <w:jc w:val="center"/>
        <w:rPr>
          <w:rFonts w:ascii="Arial" w:hAnsi="Arial" w:cs="Arial"/>
          <w:color w:val="0D0D0D" w:themeColor="text1" w:themeTint="F2"/>
        </w:rPr>
      </w:pPr>
    </w:p>
    <w:p w14:paraId="783C49E2" w14:textId="77777777" w:rsidR="003878B5" w:rsidRPr="00500A97" w:rsidRDefault="003878B5" w:rsidP="00500A97">
      <w:pPr>
        <w:spacing w:line="360" w:lineRule="auto"/>
        <w:jc w:val="center"/>
        <w:rPr>
          <w:rFonts w:ascii="Arial" w:hAnsi="Arial" w:cs="Arial"/>
          <w:color w:val="0D0D0D" w:themeColor="text1" w:themeTint="F2"/>
        </w:rPr>
      </w:pPr>
    </w:p>
    <w:p w14:paraId="3BEB4EA0" w14:textId="77777777" w:rsidR="003878B5" w:rsidRPr="00500A97" w:rsidRDefault="003878B5" w:rsidP="00500A97">
      <w:pPr>
        <w:spacing w:line="360" w:lineRule="auto"/>
        <w:jc w:val="center"/>
        <w:rPr>
          <w:rFonts w:ascii="Arial" w:hAnsi="Arial" w:cs="Arial"/>
          <w:color w:val="0D0D0D" w:themeColor="text1" w:themeTint="F2"/>
        </w:rPr>
      </w:pPr>
    </w:p>
    <w:p w14:paraId="4D341CC7" w14:textId="77777777" w:rsidR="003878B5" w:rsidRPr="00500A97" w:rsidRDefault="003878B5" w:rsidP="00500A97">
      <w:pPr>
        <w:spacing w:line="360" w:lineRule="auto"/>
        <w:jc w:val="center"/>
        <w:rPr>
          <w:rFonts w:ascii="Arial" w:hAnsi="Arial" w:cs="Arial"/>
          <w:color w:val="0D0D0D" w:themeColor="text1" w:themeTint="F2"/>
        </w:rPr>
      </w:pPr>
    </w:p>
    <w:p w14:paraId="6340D129" w14:textId="77777777" w:rsidR="003878B5" w:rsidRPr="00500A97" w:rsidRDefault="003878B5" w:rsidP="00500A97">
      <w:pPr>
        <w:spacing w:line="360" w:lineRule="auto"/>
        <w:jc w:val="center"/>
        <w:rPr>
          <w:rFonts w:ascii="Arial" w:hAnsi="Arial" w:cs="Arial"/>
          <w:color w:val="0D0D0D" w:themeColor="text1" w:themeTint="F2"/>
        </w:rPr>
      </w:pPr>
    </w:p>
    <w:p w14:paraId="48A50E0D" w14:textId="77777777" w:rsidR="003878B5" w:rsidRPr="00500A97" w:rsidRDefault="003878B5" w:rsidP="00500A97">
      <w:pPr>
        <w:spacing w:line="360" w:lineRule="auto"/>
        <w:jc w:val="center"/>
        <w:rPr>
          <w:rFonts w:ascii="Arial" w:hAnsi="Arial" w:cs="Arial"/>
          <w:color w:val="0D0D0D" w:themeColor="text1" w:themeTint="F2"/>
        </w:rPr>
      </w:pPr>
    </w:p>
    <w:p w14:paraId="7F18E1BC" w14:textId="77777777" w:rsidR="003878B5" w:rsidRPr="00500A97" w:rsidRDefault="003878B5" w:rsidP="00500A97">
      <w:pPr>
        <w:spacing w:line="360" w:lineRule="auto"/>
        <w:jc w:val="center"/>
        <w:rPr>
          <w:rFonts w:ascii="Arial" w:hAnsi="Arial" w:cs="Arial"/>
          <w:color w:val="0D0D0D" w:themeColor="text1" w:themeTint="F2"/>
        </w:rPr>
      </w:pPr>
      <w:r w:rsidRPr="00500A97">
        <w:rPr>
          <w:rFonts w:ascii="Arial" w:hAnsi="Arial" w:cs="Arial"/>
          <w:color w:val="0D0D0D" w:themeColor="text1" w:themeTint="F2"/>
        </w:rPr>
        <w:t>BA (Honours) Business Management</w:t>
      </w:r>
    </w:p>
    <w:p w14:paraId="7898E167" w14:textId="30ED4925" w:rsidR="003878B5" w:rsidRPr="00500A97" w:rsidRDefault="003878B5" w:rsidP="00500A97">
      <w:pPr>
        <w:spacing w:line="360" w:lineRule="auto"/>
        <w:jc w:val="center"/>
        <w:rPr>
          <w:rFonts w:ascii="Arial" w:hAnsi="Arial" w:cs="Arial"/>
          <w:color w:val="0D0D0D" w:themeColor="text1" w:themeTint="F2"/>
        </w:rPr>
      </w:pPr>
      <w:r w:rsidRPr="00500A97">
        <w:rPr>
          <w:rFonts w:ascii="Arial" w:hAnsi="Arial" w:cs="Arial"/>
          <w:color w:val="0D0D0D" w:themeColor="text1" w:themeTint="F2"/>
        </w:rPr>
        <w:t>People Management (LCBB5004)</w:t>
      </w:r>
    </w:p>
    <w:p w14:paraId="1C0C3337" w14:textId="04E8B6C3" w:rsidR="003878B5" w:rsidRPr="00500A97" w:rsidRDefault="003878B5" w:rsidP="00500A97">
      <w:pPr>
        <w:spacing w:line="360" w:lineRule="auto"/>
        <w:jc w:val="center"/>
        <w:rPr>
          <w:rFonts w:ascii="Arial" w:hAnsi="Arial" w:cs="Arial"/>
          <w:color w:val="0D0D0D" w:themeColor="text1" w:themeTint="F2"/>
        </w:rPr>
      </w:pPr>
      <w:r w:rsidRPr="00500A97">
        <w:rPr>
          <w:rFonts w:ascii="Arial" w:hAnsi="Arial" w:cs="Arial"/>
          <w:color w:val="0D0D0D" w:themeColor="text1" w:themeTint="F2"/>
        </w:rPr>
        <w:t>Lecturer: Samuel Ofori</w:t>
      </w:r>
    </w:p>
    <w:p w14:paraId="1B159621" w14:textId="06FA1CAB" w:rsidR="003878B5" w:rsidRPr="00500A97" w:rsidRDefault="003878B5" w:rsidP="00500A97">
      <w:pPr>
        <w:spacing w:line="360" w:lineRule="auto"/>
        <w:jc w:val="center"/>
        <w:rPr>
          <w:rFonts w:ascii="Arial" w:hAnsi="Arial" w:cs="Arial"/>
          <w:color w:val="0D0D0D" w:themeColor="text1" w:themeTint="F2"/>
        </w:rPr>
      </w:pPr>
      <w:r w:rsidRPr="00500A97">
        <w:rPr>
          <w:rFonts w:ascii="Arial" w:hAnsi="Arial" w:cs="Arial"/>
          <w:color w:val="0D0D0D" w:themeColor="text1" w:themeTint="F2"/>
        </w:rPr>
        <w:t>Assignment Title:  Report</w:t>
      </w:r>
    </w:p>
    <w:p w14:paraId="262D3EF7" w14:textId="77777777" w:rsidR="003878B5" w:rsidRPr="00500A97" w:rsidRDefault="003878B5" w:rsidP="00500A97">
      <w:pPr>
        <w:spacing w:line="360" w:lineRule="auto"/>
        <w:jc w:val="center"/>
        <w:rPr>
          <w:rFonts w:ascii="Arial" w:hAnsi="Arial" w:cs="Arial"/>
          <w:color w:val="0D0D0D" w:themeColor="text1" w:themeTint="F2"/>
        </w:rPr>
      </w:pPr>
    </w:p>
    <w:p w14:paraId="30D54E71" w14:textId="77777777" w:rsidR="003878B5" w:rsidRPr="00500A97" w:rsidRDefault="003878B5" w:rsidP="00500A97">
      <w:pPr>
        <w:spacing w:line="360" w:lineRule="auto"/>
        <w:jc w:val="center"/>
        <w:rPr>
          <w:rFonts w:ascii="Arial" w:hAnsi="Arial" w:cs="Arial"/>
          <w:color w:val="0D0D0D" w:themeColor="text1" w:themeTint="F2"/>
        </w:rPr>
      </w:pPr>
    </w:p>
    <w:p w14:paraId="022F0E2F" w14:textId="77777777" w:rsidR="003878B5" w:rsidRPr="00500A97" w:rsidRDefault="003878B5" w:rsidP="00500A97">
      <w:pPr>
        <w:spacing w:line="360" w:lineRule="auto"/>
        <w:jc w:val="center"/>
        <w:rPr>
          <w:rFonts w:ascii="Arial" w:hAnsi="Arial" w:cs="Arial"/>
          <w:color w:val="0D0D0D" w:themeColor="text1" w:themeTint="F2"/>
        </w:rPr>
      </w:pPr>
    </w:p>
    <w:p w14:paraId="623FDF56" w14:textId="77777777" w:rsidR="003878B5" w:rsidRPr="00500A97" w:rsidRDefault="003878B5" w:rsidP="00500A97">
      <w:pPr>
        <w:spacing w:line="360" w:lineRule="auto"/>
        <w:jc w:val="center"/>
        <w:rPr>
          <w:rFonts w:ascii="Arial" w:hAnsi="Arial" w:cs="Arial"/>
          <w:color w:val="0D0D0D" w:themeColor="text1" w:themeTint="F2"/>
        </w:rPr>
      </w:pPr>
    </w:p>
    <w:p w14:paraId="4767E446" w14:textId="77777777" w:rsidR="003878B5" w:rsidRPr="00500A97" w:rsidRDefault="003878B5" w:rsidP="00500A97">
      <w:pPr>
        <w:spacing w:line="360" w:lineRule="auto"/>
        <w:jc w:val="center"/>
        <w:rPr>
          <w:rFonts w:ascii="Arial" w:hAnsi="Arial" w:cs="Arial"/>
          <w:color w:val="0D0D0D" w:themeColor="text1" w:themeTint="F2"/>
        </w:rPr>
      </w:pPr>
    </w:p>
    <w:p w14:paraId="77AD2FD6" w14:textId="77777777" w:rsidR="003878B5" w:rsidRPr="00500A97" w:rsidRDefault="003878B5" w:rsidP="00500A97">
      <w:pPr>
        <w:spacing w:line="360" w:lineRule="auto"/>
        <w:jc w:val="center"/>
        <w:rPr>
          <w:rFonts w:ascii="Arial" w:hAnsi="Arial" w:cs="Arial"/>
          <w:color w:val="0D0D0D" w:themeColor="text1" w:themeTint="F2"/>
        </w:rPr>
      </w:pPr>
    </w:p>
    <w:p w14:paraId="4A111FD9" w14:textId="77777777" w:rsidR="003878B5" w:rsidRPr="00500A97" w:rsidRDefault="003878B5" w:rsidP="00500A97">
      <w:pPr>
        <w:spacing w:line="360" w:lineRule="auto"/>
        <w:jc w:val="center"/>
        <w:rPr>
          <w:rFonts w:ascii="Arial" w:hAnsi="Arial" w:cs="Arial"/>
          <w:color w:val="0D0D0D" w:themeColor="text1" w:themeTint="F2"/>
        </w:rPr>
      </w:pPr>
    </w:p>
    <w:p w14:paraId="0DFFB275" w14:textId="77777777" w:rsidR="003878B5" w:rsidRPr="00500A97" w:rsidRDefault="003878B5" w:rsidP="00500A97">
      <w:pPr>
        <w:spacing w:line="360" w:lineRule="auto"/>
        <w:jc w:val="center"/>
        <w:rPr>
          <w:rFonts w:ascii="Arial" w:hAnsi="Arial" w:cs="Arial"/>
          <w:color w:val="0D0D0D" w:themeColor="text1" w:themeTint="F2"/>
        </w:rPr>
      </w:pPr>
    </w:p>
    <w:p w14:paraId="719659B8" w14:textId="2FFCEDBE" w:rsidR="003878B5" w:rsidRPr="00500A97" w:rsidRDefault="003878B5" w:rsidP="00500A97">
      <w:pPr>
        <w:spacing w:line="360" w:lineRule="auto"/>
        <w:rPr>
          <w:rFonts w:ascii="Arial" w:hAnsi="Arial" w:cs="Arial"/>
          <w:color w:val="0D0D0D" w:themeColor="text1" w:themeTint="F2"/>
        </w:rPr>
      </w:pPr>
    </w:p>
    <w:p w14:paraId="15395C48" w14:textId="5495E9DB" w:rsidR="003878B5" w:rsidRPr="00500A97" w:rsidRDefault="003878B5" w:rsidP="00500A97">
      <w:pPr>
        <w:spacing w:line="360" w:lineRule="auto"/>
        <w:jc w:val="center"/>
        <w:rPr>
          <w:rFonts w:ascii="Arial" w:hAnsi="Arial" w:cs="Arial"/>
          <w:color w:val="0D0D0D" w:themeColor="text1" w:themeTint="F2"/>
        </w:rPr>
      </w:pPr>
    </w:p>
    <w:p w14:paraId="4E0C4C5F" w14:textId="77777777" w:rsidR="003878B5" w:rsidRPr="00500A97" w:rsidRDefault="003878B5" w:rsidP="00500A97">
      <w:pPr>
        <w:spacing w:line="360" w:lineRule="auto"/>
        <w:jc w:val="center"/>
        <w:rPr>
          <w:rFonts w:ascii="Arial" w:hAnsi="Arial" w:cs="Arial"/>
          <w:color w:val="0D0D0D" w:themeColor="text1" w:themeTint="F2"/>
        </w:rPr>
      </w:pPr>
    </w:p>
    <w:p w14:paraId="4CA7C731" w14:textId="770E5542" w:rsidR="003878B5" w:rsidRPr="00500A97" w:rsidRDefault="003878B5" w:rsidP="00500A97">
      <w:pPr>
        <w:spacing w:line="360" w:lineRule="auto"/>
        <w:jc w:val="center"/>
        <w:rPr>
          <w:rFonts w:ascii="Arial" w:hAnsi="Arial" w:cs="Arial"/>
          <w:color w:val="0D0D0D" w:themeColor="text1" w:themeTint="F2"/>
        </w:rPr>
      </w:pPr>
      <w:r w:rsidRPr="00500A97">
        <w:rPr>
          <w:rFonts w:ascii="Arial" w:hAnsi="Arial" w:cs="Arial"/>
          <w:color w:val="0D0D0D" w:themeColor="text1" w:themeTint="F2"/>
        </w:rPr>
        <w:t>Rodica Cirlan (2123003)</w:t>
      </w:r>
    </w:p>
    <w:sdt>
      <w:sdtPr>
        <w:rPr>
          <w:rFonts w:ascii="Arial" w:eastAsiaTheme="minorHAnsi" w:hAnsi="Arial" w:cs="Arial"/>
          <w:color w:val="0D0D0D" w:themeColor="text1" w:themeTint="F2"/>
          <w:kern w:val="2"/>
          <w:sz w:val="22"/>
          <w:szCs w:val="22"/>
          <w:lang w:val="en-GB"/>
          <w14:ligatures w14:val="standardContextual"/>
        </w:rPr>
        <w:id w:val="-22949921"/>
        <w:docPartObj>
          <w:docPartGallery w:val="Table of Contents"/>
          <w:docPartUnique/>
        </w:docPartObj>
      </w:sdtPr>
      <w:sdtEndPr>
        <w:rPr>
          <w:b/>
          <w:bCs/>
          <w:noProof/>
          <w:color w:val="0D0D0D" w:themeColor="text1" w:themeTint="F2"/>
        </w:rPr>
      </w:sdtEndPr>
      <w:sdtContent>
        <w:p w14:paraId="68E32EB5" w14:textId="11FEA1BC" w:rsidR="003878B5" w:rsidRPr="00500A97" w:rsidRDefault="003878B5" w:rsidP="00500A97">
          <w:pPr>
            <w:pStyle w:val="TOCHeading"/>
            <w:spacing w:line="360" w:lineRule="auto"/>
            <w:jc w:val="both"/>
            <w:rPr>
              <w:rFonts w:ascii="Arial" w:hAnsi="Arial" w:cs="Arial"/>
              <w:color w:val="0D0D0D" w:themeColor="text1" w:themeTint="F2"/>
              <w:sz w:val="22"/>
              <w:szCs w:val="22"/>
            </w:rPr>
          </w:pPr>
          <w:r w:rsidRPr="00500A97">
            <w:rPr>
              <w:rFonts w:ascii="Arial" w:hAnsi="Arial" w:cs="Arial"/>
              <w:color w:val="0D0D0D" w:themeColor="text1" w:themeTint="F2"/>
              <w:sz w:val="22"/>
              <w:szCs w:val="22"/>
            </w:rPr>
            <w:t>Contents</w:t>
          </w:r>
        </w:p>
        <w:p w14:paraId="708F68C2" w14:textId="77777777" w:rsidR="000379FC" w:rsidRPr="00500A97" w:rsidRDefault="000379FC" w:rsidP="00500A97">
          <w:pPr>
            <w:spacing w:line="360" w:lineRule="auto"/>
            <w:jc w:val="both"/>
            <w:rPr>
              <w:rFonts w:ascii="Arial" w:hAnsi="Arial" w:cs="Arial"/>
              <w:color w:val="0D0D0D" w:themeColor="text1" w:themeTint="F2"/>
              <w:lang w:val="en-US"/>
            </w:rPr>
          </w:pPr>
        </w:p>
        <w:p w14:paraId="21AD1952" w14:textId="465C80A2" w:rsidR="003878B5" w:rsidRPr="00500A97" w:rsidRDefault="003878B5" w:rsidP="00500A97">
          <w:pPr>
            <w:pStyle w:val="TOC1"/>
            <w:tabs>
              <w:tab w:val="left" w:pos="440"/>
              <w:tab w:val="right" w:leader="dot" w:pos="9016"/>
            </w:tabs>
            <w:spacing w:line="360" w:lineRule="auto"/>
            <w:jc w:val="both"/>
            <w:rPr>
              <w:rFonts w:ascii="Arial" w:eastAsiaTheme="minorEastAsia" w:hAnsi="Arial" w:cs="Arial"/>
              <w:noProof/>
              <w:color w:val="0D0D0D" w:themeColor="text1" w:themeTint="F2"/>
              <w:kern w:val="0"/>
              <w:lang w:eastAsia="en-GB"/>
              <w14:ligatures w14:val="none"/>
            </w:rPr>
          </w:pPr>
          <w:r w:rsidRPr="00500A97">
            <w:rPr>
              <w:rFonts w:ascii="Arial" w:hAnsi="Arial" w:cs="Arial"/>
              <w:color w:val="0D0D0D" w:themeColor="text1" w:themeTint="F2"/>
            </w:rPr>
            <w:fldChar w:fldCharType="begin"/>
          </w:r>
          <w:r w:rsidRPr="00500A97">
            <w:rPr>
              <w:rFonts w:ascii="Arial" w:hAnsi="Arial" w:cs="Arial"/>
              <w:color w:val="0D0D0D" w:themeColor="text1" w:themeTint="F2"/>
            </w:rPr>
            <w:instrText xml:space="preserve"> TOC \o "1-3" \h \z \u </w:instrText>
          </w:r>
          <w:r w:rsidRPr="00500A97">
            <w:rPr>
              <w:rFonts w:ascii="Arial" w:hAnsi="Arial" w:cs="Arial"/>
              <w:color w:val="0D0D0D" w:themeColor="text1" w:themeTint="F2"/>
            </w:rPr>
            <w:fldChar w:fldCharType="separate"/>
          </w:r>
          <w:hyperlink w:anchor="_Toc130408862" w:history="1">
            <w:r w:rsidRPr="00500A97">
              <w:rPr>
                <w:rStyle w:val="Hyperlink"/>
                <w:rFonts w:ascii="Arial" w:hAnsi="Arial" w:cs="Arial"/>
                <w:noProof/>
                <w:color w:val="0D0D0D" w:themeColor="text1" w:themeTint="F2"/>
              </w:rPr>
              <w:t>1.</w:t>
            </w:r>
            <w:r w:rsidRPr="00500A97">
              <w:rPr>
                <w:rFonts w:ascii="Arial" w:eastAsiaTheme="minorEastAsia" w:hAnsi="Arial" w:cs="Arial"/>
                <w:noProof/>
                <w:color w:val="0D0D0D" w:themeColor="text1" w:themeTint="F2"/>
                <w:kern w:val="0"/>
                <w:lang w:eastAsia="en-GB"/>
                <w14:ligatures w14:val="none"/>
              </w:rPr>
              <w:tab/>
            </w:r>
            <w:r w:rsidRPr="00500A97">
              <w:rPr>
                <w:rStyle w:val="Hyperlink"/>
                <w:rFonts w:ascii="Arial" w:hAnsi="Arial" w:cs="Arial"/>
                <w:noProof/>
                <w:color w:val="0D0D0D" w:themeColor="text1" w:themeTint="F2"/>
              </w:rPr>
              <w:t>Introduction</w:t>
            </w:r>
            <w:r w:rsidRPr="00500A97">
              <w:rPr>
                <w:rFonts w:ascii="Arial" w:hAnsi="Arial" w:cs="Arial"/>
                <w:noProof/>
                <w:webHidden/>
                <w:color w:val="0D0D0D" w:themeColor="text1" w:themeTint="F2"/>
              </w:rPr>
              <w:tab/>
            </w:r>
            <w:r w:rsidRPr="00500A97">
              <w:rPr>
                <w:rFonts w:ascii="Arial" w:hAnsi="Arial" w:cs="Arial"/>
                <w:noProof/>
                <w:webHidden/>
                <w:color w:val="0D0D0D" w:themeColor="text1" w:themeTint="F2"/>
              </w:rPr>
              <w:fldChar w:fldCharType="begin"/>
            </w:r>
            <w:r w:rsidRPr="00500A97">
              <w:rPr>
                <w:rFonts w:ascii="Arial" w:hAnsi="Arial" w:cs="Arial"/>
                <w:noProof/>
                <w:webHidden/>
                <w:color w:val="0D0D0D" w:themeColor="text1" w:themeTint="F2"/>
              </w:rPr>
              <w:instrText xml:space="preserve"> PAGEREF _Toc130408862 \h </w:instrText>
            </w:r>
            <w:r w:rsidRPr="00500A97">
              <w:rPr>
                <w:rFonts w:ascii="Arial" w:hAnsi="Arial" w:cs="Arial"/>
                <w:noProof/>
                <w:webHidden/>
                <w:color w:val="0D0D0D" w:themeColor="text1" w:themeTint="F2"/>
              </w:rPr>
            </w:r>
            <w:r w:rsidRPr="00500A97">
              <w:rPr>
                <w:rFonts w:ascii="Arial" w:hAnsi="Arial" w:cs="Arial"/>
                <w:noProof/>
                <w:webHidden/>
                <w:color w:val="0D0D0D" w:themeColor="text1" w:themeTint="F2"/>
              </w:rPr>
              <w:fldChar w:fldCharType="separate"/>
            </w:r>
            <w:r w:rsidR="00D325BA">
              <w:rPr>
                <w:rFonts w:ascii="Arial" w:hAnsi="Arial" w:cs="Arial"/>
                <w:noProof/>
                <w:webHidden/>
                <w:color w:val="0D0D0D" w:themeColor="text1" w:themeTint="F2"/>
              </w:rPr>
              <w:t>3</w:t>
            </w:r>
            <w:r w:rsidRPr="00500A97">
              <w:rPr>
                <w:rFonts w:ascii="Arial" w:hAnsi="Arial" w:cs="Arial"/>
                <w:noProof/>
                <w:webHidden/>
                <w:color w:val="0D0D0D" w:themeColor="text1" w:themeTint="F2"/>
              </w:rPr>
              <w:fldChar w:fldCharType="end"/>
            </w:r>
          </w:hyperlink>
        </w:p>
        <w:p w14:paraId="08B13243" w14:textId="2351A4A5" w:rsidR="003878B5" w:rsidRPr="00500A97" w:rsidRDefault="00000000" w:rsidP="00500A97">
          <w:pPr>
            <w:pStyle w:val="TOC1"/>
            <w:tabs>
              <w:tab w:val="left" w:pos="440"/>
              <w:tab w:val="right" w:leader="dot" w:pos="9016"/>
            </w:tabs>
            <w:spacing w:line="360" w:lineRule="auto"/>
            <w:jc w:val="both"/>
            <w:rPr>
              <w:rFonts w:ascii="Arial" w:eastAsiaTheme="minorEastAsia" w:hAnsi="Arial" w:cs="Arial"/>
              <w:noProof/>
              <w:color w:val="0D0D0D" w:themeColor="text1" w:themeTint="F2"/>
              <w:kern w:val="0"/>
              <w:lang w:eastAsia="en-GB"/>
              <w14:ligatures w14:val="none"/>
            </w:rPr>
          </w:pPr>
          <w:hyperlink w:anchor="_Toc130408863" w:history="1">
            <w:r w:rsidR="003878B5" w:rsidRPr="00500A97">
              <w:rPr>
                <w:rStyle w:val="Hyperlink"/>
                <w:rFonts w:ascii="Arial" w:hAnsi="Arial" w:cs="Arial"/>
                <w:noProof/>
                <w:color w:val="0D0D0D" w:themeColor="text1" w:themeTint="F2"/>
              </w:rPr>
              <w:t>2.</w:t>
            </w:r>
            <w:r w:rsidR="003878B5" w:rsidRPr="00500A97">
              <w:rPr>
                <w:rFonts w:ascii="Arial" w:eastAsiaTheme="minorEastAsia" w:hAnsi="Arial" w:cs="Arial"/>
                <w:noProof/>
                <w:color w:val="0D0D0D" w:themeColor="text1" w:themeTint="F2"/>
                <w:kern w:val="0"/>
                <w:lang w:eastAsia="en-GB"/>
                <w14:ligatures w14:val="none"/>
              </w:rPr>
              <w:tab/>
            </w:r>
            <w:r w:rsidR="003878B5" w:rsidRPr="00500A97">
              <w:rPr>
                <w:rStyle w:val="Hyperlink"/>
                <w:rFonts w:ascii="Arial" w:hAnsi="Arial" w:cs="Arial"/>
                <w:noProof/>
                <w:color w:val="0D0D0D" w:themeColor="text1" w:themeTint="F2"/>
              </w:rPr>
              <w:t>The benefit of implementing flexible working strategies into the organisation.</w:t>
            </w:r>
            <w:r w:rsidR="003878B5" w:rsidRPr="00500A97">
              <w:rPr>
                <w:rFonts w:ascii="Arial" w:hAnsi="Arial" w:cs="Arial"/>
                <w:noProof/>
                <w:webHidden/>
                <w:color w:val="0D0D0D" w:themeColor="text1" w:themeTint="F2"/>
              </w:rPr>
              <w:tab/>
            </w:r>
            <w:r w:rsidR="003878B5" w:rsidRPr="00500A97">
              <w:rPr>
                <w:rFonts w:ascii="Arial" w:hAnsi="Arial" w:cs="Arial"/>
                <w:noProof/>
                <w:webHidden/>
                <w:color w:val="0D0D0D" w:themeColor="text1" w:themeTint="F2"/>
              </w:rPr>
              <w:fldChar w:fldCharType="begin"/>
            </w:r>
            <w:r w:rsidR="003878B5" w:rsidRPr="00500A97">
              <w:rPr>
                <w:rFonts w:ascii="Arial" w:hAnsi="Arial" w:cs="Arial"/>
                <w:noProof/>
                <w:webHidden/>
                <w:color w:val="0D0D0D" w:themeColor="text1" w:themeTint="F2"/>
              </w:rPr>
              <w:instrText xml:space="preserve"> PAGEREF _Toc130408863 \h </w:instrText>
            </w:r>
            <w:r w:rsidR="003878B5" w:rsidRPr="00500A97">
              <w:rPr>
                <w:rFonts w:ascii="Arial" w:hAnsi="Arial" w:cs="Arial"/>
                <w:noProof/>
                <w:webHidden/>
                <w:color w:val="0D0D0D" w:themeColor="text1" w:themeTint="F2"/>
              </w:rPr>
            </w:r>
            <w:r w:rsidR="003878B5" w:rsidRPr="00500A97">
              <w:rPr>
                <w:rFonts w:ascii="Arial" w:hAnsi="Arial" w:cs="Arial"/>
                <w:noProof/>
                <w:webHidden/>
                <w:color w:val="0D0D0D" w:themeColor="text1" w:themeTint="F2"/>
              </w:rPr>
              <w:fldChar w:fldCharType="separate"/>
            </w:r>
            <w:r w:rsidR="00D325BA">
              <w:rPr>
                <w:rFonts w:ascii="Arial" w:hAnsi="Arial" w:cs="Arial"/>
                <w:noProof/>
                <w:webHidden/>
                <w:color w:val="0D0D0D" w:themeColor="text1" w:themeTint="F2"/>
              </w:rPr>
              <w:t>3</w:t>
            </w:r>
            <w:r w:rsidR="003878B5" w:rsidRPr="00500A97">
              <w:rPr>
                <w:rFonts w:ascii="Arial" w:hAnsi="Arial" w:cs="Arial"/>
                <w:noProof/>
                <w:webHidden/>
                <w:color w:val="0D0D0D" w:themeColor="text1" w:themeTint="F2"/>
              </w:rPr>
              <w:fldChar w:fldCharType="end"/>
            </w:r>
          </w:hyperlink>
        </w:p>
        <w:p w14:paraId="10E1F528" w14:textId="2BD93CC6" w:rsidR="003878B5" w:rsidRPr="00500A97" w:rsidRDefault="00000000" w:rsidP="00500A97">
          <w:pPr>
            <w:pStyle w:val="TOC1"/>
            <w:tabs>
              <w:tab w:val="left" w:pos="440"/>
              <w:tab w:val="right" w:leader="dot" w:pos="9016"/>
            </w:tabs>
            <w:spacing w:line="360" w:lineRule="auto"/>
            <w:jc w:val="both"/>
            <w:rPr>
              <w:rFonts w:ascii="Arial" w:eastAsiaTheme="minorEastAsia" w:hAnsi="Arial" w:cs="Arial"/>
              <w:noProof/>
              <w:color w:val="0D0D0D" w:themeColor="text1" w:themeTint="F2"/>
              <w:kern w:val="0"/>
              <w:lang w:eastAsia="en-GB"/>
              <w14:ligatures w14:val="none"/>
            </w:rPr>
          </w:pPr>
          <w:hyperlink w:anchor="_Toc130408864" w:history="1">
            <w:r w:rsidR="003878B5" w:rsidRPr="00500A97">
              <w:rPr>
                <w:rStyle w:val="Hyperlink"/>
                <w:rFonts w:ascii="Arial" w:hAnsi="Arial" w:cs="Arial"/>
                <w:noProof/>
                <w:color w:val="0D0D0D" w:themeColor="text1" w:themeTint="F2"/>
              </w:rPr>
              <w:t>3.</w:t>
            </w:r>
            <w:r w:rsidR="003878B5" w:rsidRPr="00500A97">
              <w:rPr>
                <w:rFonts w:ascii="Arial" w:eastAsiaTheme="minorEastAsia" w:hAnsi="Arial" w:cs="Arial"/>
                <w:noProof/>
                <w:color w:val="0D0D0D" w:themeColor="text1" w:themeTint="F2"/>
                <w:kern w:val="0"/>
                <w:lang w:eastAsia="en-GB"/>
                <w14:ligatures w14:val="none"/>
              </w:rPr>
              <w:tab/>
            </w:r>
            <w:r w:rsidR="003878B5" w:rsidRPr="00500A97">
              <w:rPr>
                <w:rStyle w:val="Hyperlink"/>
                <w:rFonts w:ascii="Arial" w:hAnsi="Arial" w:cs="Arial"/>
                <w:noProof/>
                <w:color w:val="0D0D0D" w:themeColor="text1" w:themeTint="F2"/>
              </w:rPr>
              <w:t>Factors firms need to consider in implementing flexible working to the employee workforce.</w:t>
            </w:r>
            <w:r w:rsidR="003878B5" w:rsidRPr="00500A97">
              <w:rPr>
                <w:rFonts w:ascii="Arial" w:hAnsi="Arial" w:cs="Arial"/>
                <w:noProof/>
                <w:webHidden/>
                <w:color w:val="0D0D0D" w:themeColor="text1" w:themeTint="F2"/>
              </w:rPr>
              <w:tab/>
            </w:r>
            <w:r w:rsidR="003878B5" w:rsidRPr="00500A97">
              <w:rPr>
                <w:rFonts w:ascii="Arial" w:hAnsi="Arial" w:cs="Arial"/>
                <w:noProof/>
                <w:webHidden/>
                <w:color w:val="0D0D0D" w:themeColor="text1" w:themeTint="F2"/>
              </w:rPr>
              <w:fldChar w:fldCharType="begin"/>
            </w:r>
            <w:r w:rsidR="003878B5" w:rsidRPr="00500A97">
              <w:rPr>
                <w:rFonts w:ascii="Arial" w:hAnsi="Arial" w:cs="Arial"/>
                <w:noProof/>
                <w:webHidden/>
                <w:color w:val="0D0D0D" w:themeColor="text1" w:themeTint="F2"/>
              </w:rPr>
              <w:instrText xml:space="preserve"> PAGEREF _Toc130408864 \h </w:instrText>
            </w:r>
            <w:r w:rsidR="003878B5" w:rsidRPr="00500A97">
              <w:rPr>
                <w:rFonts w:ascii="Arial" w:hAnsi="Arial" w:cs="Arial"/>
                <w:noProof/>
                <w:webHidden/>
                <w:color w:val="0D0D0D" w:themeColor="text1" w:themeTint="F2"/>
              </w:rPr>
            </w:r>
            <w:r w:rsidR="003878B5" w:rsidRPr="00500A97">
              <w:rPr>
                <w:rFonts w:ascii="Arial" w:hAnsi="Arial" w:cs="Arial"/>
                <w:noProof/>
                <w:webHidden/>
                <w:color w:val="0D0D0D" w:themeColor="text1" w:themeTint="F2"/>
              </w:rPr>
              <w:fldChar w:fldCharType="separate"/>
            </w:r>
            <w:r w:rsidR="00D325BA">
              <w:rPr>
                <w:rFonts w:ascii="Arial" w:hAnsi="Arial" w:cs="Arial"/>
                <w:noProof/>
                <w:webHidden/>
                <w:color w:val="0D0D0D" w:themeColor="text1" w:themeTint="F2"/>
              </w:rPr>
              <w:t>5</w:t>
            </w:r>
            <w:r w:rsidR="003878B5" w:rsidRPr="00500A97">
              <w:rPr>
                <w:rFonts w:ascii="Arial" w:hAnsi="Arial" w:cs="Arial"/>
                <w:noProof/>
                <w:webHidden/>
                <w:color w:val="0D0D0D" w:themeColor="text1" w:themeTint="F2"/>
              </w:rPr>
              <w:fldChar w:fldCharType="end"/>
            </w:r>
          </w:hyperlink>
        </w:p>
        <w:p w14:paraId="4786B794" w14:textId="021E2832" w:rsidR="003878B5" w:rsidRPr="00500A97" w:rsidRDefault="00000000" w:rsidP="00500A97">
          <w:pPr>
            <w:pStyle w:val="TOC1"/>
            <w:tabs>
              <w:tab w:val="left" w:pos="440"/>
              <w:tab w:val="right" w:leader="dot" w:pos="9016"/>
            </w:tabs>
            <w:spacing w:line="360" w:lineRule="auto"/>
            <w:jc w:val="both"/>
            <w:rPr>
              <w:rFonts w:ascii="Arial" w:eastAsiaTheme="minorEastAsia" w:hAnsi="Arial" w:cs="Arial"/>
              <w:noProof/>
              <w:color w:val="0D0D0D" w:themeColor="text1" w:themeTint="F2"/>
              <w:kern w:val="0"/>
              <w:lang w:eastAsia="en-GB"/>
              <w14:ligatures w14:val="none"/>
            </w:rPr>
          </w:pPr>
          <w:hyperlink w:anchor="_Toc130408865" w:history="1">
            <w:r w:rsidR="003878B5" w:rsidRPr="00500A97">
              <w:rPr>
                <w:rStyle w:val="Hyperlink"/>
                <w:rFonts w:ascii="Arial" w:hAnsi="Arial" w:cs="Arial"/>
                <w:noProof/>
                <w:color w:val="0D0D0D" w:themeColor="text1" w:themeTint="F2"/>
              </w:rPr>
              <w:t>4.</w:t>
            </w:r>
            <w:r w:rsidR="003878B5" w:rsidRPr="00500A97">
              <w:rPr>
                <w:rFonts w:ascii="Arial" w:eastAsiaTheme="minorEastAsia" w:hAnsi="Arial" w:cs="Arial"/>
                <w:noProof/>
                <w:color w:val="0D0D0D" w:themeColor="text1" w:themeTint="F2"/>
                <w:kern w:val="0"/>
                <w:lang w:eastAsia="en-GB"/>
                <w14:ligatures w14:val="none"/>
              </w:rPr>
              <w:tab/>
            </w:r>
            <w:r w:rsidR="003878B5" w:rsidRPr="00500A97">
              <w:rPr>
                <w:rStyle w:val="Hyperlink"/>
                <w:rFonts w:ascii="Arial" w:hAnsi="Arial" w:cs="Arial"/>
                <w:noProof/>
                <w:color w:val="0D0D0D" w:themeColor="text1" w:themeTint="F2"/>
              </w:rPr>
              <w:t>Evaluation of the strategies promoting employee engagement whilst implementing flexible working.</w:t>
            </w:r>
            <w:r w:rsidR="003878B5" w:rsidRPr="00500A97">
              <w:rPr>
                <w:rFonts w:ascii="Arial" w:hAnsi="Arial" w:cs="Arial"/>
                <w:noProof/>
                <w:webHidden/>
                <w:color w:val="0D0D0D" w:themeColor="text1" w:themeTint="F2"/>
              </w:rPr>
              <w:tab/>
            </w:r>
            <w:r w:rsidR="003878B5" w:rsidRPr="00500A97">
              <w:rPr>
                <w:rFonts w:ascii="Arial" w:hAnsi="Arial" w:cs="Arial"/>
                <w:noProof/>
                <w:webHidden/>
                <w:color w:val="0D0D0D" w:themeColor="text1" w:themeTint="F2"/>
              </w:rPr>
              <w:fldChar w:fldCharType="begin"/>
            </w:r>
            <w:r w:rsidR="003878B5" w:rsidRPr="00500A97">
              <w:rPr>
                <w:rFonts w:ascii="Arial" w:hAnsi="Arial" w:cs="Arial"/>
                <w:noProof/>
                <w:webHidden/>
                <w:color w:val="0D0D0D" w:themeColor="text1" w:themeTint="F2"/>
              </w:rPr>
              <w:instrText xml:space="preserve"> PAGEREF _Toc130408865 \h </w:instrText>
            </w:r>
            <w:r w:rsidR="003878B5" w:rsidRPr="00500A97">
              <w:rPr>
                <w:rFonts w:ascii="Arial" w:hAnsi="Arial" w:cs="Arial"/>
                <w:noProof/>
                <w:webHidden/>
                <w:color w:val="0D0D0D" w:themeColor="text1" w:themeTint="F2"/>
              </w:rPr>
            </w:r>
            <w:r w:rsidR="003878B5" w:rsidRPr="00500A97">
              <w:rPr>
                <w:rFonts w:ascii="Arial" w:hAnsi="Arial" w:cs="Arial"/>
                <w:noProof/>
                <w:webHidden/>
                <w:color w:val="0D0D0D" w:themeColor="text1" w:themeTint="F2"/>
              </w:rPr>
              <w:fldChar w:fldCharType="separate"/>
            </w:r>
            <w:r w:rsidR="00D325BA">
              <w:rPr>
                <w:rFonts w:ascii="Arial" w:hAnsi="Arial" w:cs="Arial"/>
                <w:noProof/>
                <w:webHidden/>
                <w:color w:val="0D0D0D" w:themeColor="text1" w:themeTint="F2"/>
              </w:rPr>
              <w:t>7</w:t>
            </w:r>
            <w:r w:rsidR="003878B5" w:rsidRPr="00500A97">
              <w:rPr>
                <w:rFonts w:ascii="Arial" w:hAnsi="Arial" w:cs="Arial"/>
                <w:noProof/>
                <w:webHidden/>
                <w:color w:val="0D0D0D" w:themeColor="text1" w:themeTint="F2"/>
              </w:rPr>
              <w:fldChar w:fldCharType="end"/>
            </w:r>
          </w:hyperlink>
        </w:p>
        <w:p w14:paraId="163D7D83" w14:textId="389CF67B" w:rsidR="003878B5" w:rsidRPr="00500A97" w:rsidRDefault="00000000" w:rsidP="00500A97">
          <w:pPr>
            <w:pStyle w:val="TOC1"/>
            <w:tabs>
              <w:tab w:val="left" w:pos="440"/>
              <w:tab w:val="right" w:leader="dot" w:pos="9016"/>
            </w:tabs>
            <w:spacing w:line="360" w:lineRule="auto"/>
            <w:jc w:val="both"/>
            <w:rPr>
              <w:rFonts w:ascii="Arial" w:eastAsiaTheme="minorEastAsia" w:hAnsi="Arial" w:cs="Arial"/>
              <w:noProof/>
              <w:color w:val="0D0D0D" w:themeColor="text1" w:themeTint="F2"/>
              <w:kern w:val="0"/>
              <w:lang w:eastAsia="en-GB"/>
              <w14:ligatures w14:val="none"/>
            </w:rPr>
          </w:pPr>
          <w:hyperlink w:anchor="_Toc130408866" w:history="1">
            <w:r w:rsidR="003878B5" w:rsidRPr="00500A97">
              <w:rPr>
                <w:rStyle w:val="Hyperlink"/>
                <w:rFonts w:ascii="Arial" w:hAnsi="Arial" w:cs="Arial"/>
                <w:noProof/>
                <w:color w:val="0D0D0D" w:themeColor="text1" w:themeTint="F2"/>
              </w:rPr>
              <w:t>5.</w:t>
            </w:r>
            <w:r w:rsidR="003878B5" w:rsidRPr="00500A97">
              <w:rPr>
                <w:rFonts w:ascii="Arial" w:eastAsiaTheme="minorEastAsia" w:hAnsi="Arial" w:cs="Arial"/>
                <w:noProof/>
                <w:color w:val="0D0D0D" w:themeColor="text1" w:themeTint="F2"/>
                <w:kern w:val="0"/>
                <w:lang w:eastAsia="en-GB"/>
                <w14:ligatures w14:val="none"/>
              </w:rPr>
              <w:tab/>
            </w:r>
            <w:r w:rsidR="003878B5" w:rsidRPr="00500A97">
              <w:rPr>
                <w:rStyle w:val="Hyperlink"/>
                <w:rFonts w:ascii="Arial" w:hAnsi="Arial" w:cs="Arial"/>
                <w:noProof/>
                <w:color w:val="0D0D0D" w:themeColor="text1" w:themeTint="F2"/>
              </w:rPr>
              <w:t>Description of how the firms can evaluate employee value proposition to implement a pay structure.</w:t>
            </w:r>
            <w:r w:rsidR="003878B5" w:rsidRPr="00500A97">
              <w:rPr>
                <w:rFonts w:ascii="Arial" w:hAnsi="Arial" w:cs="Arial"/>
                <w:noProof/>
                <w:webHidden/>
                <w:color w:val="0D0D0D" w:themeColor="text1" w:themeTint="F2"/>
              </w:rPr>
              <w:tab/>
            </w:r>
            <w:r w:rsidR="003878B5" w:rsidRPr="00500A97">
              <w:rPr>
                <w:rFonts w:ascii="Arial" w:hAnsi="Arial" w:cs="Arial"/>
                <w:noProof/>
                <w:webHidden/>
                <w:color w:val="0D0D0D" w:themeColor="text1" w:themeTint="F2"/>
              </w:rPr>
              <w:fldChar w:fldCharType="begin"/>
            </w:r>
            <w:r w:rsidR="003878B5" w:rsidRPr="00500A97">
              <w:rPr>
                <w:rFonts w:ascii="Arial" w:hAnsi="Arial" w:cs="Arial"/>
                <w:noProof/>
                <w:webHidden/>
                <w:color w:val="0D0D0D" w:themeColor="text1" w:themeTint="F2"/>
              </w:rPr>
              <w:instrText xml:space="preserve"> PAGEREF _Toc130408866 \h </w:instrText>
            </w:r>
            <w:r w:rsidR="003878B5" w:rsidRPr="00500A97">
              <w:rPr>
                <w:rFonts w:ascii="Arial" w:hAnsi="Arial" w:cs="Arial"/>
                <w:noProof/>
                <w:webHidden/>
                <w:color w:val="0D0D0D" w:themeColor="text1" w:themeTint="F2"/>
              </w:rPr>
            </w:r>
            <w:r w:rsidR="003878B5" w:rsidRPr="00500A97">
              <w:rPr>
                <w:rFonts w:ascii="Arial" w:hAnsi="Arial" w:cs="Arial"/>
                <w:noProof/>
                <w:webHidden/>
                <w:color w:val="0D0D0D" w:themeColor="text1" w:themeTint="F2"/>
              </w:rPr>
              <w:fldChar w:fldCharType="separate"/>
            </w:r>
            <w:r w:rsidR="00D325BA">
              <w:rPr>
                <w:rFonts w:ascii="Arial" w:hAnsi="Arial" w:cs="Arial"/>
                <w:noProof/>
                <w:webHidden/>
                <w:color w:val="0D0D0D" w:themeColor="text1" w:themeTint="F2"/>
              </w:rPr>
              <w:t>8</w:t>
            </w:r>
            <w:r w:rsidR="003878B5" w:rsidRPr="00500A97">
              <w:rPr>
                <w:rFonts w:ascii="Arial" w:hAnsi="Arial" w:cs="Arial"/>
                <w:noProof/>
                <w:webHidden/>
                <w:color w:val="0D0D0D" w:themeColor="text1" w:themeTint="F2"/>
              </w:rPr>
              <w:fldChar w:fldCharType="end"/>
            </w:r>
          </w:hyperlink>
        </w:p>
        <w:p w14:paraId="5004CEC6" w14:textId="6C7C4483" w:rsidR="003878B5" w:rsidRPr="00500A97" w:rsidRDefault="00000000" w:rsidP="00500A97">
          <w:pPr>
            <w:pStyle w:val="TOC1"/>
            <w:tabs>
              <w:tab w:val="left" w:pos="440"/>
              <w:tab w:val="right" w:leader="dot" w:pos="9016"/>
            </w:tabs>
            <w:spacing w:line="360" w:lineRule="auto"/>
            <w:jc w:val="both"/>
            <w:rPr>
              <w:rFonts w:ascii="Arial" w:eastAsiaTheme="minorEastAsia" w:hAnsi="Arial" w:cs="Arial"/>
              <w:noProof/>
              <w:color w:val="0D0D0D" w:themeColor="text1" w:themeTint="F2"/>
              <w:kern w:val="0"/>
              <w:lang w:eastAsia="en-GB"/>
              <w14:ligatures w14:val="none"/>
            </w:rPr>
          </w:pPr>
          <w:hyperlink w:anchor="_Toc130408867" w:history="1">
            <w:r w:rsidR="003878B5" w:rsidRPr="00500A97">
              <w:rPr>
                <w:rStyle w:val="Hyperlink"/>
                <w:rFonts w:ascii="Arial" w:hAnsi="Arial" w:cs="Arial"/>
                <w:noProof/>
                <w:color w:val="0D0D0D" w:themeColor="text1" w:themeTint="F2"/>
              </w:rPr>
              <w:t>6.</w:t>
            </w:r>
            <w:r w:rsidR="003878B5" w:rsidRPr="00500A97">
              <w:rPr>
                <w:rFonts w:ascii="Arial" w:eastAsiaTheme="minorEastAsia" w:hAnsi="Arial" w:cs="Arial"/>
                <w:noProof/>
                <w:color w:val="0D0D0D" w:themeColor="text1" w:themeTint="F2"/>
                <w:kern w:val="0"/>
                <w:lang w:eastAsia="en-GB"/>
                <w14:ligatures w14:val="none"/>
              </w:rPr>
              <w:tab/>
            </w:r>
            <w:r w:rsidR="003878B5" w:rsidRPr="00500A97">
              <w:rPr>
                <w:rStyle w:val="Hyperlink"/>
                <w:rFonts w:ascii="Arial" w:hAnsi="Arial" w:cs="Arial"/>
                <w:noProof/>
                <w:color w:val="0D0D0D" w:themeColor="text1" w:themeTint="F2"/>
              </w:rPr>
              <w:t>Conclusion</w:t>
            </w:r>
            <w:r w:rsidR="003878B5" w:rsidRPr="00500A97">
              <w:rPr>
                <w:rFonts w:ascii="Arial" w:hAnsi="Arial" w:cs="Arial"/>
                <w:noProof/>
                <w:webHidden/>
                <w:color w:val="0D0D0D" w:themeColor="text1" w:themeTint="F2"/>
              </w:rPr>
              <w:tab/>
            </w:r>
            <w:r w:rsidR="003878B5" w:rsidRPr="00500A97">
              <w:rPr>
                <w:rFonts w:ascii="Arial" w:hAnsi="Arial" w:cs="Arial"/>
                <w:noProof/>
                <w:webHidden/>
                <w:color w:val="0D0D0D" w:themeColor="text1" w:themeTint="F2"/>
              </w:rPr>
              <w:fldChar w:fldCharType="begin"/>
            </w:r>
            <w:r w:rsidR="003878B5" w:rsidRPr="00500A97">
              <w:rPr>
                <w:rFonts w:ascii="Arial" w:hAnsi="Arial" w:cs="Arial"/>
                <w:noProof/>
                <w:webHidden/>
                <w:color w:val="0D0D0D" w:themeColor="text1" w:themeTint="F2"/>
              </w:rPr>
              <w:instrText xml:space="preserve"> PAGEREF _Toc130408867 \h </w:instrText>
            </w:r>
            <w:r w:rsidR="003878B5" w:rsidRPr="00500A97">
              <w:rPr>
                <w:rFonts w:ascii="Arial" w:hAnsi="Arial" w:cs="Arial"/>
                <w:noProof/>
                <w:webHidden/>
                <w:color w:val="0D0D0D" w:themeColor="text1" w:themeTint="F2"/>
              </w:rPr>
            </w:r>
            <w:r w:rsidR="003878B5" w:rsidRPr="00500A97">
              <w:rPr>
                <w:rFonts w:ascii="Arial" w:hAnsi="Arial" w:cs="Arial"/>
                <w:noProof/>
                <w:webHidden/>
                <w:color w:val="0D0D0D" w:themeColor="text1" w:themeTint="F2"/>
              </w:rPr>
              <w:fldChar w:fldCharType="separate"/>
            </w:r>
            <w:r w:rsidR="00D325BA">
              <w:rPr>
                <w:rFonts w:ascii="Arial" w:hAnsi="Arial" w:cs="Arial"/>
                <w:noProof/>
                <w:webHidden/>
                <w:color w:val="0D0D0D" w:themeColor="text1" w:themeTint="F2"/>
              </w:rPr>
              <w:t>10</w:t>
            </w:r>
            <w:r w:rsidR="003878B5" w:rsidRPr="00500A97">
              <w:rPr>
                <w:rFonts w:ascii="Arial" w:hAnsi="Arial" w:cs="Arial"/>
                <w:noProof/>
                <w:webHidden/>
                <w:color w:val="0D0D0D" w:themeColor="text1" w:themeTint="F2"/>
              </w:rPr>
              <w:fldChar w:fldCharType="end"/>
            </w:r>
          </w:hyperlink>
        </w:p>
        <w:p w14:paraId="637D6702" w14:textId="30B28307" w:rsidR="003878B5" w:rsidRPr="00500A97" w:rsidRDefault="00000000" w:rsidP="00500A97">
          <w:pPr>
            <w:pStyle w:val="TOC1"/>
            <w:tabs>
              <w:tab w:val="left" w:pos="440"/>
              <w:tab w:val="right" w:leader="dot" w:pos="9016"/>
            </w:tabs>
            <w:spacing w:line="360" w:lineRule="auto"/>
            <w:jc w:val="both"/>
            <w:rPr>
              <w:rFonts w:ascii="Arial" w:eastAsiaTheme="minorEastAsia" w:hAnsi="Arial" w:cs="Arial"/>
              <w:noProof/>
              <w:color w:val="0D0D0D" w:themeColor="text1" w:themeTint="F2"/>
              <w:kern w:val="0"/>
              <w:lang w:eastAsia="en-GB"/>
              <w14:ligatures w14:val="none"/>
            </w:rPr>
          </w:pPr>
          <w:hyperlink w:anchor="_Toc130408868" w:history="1">
            <w:r w:rsidR="003878B5" w:rsidRPr="00500A97">
              <w:rPr>
                <w:rStyle w:val="Hyperlink"/>
                <w:rFonts w:ascii="Arial" w:hAnsi="Arial" w:cs="Arial"/>
                <w:noProof/>
                <w:color w:val="0D0D0D" w:themeColor="text1" w:themeTint="F2"/>
              </w:rPr>
              <w:t>7.</w:t>
            </w:r>
            <w:r w:rsidR="003878B5" w:rsidRPr="00500A97">
              <w:rPr>
                <w:rFonts w:ascii="Arial" w:eastAsiaTheme="minorEastAsia" w:hAnsi="Arial" w:cs="Arial"/>
                <w:noProof/>
                <w:color w:val="0D0D0D" w:themeColor="text1" w:themeTint="F2"/>
                <w:kern w:val="0"/>
                <w:lang w:eastAsia="en-GB"/>
                <w14:ligatures w14:val="none"/>
              </w:rPr>
              <w:tab/>
            </w:r>
            <w:r w:rsidR="003878B5" w:rsidRPr="00500A97">
              <w:rPr>
                <w:rStyle w:val="Hyperlink"/>
                <w:rFonts w:ascii="Arial" w:hAnsi="Arial" w:cs="Arial"/>
                <w:noProof/>
                <w:color w:val="0D0D0D" w:themeColor="text1" w:themeTint="F2"/>
              </w:rPr>
              <w:t>References</w:t>
            </w:r>
            <w:r w:rsidR="003878B5" w:rsidRPr="00500A97">
              <w:rPr>
                <w:rFonts w:ascii="Arial" w:hAnsi="Arial" w:cs="Arial"/>
                <w:noProof/>
                <w:webHidden/>
                <w:color w:val="0D0D0D" w:themeColor="text1" w:themeTint="F2"/>
              </w:rPr>
              <w:tab/>
            </w:r>
            <w:r w:rsidR="003878B5" w:rsidRPr="00500A97">
              <w:rPr>
                <w:rFonts w:ascii="Arial" w:hAnsi="Arial" w:cs="Arial"/>
                <w:noProof/>
                <w:webHidden/>
                <w:color w:val="0D0D0D" w:themeColor="text1" w:themeTint="F2"/>
              </w:rPr>
              <w:fldChar w:fldCharType="begin"/>
            </w:r>
            <w:r w:rsidR="003878B5" w:rsidRPr="00500A97">
              <w:rPr>
                <w:rFonts w:ascii="Arial" w:hAnsi="Arial" w:cs="Arial"/>
                <w:noProof/>
                <w:webHidden/>
                <w:color w:val="0D0D0D" w:themeColor="text1" w:themeTint="F2"/>
              </w:rPr>
              <w:instrText xml:space="preserve"> PAGEREF _Toc130408868 \h </w:instrText>
            </w:r>
            <w:r w:rsidR="003878B5" w:rsidRPr="00500A97">
              <w:rPr>
                <w:rFonts w:ascii="Arial" w:hAnsi="Arial" w:cs="Arial"/>
                <w:noProof/>
                <w:webHidden/>
                <w:color w:val="0D0D0D" w:themeColor="text1" w:themeTint="F2"/>
              </w:rPr>
            </w:r>
            <w:r w:rsidR="003878B5" w:rsidRPr="00500A97">
              <w:rPr>
                <w:rFonts w:ascii="Arial" w:hAnsi="Arial" w:cs="Arial"/>
                <w:noProof/>
                <w:webHidden/>
                <w:color w:val="0D0D0D" w:themeColor="text1" w:themeTint="F2"/>
              </w:rPr>
              <w:fldChar w:fldCharType="separate"/>
            </w:r>
            <w:r w:rsidR="00D325BA">
              <w:rPr>
                <w:rFonts w:ascii="Arial" w:hAnsi="Arial" w:cs="Arial"/>
                <w:noProof/>
                <w:webHidden/>
                <w:color w:val="0D0D0D" w:themeColor="text1" w:themeTint="F2"/>
              </w:rPr>
              <w:t>11</w:t>
            </w:r>
            <w:r w:rsidR="003878B5" w:rsidRPr="00500A97">
              <w:rPr>
                <w:rFonts w:ascii="Arial" w:hAnsi="Arial" w:cs="Arial"/>
                <w:noProof/>
                <w:webHidden/>
                <w:color w:val="0D0D0D" w:themeColor="text1" w:themeTint="F2"/>
              </w:rPr>
              <w:fldChar w:fldCharType="end"/>
            </w:r>
          </w:hyperlink>
        </w:p>
        <w:p w14:paraId="6E83CD56" w14:textId="7AF4AF97" w:rsidR="003878B5" w:rsidRPr="00500A97" w:rsidRDefault="003878B5" w:rsidP="00500A97">
          <w:pPr>
            <w:spacing w:line="360" w:lineRule="auto"/>
            <w:jc w:val="both"/>
            <w:rPr>
              <w:rFonts w:ascii="Arial" w:hAnsi="Arial" w:cs="Arial"/>
              <w:color w:val="0D0D0D" w:themeColor="text1" w:themeTint="F2"/>
            </w:rPr>
          </w:pPr>
          <w:r w:rsidRPr="00500A97">
            <w:rPr>
              <w:rFonts w:ascii="Arial" w:hAnsi="Arial" w:cs="Arial"/>
              <w:b/>
              <w:bCs/>
              <w:noProof/>
              <w:color w:val="0D0D0D" w:themeColor="text1" w:themeTint="F2"/>
            </w:rPr>
            <w:fldChar w:fldCharType="end"/>
          </w:r>
        </w:p>
      </w:sdtContent>
    </w:sdt>
    <w:p w14:paraId="7BE9AB07" w14:textId="0A67D98F" w:rsidR="003878B5" w:rsidRPr="00500A97" w:rsidRDefault="003878B5" w:rsidP="00500A97">
      <w:pPr>
        <w:spacing w:line="360" w:lineRule="auto"/>
        <w:jc w:val="both"/>
        <w:rPr>
          <w:rFonts w:ascii="Arial" w:hAnsi="Arial" w:cs="Arial"/>
          <w:color w:val="0D0D0D" w:themeColor="text1" w:themeTint="F2"/>
        </w:rPr>
      </w:pPr>
    </w:p>
    <w:p w14:paraId="4D120ABB" w14:textId="48328239" w:rsidR="003878B5" w:rsidRPr="00500A97" w:rsidRDefault="003878B5" w:rsidP="00500A97">
      <w:pPr>
        <w:spacing w:line="360" w:lineRule="auto"/>
        <w:jc w:val="both"/>
        <w:rPr>
          <w:rFonts w:ascii="Arial" w:hAnsi="Arial" w:cs="Arial"/>
          <w:color w:val="0D0D0D" w:themeColor="text1" w:themeTint="F2"/>
        </w:rPr>
      </w:pPr>
    </w:p>
    <w:p w14:paraId="54BA99D3" w14:textId="374BF790" w:rsidR="003878B5" w:rsidRPr="00500A97" w:rsidRDefault="003878B5" w:rsidP="00500A97">
      <w:pPr>
        <w:spacing w:line="360" w:lineRule="auto"/>
        <w:jc w:val="both"/>
        <w:rPr>
          <w:rFonts w:ascii="Arial" w:hAnsi="Arial" w:cs="Arial"/>
          <w:color w:val="0D0D0D" w:themeColor="text1" w:themeTint="F2"/>
        </w:rPr>
      </w:pPr>
    </w:p>
    <w:p w14:paraId="786512BF" w14:textId="1D53B49C" w:rsidR="003878B5" w:rsidRPr="00500A97" w:rsidRDefault="003878B5" w:rsidP="00500A97">
      <w:pPr>
        <w:spacing w:line="360" w:lineRule="auto"/>
        <w:jc w:val="both"/>
        <w:rPr>
          <w:rFonts w:ascii="Arial" w:hAnsi="Arial" w:cs="Arial"/>
          <w:color w:val="0D0D0D" w:themeColor="text1" w:themeTint="F2"/>
        </w:rPr>
      </w:pPr>
    </w:p>
    <w:p w14:paraId="2F44771A" w14:textId="6186E194" w:rsidR="003878B5" w:rsidRPr="00500A97" w:rsidRDefault="003878B5" w:rsidP="00500A97">
      <w:pPr>
        <w:spacing w:line="360" w:lineRule="auto"/>
        <w:jc w:val="both"/>
        <w:rPr>
          <w:rFonts w:ascii="Arial" w:hAnsi="Arial" w:cs="Arial"/>
          <w:color w:val="0D0D0D" w:themeColor="text1" w:themeTint="F2"/>
        </w:rPr>
      </w:pPr>
    </w:p>
    <w:p w14:paraId="0E88C86E" w14:textId="706724F7" w:rsidR="003878B5" w:rsidRPr="00500A97" w:rsidRDefault="003878B5" w:rsidP="00500A97">
      <w:pPr>
        <w:spacing w:line="360" w:lineRule="auto"/>
        <w:jc w:val="both"/>
        <w:rPr>
          <w:rFonts w:ascii="Arial" w:hAnsi="Arial" w:cs="Arial"/>
          <w:color w:val="0D0D0D" w:themeColor="text1" w:themeTint="F2"/>
        </w:rPr>
      </w:pPr>
    </w:p>
    <w:p w14:paraId="4002160F" w14:textId="310069FB" w:rsidR="003878B5" w:rsidRPr="00500A97" w:rsidRDefault="003878B5" w:rsidP="00500A97">
      <w:pPr>
        <w:spacing w:line="360" w:lineRule="auto"/>
        <w:jc w:val="both"/>
        <w:rPr>
          <w:rFonts w:ascii="Arial" w:hAnsi="Arial" w:cs="Arial"/>
          <w:color w:val="0D0D0D" w:themeColor="text1" w:themeTint="F2"/>
        </w:rPr>
      </w:pPr>
    </w:p>
    <w:p w14:paraId="77EE99FF" w14:textId="1FA3621E" w:rsidR="003878B5" w:rsidRPr="00500A97" w:rsidRDefault="003878B5" w:rsidP="00500A97">
      <w:pPr>
        <w:spacing w:line="360" w:lineRule="auto"/>
        <w:jc w:val="both"/>
        <w:rPr>
          <w:rFonts w:ascii="Arial" w:hAnsi="Arial" w:cs="Arial"/>
          <w:color w:val="0D0D0D" w:themeColor="text1" w:themeTint="F2"/>
        </w:rPr>
      </w:pPr>
    </w:p>
    <w:p w14:paraId="59F7CC86" w14:textId="2967D9E2" w:rsidR="003878B5" w:rsidRPr="00500A97" w:rsidRDefault="003878B5" w:rsidP="00500A97">
      <w:pPr>
        <w:spacing w:line="360" w:lineRule="auto"/>
        <w:jc w:val="both"/>
        <w:rPr>
          <w:rFonts w:ascii="Arial" w:hAnsi="Arial" w:cs="Arial"/>
          <w:color w:val="0D0D0D" w:themeColor="text1" w:themeTint="F2"/>
        </w:rPr>
      </w:pPr>
    </w:p>
    <w:p w14:paraId="101E77D0" w14:textId="5974EB33" w:rsidR="003878B5" w:rsidRPr="00500A97" w:rsidRDefault="003878B5" w:rsidP="00500A97">
      <w:pPr>
        <w:spacing w:line="360" w:lineRule="auto"/>
        <w:jc w:val="both"/>
        <w:rPr>
          <w:rFonts w:ascii="Arial" w:hAnsi="Arial" w:cs="Arial"/>
          <w:color w:val="0D0D0D" w:themeColor="text1" w:themeTint="F2"/>
        </w:rPr>
      </w:pPr>
    </w:p>
    <w:p w14:paraId="756FF856" w14:textId="061E872D" w:rsidR="003878B5" w:rsidRPr="00500A97" w:rsidRDefault="003878B5" w:rsidP="00500A97">
      <w:pPr>
        <w:spacing w:line="360" w:lineRule="auto"/>
        <w:jc w:val="both"/>
        <w:rPr>
          <w:rFonts w:ascii="Arial" w:hAnsi="Arial" w:cs="Arial"/>
          <w:color w:val="0D0D0D" w:themeColor="text1" w:themeTint="F2"/>
        </w:rPr>
      </w:pPr>
    </w:p>
    <w:p w14:paraId="5C348B0F" w14:textId="5D450A3F" w:rsidR="003878B5" w:rsidRPr="00500A97" w:rsidRDefault="003878B5" w:rsidP="00500A97">
      <w:pPr>
        <w:spacing w:line="360" w:lineRule="auto"/>
        <w:jc w:val="both"/>
        <w:rPr>
          <w:rFonts w:ascii="Arial" w:hAnsi="Arial" w:cs="Arial"/>
          <w:color w:val="0D0D0D" w:themeColor="text1" w:themeTint="F2"/>
        </w:rPr>
      </w:pPr>
    </w:p>
    <w:p w14:paraId="3CA6F412" w14:textId="06E5DF2F" w:rsidR="003878B5" w:rsidRPr="00500A97" w:rsidRDefault="003878B5" w:rsidP="00500A97">
      <w:pPr>
        <w:spacing w:line="360" w:lineRule="auto"/>
        <w:jc w:val="both"/>
        <w:rPr>
          <w:rFonts w:ascii="Arial" w:hAnsi="Arial" w:cs="Arial"/>
          <w:color w:val="0D0D0D" w:themeColor="text1" w:themeTint="F2"/>
        </w:rPr>
      </w:pPr>
    </w:p>
    <w:p w14:paraId="7EF57B49" w14:textId="77777777" w:rsidR="003878B5" w:rsidRPr="00500A97" w:rsidRDefault="003878B5" w:rsidP="00500A97">
      <w:pPr>
        <w:spacing w:line="360" w:lineRule="auto"/>
        <w:jc w:val="both"/>
        <w:rPr>
          <w:rFonts w:ascii="Arial" w:hAnsi="Arial" w:cs="Arial"/>
          <w:color w:val="0D0D0D" w:themeColor="text1" w:themeTint="F2"/>
        </w:rPr>
      </w:pPr>
    </w:p>
    <w:p w14:paraId="016032AA" w14:textId="3E622A14" w:rsidR="00C340F1" w:rsidRPr="00500A97" w:rsidRDefault="00C340F1" w:rsidP="00500A97">
      <w:pPr>
        <w:pStyle w:val="Heading1"/>
        <w:numPr>
          <w:ilvl w:val="0"/>
          <w:numId w:val="5"/>
        </w:numPr>
        <w:spacing w:line="360" w:lineRule="auto"/>
        <w:jc w:val="both"/>
        <w:rPr>
          <w:rFonts w:ascii="Arial" w:hAnsi="Arial" w:cs="Arial"/>
          <w:color w:val="0D0D0D" w:themeColor="text1" w:themeTint="F2"/>
          <w:sz w:val="22"/>
          <w:szCs w:val="22"/>
        </w:rPr>
      </w:pPr>
      <w:bookmarkStart w:id="0" w:name="_Toc130408862"/>
      <w:r w:rsidRPr="00500A97">
        <w:rPr>
          <w:rFonts w:ascii="Arial" w:hAnsi="Arial" w:cs="Arial"/>
          <w:color w:val="0D0D0D" w:themeColor="text1" w:themeTint="F2"/>
          <w:sz w:val="22"/>
          <w:szCs w:val="22"/>
        </w:rPr>
        <w:lastRenderedPageBreak/>
        <w:t>Introduction</w:t>
      </w:r>
      <w:bookmarkEnd w:id="0"/>
    </w:p>
    <w:p w14:paraId="7C26245B" w14:textId="77777777" w:rsidR="003878B5" w:rsidRPr="00500A97" w:rsidRDefault="003878B5" w:rsidP="00500A97">
      <w:pPr>
        <w:spacing w:line="360" w:lineRule="auto"/>
        <w:jc w:val="both"/>
        <w:rPr>
          <w:rFonts w:ascii="Arial" w:hAnsi="Arial" w:cs="Arial"/>
          <w:color w:val="0D0D0D" w:themeColor="text1" w:themeTint="F2"/>
        </w:rPr>
      </w:pPr>
    </w:p>
    <w:p w14:paraId="04B0E43D" w14:textId="496D0C30" w:rsidR="00BF4A29" w:rsidRPr="00500A97" w:rsidRDefault="00BF4A29"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 xml:space="preserve">Covid-19 has a profound effect on humankind, altering working choices and lifestyle in general. These developments necessitated businesses' adaptation </w:t>
      </w:r>
      <w:proofErr w:type="gramStart"/>
      <w:r w:rsidRPr="00500A97">
        <w:rPr>
          <w:rFonts w:ascii="Arial" w:hAnsi="Arial" w:cs="Arial"/>
          <w:color w:val="0D0D0D" w:themeColor="text1" w:themeTint="F2"/>
        </w:rPr>
        <w:t>in order to</w:t>
      </w:r>
      <w:proofErr w:type="gramEnd"/>
      <w:r w:rsidRPr="00500A97">
        <w:rPr>
          <w:rFonts w:ascii="Arial" w:hAnsi="Arial" w:cs="Arial"/>
          <w:color w:val="0D0D0D" w:themeColor="text1" w:themeTint="F2"/>
        </w:rPr>
        <w:t xml:space="preserve"> fulfil employee needs. The COVID-19 lockdown has been particularly challenging for the UK's 13 million working parents. When schools and childcare centres have closed, one in seven professionals in the United Kingdom has had to modify their work schedules to accommodate </w:t>
      </w:r>
      <w:proofErr w:type="spellStart"/>
      <w:r w:rsidRPr="00500A97">
        <w:rPr>
          <w:rFonts w:ascii="Arial" w:hAnsi="Arial" w:cs="Arial"/>
          <w:color w:val="0D0D0D" w:themeColor="text1" w:themeTint="F2"/>
        </w:rPr>
        <w:t>daycare</w:t>
      </w:r>
      <w:proofErr w:type="spellEnd"/>
      <w:r w:rsidRPr="00500A97">
        <w:rPr>
          <w:rFonts w:ascii="Arial" w:hAnsi="Arial" w:cs="Arial"/>
          <w:color w:val="0D0D0D" w:themeColor="text1" w:themeTint="F2"/>
        </w:rPr>
        <w:t xml:space="preserve"> and, sometimes, </w:t>
      </w:r>
      <w:r w:rsidR="00500A97" w:rsidRPr="00500A97">
        <w:rPr>
          <w:rFonts w:ascii="Arial" w:hAnsi="Arial" w:cs="Arial"/>
          <w:color w:val="0D0D0D" w:themeColor="text1" w:themeTint="F2"/>
        </w:rPr>
        <w:t>home-schooling</w:t>
      </w:r>
      <w:r w:rsidRPr="00500A97">
        <w:rPr>
          <w:rFonts w:ascii="Arial" w:hAnsi="Arial" w:cs="Arial"/>
          <w:color w:val="0D0D0D" w:themeColor="text1" w:themeTint="F2"/>
        </w:rPr>
        <w:t xml:space="preserve">. For the individuals who have been capable of working throughout the economic downturn, there has been a significant shift in the way they operate. Half to two-thirds of employees have at some stage worked from home during the lockdown. The COVID-19 epidemic has shown that jobs are far more adaptable than previously believed. After the lockdown was released, </w:t>
      </w:r>
      <w:proofErr w:type="gramStart"/>
      <w:r w:rsidRPr="00500A97">
        <w:rPr>
          <w:rFonts w:ascii="Arial" w:hAnsi="Arial" w:cs="Arial"/>
          <w:color w:val="0D0D0D" w:themeColor="text1" w:themeTint="F2"/>
        </w:rPr>
        <w:t>the majority of</w:t>
      </w:r>
      <w:proofErr w:type="gramEnd"/>
      <w:r w:rsidRPr="00500A97">
        <w:rPr>
          <w:rFonts w:ascii="Arial" w:hAnsi="Arial" w:cs="Arial"/>
          <w:color w:val="0D0D0D" w:themeColor="text1" w:themeTint="F2"/>
        </w:rPr>
        <w:t xml:space="preserve"> workers, particularly parents, did not want their firm to restart regular operations and favoured the extension of flexible work arrangements. Working Families (2023). Flexible working is a method of employment that accommodates the demands of the employee, such as having flexible start and end times, working part-time or compressed hours, or working remotely (Gov. </w:t>
      </w:r>
      <w:proofErr w:type="spellStart"/>
      <w:r w:rsidRPr="00500A97">
        <w:rPr>
          <w:rFonts w:ascii="Arial" w:hAnsi="Arial" w:cs="Arial"/>
          <w:color w:val="0D0D0D" w:themeColor="text1" w:themeTint="F2"/>
        </w:rPr>
        <w:t>uk</w:t>
      </w:r>
      <w:proofErr w:type="spellEnd"/>
      <w:r w:rsidRPr="00500A97">
        <w:rPr>
          <w:rFonts w:ascii="Arial" w:hAnsi="Arial" w:cs="Arial"/>
          <w:color w:val="0D0D0D" w:themeColor="text1" w:themeTint="F2"/>
        </w:rPr>
        <w:t xml:space="preserve">, 2023). </w:t>
      </w:r>
    </w:p>
    <w:p w14:paraId="653785C6" w14:textId="08E99975" w:rsidR="003878B5" w:rsidRPr="00500A97" w:rsidRDefault="00E645EC"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 xml:space="preserve">Therefore, this report will </w:t>
      </w:r>
      <w:r w:rsidR="00801797" w:rsidRPr="00500A97">
        <w:rPr>
          <w:rFonts w:ascii="Arial" w:hAnsi="Arial" w:cs="Arial"/>
          <w:color w:val="0D0D0D" w:themeColor="text1" w:themeTint="F2"/>
        </w:rPr>
        <w:t>cover</w:t>
      </w:r>
      <w:r w:rsidRPr="00500A97">
        <w:rPr>
          <w:rFonts w:ascii="Arial" w:hAnsi="Arial" w:cs="Arial"/>
          <w:color w:val="0D0D0D" w:themeColor="text1" w:themeTint="F2"/>
        </w:rPr>
        <w:t xml:space="preserve"> </w:t>
      </w:r>
      <w:r w:rsidR="00801797" w:rsidRPr="00500A97">
        <w:rPr>
          <w:rFonts w:ascii="Arial" w:hAnsi="Arial" w:cs="Arial"/>
          <w:color w:val="0D0D0D" w:themeColor="text1" w:themeTint="F2"/>
        </w:rPr>
        <w:t xml:space="preserve">an actual topic nowadays. Firstly, the report will discuss </w:t>
      </w:r>
      <w:bookmarkStart w:id="1" w:name="_Hlk130475425"/>
      <w:r w:rsidRPr="00500A97">
        <w:rPr>
          <w:rFonts w:ascii="Arial" w:hAnsi="Arial" w:cs="Arial"/>
          <w:color w:val="0D0D0D" w:themeColor="text1" w:themeTint="F2"/>
        </w:rPr>
        <w:t xml:space="preserve">the advantages of implementing flexible working strategies </w:t>
      </w:r>
      <w:r w:rsidR="0008440F" w:rsidRPr="00500A97">
        <w:rPr>
          <w:rFonts w:ascii="Arial" w:hAnsi="Arial" w:cs="Arial"/>
          <w:color w:val="0D0D0D" w:themeColor="text1" w:themeTint="F2"/>
        </w:rPr>
        <w:t>in</w:t>
      </w:r>
      <w:r w:rsidRPr="00500A97">
        <w:rPr>
          <w:rFonts w:ascii="Arial" w:hAnsi="Arial" w:cs="Arial"/>
          <w:color w:val="0D0D0D" w:themeColor="text1" w:themeTint="F2"/>
        </w:rPr>
        <w:t xml:space="preserve"> the organisation</w:t>
      </w:r>
      <w:bookmarkEnd w:id="1"/>
      <w:r w:rsidRPr="00500A97">
        <w:rPr>
          <w:rFonts w:ascii="Arial" w:hAnsi="Arial" w:cs="Arial"/>
          <w:color w:val="0D0D0D" w:themeColor="text1" w:themeTint="F2"/>
        </w:rPr>
        <w:t xml:space="preserve">, the factors that </w:t>
      </w:r>
      <w:proofErr w:type="gramStart"/>
      <w:r w:rsidRPr="00500A97">
        <w:rPr>
          <w:rFonts w:ascii="Arial" w:hAnsi="Arial" w:cs="Arial"/>
          <w:color w:val="0D0D0D" w:themeColor="text1" w:themeTint="F2"/>
        </w:rPr>
        <w:t>have to</w:t>
      </w:r>
      <w:proofErr w:type="gramEnd"/>
      <w:r w:rsidR="00801797" w:rsidRPr="00500A97">
        <w:rPr>
          <w:rFonts w:ascii="Arial" w:hAnsi="Arial" w:cs="Arial"/>
          <w:color w:val="0D0D0D" w:themeColor="text1" w:themeTint="F2"/>
        </w:rPr>
        <w:t xml:space="preserve"> be</w:t>
      </w:r>
      <w:r w:rsidRPr="00500A97">
        <w:rPr>
          <w:rFonts w:ascii="Arial" w:hAnsi="Arial" w:cs="Arial"/>
          <w:color w:val="0D0D0D" w:themeColor="text1" w:themeTint="F2"/>
        </w:rPr>
        <w:t xml:space="preserve"> taken into account when implementing it, as well as the strategies that promote employee engagement while implementing flexible working will be analysed, and </w:t>
      </w:r>
      <w:r w:rsidR="00801797" w:rsidRPr="00500A97">
        <w:rPr>
          <w:rFonts w:ascii="Arial" w:hAnsi="Arial" w:cs="Arial"/>
          <w:color w:val="0D0D0D" w:themeColor="text1" w:themeTint="F2"/>
        </w:rPr>
        <w:t>s</w:t>
      </w:r>
      <w:r w:rsidRPr="00500A97">
        <w:rPr>
          <w:rFonts w:ascii="Arial" w:hAnsi="Arial" w:cs="Arial"/>
          <w:color w:val="0D0D0D" w:themeColor="text1" w:themeTint="F2"/>
        </w:rPr>
        <w:t xml:space="preserve">trategies for </w:t>
      </w:r>
      <w:r w:rsidR="00801797" w:rsidRPr="00500A97">
        <w:rPr>
          <w:rFonts w:ascii="Arial" w:hAnsi="Arial" w:cs="Arial"/>
          <w:color w:val="0D0D0D" w:themeColor="text1" w:themeTint="F2"/>
        </w:rPr>
        <w:t>evaluating</w:t>
      </w:r>
      <w:r w:rsidRPr="00500A97">
        <w:rPr>
          <w:rFonts w:ascii="Arial" w:hAnsi="Arial" w:cs="Arial"/>
          <w:color w:val="0D0D0D" w:themeColor="text1" w:themeTint="F2"/>
        </w:rPr>
        <w:t xml:space="preserve"> employee value proposition to implement a pay structure.</w:t>
      </w:r>
      <w:r w:rsidR="00B620EB" w:rsidRPr="00500A97">
        <w:rPr>
          <w:rFonts w:ascii="Arial" w:hAnsi="Arial" w:cs="Arial"/>
          <w:color w:val="0D0D0D" w:themeColor="text1" w:themeTint="F2"/>
        </w:rPr>
        <w:t xml:space="preserve"> </w:t>
      </w:r>
    </w:p>
    <w:p w14:paraId="1638B801" w14:textId="369D43B6" w:rsidR="00287441" w:rsidRPr="00500A97" w:rsidRDefault="00C340F1" w:rsidP="00500A97">
      <w:pPr>
        <w:pStyle w:val="Heading1"/>
        <w:numPr>
          <w:ilvl w:val="0"/>
          <w:numId w:val="4"/>
        </w:numPr>
        <w:spacing w:line="360" w:lineRule="auto"/>
        <w:jc w:val="both"/>
        <w:rPr>
          <w:rFonts w:ascii="Arial" w:hAnsi="Arial" w:cs="Arial"/>
          <w:color w:val="0D0D0D" w:themeColor="text1" w:themeTint="F2"/>
          <w:sz w:val="22"/>
          <w:szCs w:val="22"/>
        </w:rPr>
      </w:pPr>
      <w:bookmarkStart w:id="2" w:name="_Toc130408863"/>
      <w:r w:rsidRPr="00500A97">
        <w:rPr>
          <w:rFonts w:ascii="Arial" w:hAnsi="Arial" w:cs="Arial"/>
          <w:color w:val="0D0D0D" w:themeColor="text1" w:themeTint="F2"/>
          <w:sz w:val="22"/>
          <w:szCs w:val="22"/>
        </w:rPr>
        <w:t>The benefit of implementing flexible working strategies into the organisation.</w:t>
      </w:r>
      <w:bookmarkEnd w:id="2"/>
    </w:p>
    <w:p w14:paraId="68F2EF70" w14:textId="569C1E6F" w:rsidR="00ED21A9" w:rsidRPr="00500A97" w:rsidRDefault="00ED21A9" w:rsidP="00500A97">
      <w:pPr>
        <w:spacing w:line="360" w:lineRule="auto"/>
        <w:jc w:val="both"/>
        <w:rPr>
          <w:rFonts w:ascii="Arial" w:hAnsi="Arial" w:cs="Arial"/>
          <w:color w:val="0D0D0D" w:themeColor="text1" w:themeTint="F2"/>
        </w:rPr>
      </w:pPr>
      <w:bookmarkStart w:id="3" w:name="_Hlk130478676"/>
      <w:r w:rsidRPr="00500A97">
        <w:rPr>
          <w:rFonts w:ascii="Arial" w:hAnsi="Arial" w:cs="Arial"/>
          <w:color w:val="0D0D0D" w:themeColor="text1" w:themeTint="F2"/>
        </w:rPr>
        <w:t>Flexible work options benefit businesses. Technology that allows remote work and hot desking saves workplace space. Flexible working also connects company resources with demand, enabling 24/7 customer service. Indirect corporate benefits come from staff happiness and well-being. Flexible workers are more satisfied, dedicated, and eager to work harder than non-flexible workers, as well as, according to the health and well-being at work study, flexible working may cut absence rates and help employees manage disability, long-term health issues, mental health, and stress. As employee expectations change about their employment, careers, and work-life balance, and as demographic trends alter workers' requirements to combine their job with additional duties like parenting or caring for family, flexible working choices may appeal to current and new recruits (CIPD,2022).</w:t>
      </w:r>
    </w:p>
    <w:p w14:paraId="4DE91313" w14:textId="354F5E82" w:rsidR="0008440F" w:rsidRPr="00500A97" w:rsidRDefault="00ED21A9"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Pandemics forced firms to allow staff to work from home. In April 2020, 46.6% of employed people worked from home, and 86.0% did so because of the COVID-19 pandemic, according to the National Office for Statistics. In</w:t>
      </w:r>
      <w:r w:rsidR="0008440F" w:rsidRPr="00500A97">
        <w:rPr>
          <w:rFonts w:ascii="Arial" w:hAnsi="Arial" w:cs="Arial"/>
          <w:color w:val="0D0D0D" w:themeColor="text1" w:themeTint="F2"/>
        </w:rPr>
        <w:t xml:space="preserve"> past years, experts focus on analysing the business's </w:t>
      </w:r>
      <w:r w:rsidR="0008440F" w:rsidRPr="00500A97">
        <w:rPr>
          <w:rFonts w:ascii="Arial" w:hAnsi="Arial" w:cs="Arial"/>
          <w:color w:val="0D0D0D" w:themeColor="text1" w:themeTint="F2"/>
        </w:rPr>
        <w:lastRenderedPageBreak/>
        <w:t>flexibility strategy, flexibility practises, and the effect of flexible employment patterns on the company's performance</w:t>
      </w:r>
      <w:r w:rsidRPr="00500A97">
        <w:rPr>
          <w:rFonts w:ascii="Arial" w:hAnsi="Arial" w:cs="Arial"/>
          <w:color w:val="0D0D0D" w:themeColor="text1" w:themeTint="F2"/>
        </w:rPr>
        <w:t xml:space="preserve"> (Office for National Statistics,2020).</w:t>
      </w:r>
    </w:p>
    <w:bookmarkEnd w:id="3"/>
    <w:p w14:paraId="5247E045" w14:textId="77777777" w:rsidR="0008440F" w:rsidRPr="00500A97" w:rsidRDefault="0008440F" w:rsidP="00500A97">
      <w:pPr>
        <w:pStyle w:val="ListParagraph"/>
        <w:spacing w:line="360" w:lineRule="auto"/>
        <w:jc w:val="center"/>
        <w:rPr>
          <w:rFonts w:ascii="Arial" w:hAnsi="Arial" w:cs="Arial"/>
          <w:color w:val="0D0D0D" w:themeColor="text1" w:themeTint="F2"/>
        </w:rPr>
      </w:pPr>
      <w:r w:rsidRPr="00500A97">
        <w:rPr>
          <w:rFonts w:ascii="Arial" w:hAnsi="Arial" w:cs="Arial"/>
          <w:noProof/>
          <w:color w:val="0D0D0D" w:themeColor="text1" w:themeTint="F2"/>
        </w:rPr>
        <w:drawing>
          <wp:inline distT="0" distB="0" distL="0" distR="0" wp14:anchorId="163E3D40" wp14:editId="063DD259">
            <wp:extent cx="3320955" cy="33147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6837" cy="3330552"/>
                    </a:xfrm>
                    <a:prstGeom prst="rect">
                      <a:avLst/>
                    </a:prstGeom>
                    <a:noFill/>
                    <a:ln>
                      <a:noFill/>
                    </a:ln>
                  </pic:spPr>
                </pic:pic>
              </a:graphicData>
            </a:graphic>
          </wp:inline>
        </w:drawing>
      </w:r>
    </w:p>
    <w:p w14:paraId="1AFB9F85" w14:textId="5634082A" w:rsidR="0008440F" w:rsidRPr="00500A97" w:rsidRDefault="00500A97" w:rsidP="00500A97">
      <w:pPr>
        <w:pStyle w:val="ListParagraph"/>
        <w:spacing w:line="360" w:lineRule="auto"/>
        <w:jc w:val="both"/>
        <w:rPr>
          <w:rFonts w:ascii="Arial" w:hAnsi="Arial" w:cs="Arial"/>
          <w:color w:val="0D0D0D" w:themeColor="text1" w:themeTint="F2"/>
        </w:rPr>
      </w:pPr>
      <w:r>
        <w:rPr>
          <w:rFonts w:ascii="Arial" w:hAnsi="Arial" w:cs="Arial"/>
          <w:color w:val="0D0D0D" w:themeColor="text1" w:themeTint="F2"/>
        </w:rPr>
        <w:t xml:space="preserve">Figure1. </w:t>
      </w:r>
      <w:r w:rsidR="0008440F" w:rsidRPr="00500A97">
        <w:rPr>
          <w:rFonts w:ascii="Arial" w:hAnsi="Arial" w:cs="Arial"/>
          <w:color w:val="0D0D0D" w:themeColor="text1" w:themeTint="F2"/>
        </w:rPr>
        <w:t>Atkinson’s Flexible Firm Model</w:t>
      </w:r>
    </w:p>
    <w:p w14:paraId="30BD1AC8" w14:textId="3760017F" w:rsidR="0008440F" w:rsidRPr="00500A97" w:rsidRDefault="00287441" w:rsidP="00500A97">
      <w:pPr>
        <w:pStyle w:val="ListParagraph"/>
        <w:spacing w:line="360" w:lineRule="auto"/>
        <w:jc w:val="both"/>
        <w:rPr>
          <w:rFonts w:ascii="Arial" w:hAnsi="Arial" w:cs="Arial"/>
          <w:color w:val="0D0D0D" w:themeColor="text1" w:themeTint="F2"/>
        </w:rPr>
      </w:pPr>
      <w:r w:rsidRPr="00500A97">
        <w:rPr>
          <w:rFonts w:ascii="Arial" w:hAnsi="Arial" w:cs="Arial"/>
          <w:color w:val="0D0D0D" w:themeColor="text1" w:themeTint="F2"/>
        </w:rPr>
        <w:t>(</w:t>
      </w:r>
      <w:r w:rsidR="00B322B3" w:rsidRPr="00500A97">
        <w:rPr>
          <w:rFonts w:ascii="Arial" w:hAnsi="Arial" w:cs="Arial"/>
          <w:color w:val="0D0D0D" w:themeColor="text1" w:themeTint="F2"/>
        </w:rPr>
        <w:t>Atkinson,</w:t>
      </w:r>
      <w:r w:rsidRPr="00500A97">
        <w:rPr>
          <w:rFonts w:ascii="Arial" w:hAnsi="Arial" w:cs="Arial"/>
          <w:color w:val="0D0D0D" w:themeColor="text1" w:themeTint="F2"/>
        </w:rPr>
        <w:t xml:space="preserve"> </w:t>
      </w:r>
      <w:r w:rsidR="00B322B3" w:rsidRPr="00500A97">
        <w:rPr>
          <w:rFonts w:ascii="Arial" w:hAnsi="Arial" w:cs="Arial"/>
          <w:color w:val="0D0D0D" w:themeColor="text1" w:themeTint="F2"/>
        </w:rPr>
        <w:t>1984</w:t>
      </w:r>
      <w:r w:rsidRPr="00500A97">
        <w:rPr>
          <w:rFonts w:ascii="Arial" w:hAnsi="Arial" w:cs="Arial"/>
          <w:color w:val="0D0D0D" w:themeColor="text1" w:themeTint="F2"/>
        </w:rPr>
        <w:t>)</w:t>
      </w:r>
    </w:p>
    <w:p w14:paraId="2A191BA9" w14:textId="77777777" w:rsidR="00B322B3" w:rsidRPr="00500A97" w:rsidRDefault="00B322B3" w:rsidP="00500A97">
      <w:pPr>
        <w:pStyle w:val="ListParagraph"/>
        <w:spacing w:line="360" w:lineRule="auto"/>
        <w:jc w:val="both"/>
        <w:rPr>
          <w:rFonts w:ascii="Arial" w:hAnsi="Arial" w:cs="Arial"/>
          <w:color w:val="0D0D0D" w:themeColor="text1" w:themeTint="F2"/>
        </w:rPr>
      </w:pPr>
    </w:p>
    <w:p w14:paraId="3D6ECCE3" w14:textId="7D25F583" w:rsidR="0008440F" w:rsidRPr="00500A97" w:rsidRDefault="00BF4A29"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 xml:space="preserve">Zhao (2020) discusses Atkinson's Flexible Firm Model in the modern environment and shows that Starbucks' human resource allocation technique is based on this traditional framework, which yielded a favourable result. The open talent economy manages talent transparently and quickly. </w:t>
      </w:r>
      <w:r w:rsidR="00500A97" w:rsidRPr="00500A97">
        <w:rPr>
          <w:rFonts w:ascii="Arial" w:hAnsi="Arial" w:cs="Arial"/>
          <w:color w:val="0D0D0D" w:themeColor="text1" w:themeTint="F2"/>
        </w:rPr>
        <w:t>In the open talent economy, "employee" includes subcontractors, freelancers, and outsourced labour, generating a diverse workforce (</w:t>
      </w:r>
      <w:proofErr w:type="spellStart"/>
      <w:r w:rsidR="00500A97" w:rsidRPr="00500A97">
        <w:rPr>
          <w:rFonts w:ascii="Arial" w:hAnsi="Arial" w:cs="Arial"/>
          <w:color w:val="0D0D0D" w:themeColor="text1" w:themeTint="F2"/>
        </w:rPr>
        <w:t>Liakopoulos</w:t>
      </w:r>
      <w:proofErr w:type="spellEnd"/>
      <w:r w:rsidR="00500A97" w:rsidRPr="00500A97">
        <w:rPr>
          <w:rFonts w:ascii="Arial" w:hAnsi="Arial" w:cs="Arial"/>
          <w:color w:val="0D0D0D" w:themeColor="text1" w:themeTint="F2"/>
        </w:rPr>
        <w:t xml:space="preserve"> et al.,2013). According to Barry et al. (2016), temporary, contract, and part-time employees comprise one-third of the worldwide workforce and are expanding. Atkinson's Flexible Firm Model classifies employees as core, first peripheral, and second peripheral (Taylor, 2019).</w:t>
      </w:r>
      <w:r w:rsidR="00500A97" w:rsidRPr="00500A97">
        <w:rPr>
          <w:rFonts w:ascii="Arial" w:hAnsi="Arial" w:cs="Arial"/>
          <w:color w:val="0D0D0D" w:themeColor="text1" w:themeTint="F2"/>
        </w:rPr>
        <w:t xml:space="preserve"> </w:t>
      </w:r>
      <w:r w:rsidR="0008440F" w:rsidRPr="00500A97">
        <w:rPr>
          <w:rFonts w:ascii="Arial" w:hAnsi="Arial" w:cs="Arial"/>
          <w:color w:val="0D0D0D" w:themeColor="text1" w:themeTint="F2"/>
        </w:rPr>
        <w:t xml:space="preserve">The organization's core group consists of its full-time employees. They have high levels of abilities, knowledge, and experience that are often difficult to replace. They are the organization's human resource basis. The first peripheral group consists of the organization's internal personnel, who are often less trained and experienced. The second peripheral category consists of huge numbers of temporary employees, outsourcing, and subcontractors (Taylor, 2019). </w:t>
      </w:r>
      <w:r w:rsidR="00465C6C" w:rsidRPr="00500A97">
        <w:rPr>
          <w:rFonts w:ascii="Arial" w:hAnsi="Arial" w:cs="Arial"/>
          <w:color w:val="0D0D0D" w:themeColor="text1" w:themeTint="F2"/>
        </w:rPr>
        <w:t>Through</w:t>
      </w:r>
      <w:r w:rsidR="0008440F" w:rsidRPr="00500A97">
        <w:rPr>
          <w:rFonts w:ascii="Arial" w:hAnsi="Arial" w:cs="Arial"/>
          <w:color w:val="0D0D0D" w:themeColor="text1" w:themeTint="F2"/>
        </w:rPr>
        <w:t xml:space="preserve"> thorough training, the organisation may develop numerous talents in its core group personnel, allowing them to engage in various jobs.  People may be deployed wherever they are required most</w:t>
      </w:r>
      <w:r w:rsidR="00B322B3" w:rsidRPr="00500A97">
        <w:rPr>
          <w:rFonts w:ascii="Arial" w:hAnsi="Arial" w:cs="Arial"/>
          <w:color w:val="0D0D0D" w:themeColor="text1" w:themeTint="F2"/>
        </w:rPr>
        <w:t xml:space="preserve"> </w:t>
      </w:r>
      <w:r w:rsidR="0008440F" w:rsidRPr="00500A97">
        <w:rPr>
          <w:rFonts w:ascii="Arial" w:hAnsi="Arial" w:cs="Arial"/>
          <w:color w:val="0D0D0D" w:themeColor="text1" w:themeTint="F2"/>
        </w:rPr>
        <w:t>in organisations that employ functional flexibility. The work is more effective and cost-effective. Starbucks' HR approach prioritises training</w:t>
      </w:r>
      <w:r w:rsidR="00465C6C" w:rsidRPr="00500A97">
        <w:rPr>
          <w:rFonts w:ascii="Arial" w:hAnsi="Arial" w:cs="Arial"/>
          <w:color w:val="0D0D0D" w:themeColor="text1" w:themeTint="F2"/>
        </w:rPr>
        <w:t>, their</w:t>
      </w:r>
      <w:r w:rsidR="0008440F" w:rsidRPr="00500A97">
        <w:rPr>
          <w:rFonts w:ascii="Arial" w:hAnsi="Arial" w:cs="Arial"/>
          <w:color w:val="0D0D0D" w:themeColor="text1" w:themeTint="F2"/>
        </w:rPr>
        <w:t xml:space="preserve"> employees must complete 80 </w:t>
      </w:r>
      <w:r w:rsidR="0008440F" w:rsidRPr="00500A97">
        <w:rPr>
          <w:rFonts w:ascii="Arial" w:hAnsi="Arial" w:cs="Arial"/>
          <w:color w:val="0D0D0D" w:themeColor="text1" w:themeTint="F2"/>
        </w:rPr>
        <w:lastRenderedPageBreak/>
        <w:t>hours of training on coffee making, business culture, and interdepartmental communication. Starbucks' human resources department also offers stock ownership, pension plans, and education help to retain key workers.</w:t>
      </w:r>
      <w:r w:rsidR="00B322B3" w:rsidRPr="00500A97">
        <w:rPr>
          <w:rFonts w:ascii="Arial" w:hAnsi="Arial" w:cs="Arial"/>
          <w:color w:val="0D0D0D" w:themeColor="text1" w:themeTint="F2"/>
        </w:rPr>
        <w:t xml:space="preserve"> </w:t>
      </w:r>
      <w:r w:rsidR="00465C6C" w:rsidRPr="00500A97">
        <w:rPr>
          <w:rFonts w:ascii="Arial" w:hAnsi="Arial" w:cs="Arial"/>
          <w:color w:val="0D0D0D" w:themeColor="text1" w:themeTint="F2"/>
        </w:rPr>
        <w:t>They</w:t>
      </w:r>
      <w:r w:rsidR="00B322B3" w:rsidRPr="00500A97">
        <w:rPr>
          <w:rFonts w:ascii="Arial" w:hAnsi="Arial" w:cs="Arial"/>
          <w:color w:val="0D0D0D" w:themeColor="text1" w:themeTint="F2"/>
        </w:rPr>
        <w:t xml:space="preserve"> outsourced their worldwide HR business processes to Convergys in 2007. Starbucks said this enhanced their HR data and payroll management</w:t>
      </w:r>
      <w:r w:rsidR="00465C6C" w:rsidRPr="00500A97">
        <w:rPr>
          <w:rFonts w:ascii="Arial" w:hAnsi="Arial" w:cs="Arial"/>
          <w:color w:val="0D0D0D" w:themeColor="text1" w:themeTint="F2"/>
        </w:rPr>
        <w:t xml:space="preserve">, also they </w:t>
      </w:r>
      <w:r w:rsidR="00B322B3" w:rsidRPr="00500A97">
        <w:rPr>
          <w:rFonts w:ascii="Arial" w:hAnsi="Arial" w:cs="Arial"/>
          <w:color w:val="0D0D0D" w:themeColor="text1" w:themeTint="F2"/>
        </w:rPr>
        <w:t>closed its Seattle contact centre in 2010 and outsourced it to SITEL (Zhao, W., 2020).</w:t>
      </w:r>
    </w:p>
    <w:p w14:paraId="7BE7EAB5" w14:textId="06540DC7" w:rsidR="00FE2461" w:rsidRPr="00500A97" w:rsidRDefault="00B322B3"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 xml:space="preserve">Starbucks also promotes flexible work with its "Career Coffee Break" perk, which gives workers who have worked for the firm for more than 10 years a 12-month holiday. </w:t>
      </w:r>
      <w:r w:rsidR="00465C6C" w:rsidRPr="00500A97">
        <w:rPr>
          <w:rFonts w:ascii="Arial" w:hAnsi="Arial" w:cs="Arial"/>
          <w:color w:val="0D0D0D" w:themeColor="text1" w:themeTint="F2"/>
        </w:rPr>
        <w:t xml:space="preserve">It </w:t>
      </w:r>
      <w:r w:rsidRPr="00500A97">
        <w:rPr>
          <w:rFonts w:ascii="Arial" w:hAnsi="Arial" w:cs="Arial"/>
          <w:color w:val="0D0D0D" w:themeColor="text1" w:themeTint="F2"/>
        </w:rPr>
        <w:t>hires students and housewives part-time and provides flexible employment arrangements. Starbucks is among the world's 20 most flexible firms</w:t>
      </w:r>
      <w:r w:rsidR="00465C6C" w:rsidRPr="00500A97">
        <w:rPr>
          <w:rFonts w:ascii="Arial" w:hAnsi="Arial" w:cs="Arial"/>
          <w:color w:val="0D0D0D" w:themeColor="text1" w:themeTint="F2"/>
        </w:rPr>
        <w:t xml:space="preserve"> and</w:t>
      </w:r>
      <w:r w:rsidRPr="00500A97">
        <w:rPr>
          <w:rFonts w:ascii="Arial" w:hAnsi="Arial" w:cs="Arial"/>
          <w:color w:val="0D0D0D" w:themeColor="text1" w:themeTint="F2"/>
        </w:rPr>
        <w:t xml:space="preserve"> has been named the world's best employer and most attractive business by Aon, </w:t>
      </w:r>
      <w:proofErr w:type="spellStart"/>
      <w:r w:rsidRPr="00500A97">
        <w:rPr>
          <w:rFonts w:ascii="Arial" w:hAnsi="Arial" w:cs="Arial"/>
          <w:color w:val="0D0D0D" w:themeColor="text1" w:themeTint="F2"/>
        </w:rPr>
        <w:t>Universum</w:t>
      </w:r>
      <w:proofErr w:type="spellEnd"/>
      <w:r w:rsidRPr="00500A97">
        <w:rPr>
          <w:rFonts w:ascii="Arial" w:hAnsi="Arial" w:cs="Arial"/>
          <w:color w:val="0D0D0D" w:themeColor="text1" w:themeTint="F2"/>
        </w:rPr>
        <w:t xml:space="preserve">, and LinkedIn, uses Atkinson's Flexible Firm Model in its human resource management. Flexible workforce arrangements and suitable outsourcing may reduce expenses, enhance efficiency, and allow the firm to remain adaptable </w:t>
      </w:r>
      <w:bookmarkStart w:id="4" w:name="_Hlk130380892"/>
      <w:r w:rsidRPr="00500A97">
        <w:rPr>
          <w:rFonts w:ascii="Arial" w:hAnsi="Arial" w:cs="Arial"/>
          <w:color w:val="0D0D0D" w:themeColor="text1" w:themeTint="F2"/>
        </w:rPr>
        <w:t>(Zhao, W., 2020).</w:t>
      </w:r>
      <w:bookmarkEnd w:id="4"/>
    </w:p>
    <w:p w14:paraId="20A5117D" w14:textId="77777777" w:rsidR="003B58D4" w:rsidRPr="00500A97" w:rsidRDefault="003B58D4" w:rsidP="00500A97">
      <w:pPr>
        <w:pStyle w:val="ListParagraph"/>
        <w:spacing w:line="360" w:lineRule="auto"/>
        <w:jc w:val="both"/>
        <w:rPr>
          <w:rFonts w:ascii="Arial" w:hAnsi="Arial" w:cs="Arial"/>
          <w:color w:val="0D0D0D" w:themeColor="text1" w:themeTint="F2"/>
        </w:rPr>
      </w:pPr>
    </w:p>
    <w:p w14:paraId="0727CCDF" w14:textId="03D65EBE" w:rsidR="00C340F1" w:rsidRPr="00500A97" w:rsidRDefault="00C340F1" w:rsidP="00500A97">
      <w:pPr>
        <w:pStyle w:val="Heading1"/>
        <w:numPr>
          <w:ilvl w:val="0"/>
          <w:numId w:val="4"/>
        </w:numPr>
        <w:spacing w:line="360" w:lineRule="auto"/>
        <w:jc w:val="both"/>
        <w:rPr>
          <w:rFonts w:ascii="Arial" w:hAnsi="Arial" w:cs="Arial"/>
          <w:color w:val="0D0D0D" w:themeColor="text1" w:themeTint="F2"/>
          <w:sz w:val="22"/>
          <w:szCs w:val="22"/>
        </w:rPr>
      </w:pPr>
      <w:bookmarkStart w:id="5" w:name="_Hlk130479185"/>
      <w:bookmarkStart w:id="6" w:name="_Toc130408864"/>
      <w:r w:rsidRPr="00500A97">
        <w:rPr>
          <w:rFonts w:ascii="Arial" w:hAnsi="Arial" w:cs="Arial"/>
          <w:color w:val="0D0D0D" w:themeColor="text1" w:themeTint="F2"/>
          <w:sz w:val="22"/>
          <w:szCs w:val="22"/>
        </w:rPr>
        <w:t>Factors firms need to consider in implementing flexible working to the employee workf</w:t>
      </w:r>
      <w:r w:rsidR="007E66C8" w:rsidRPr="00500A97">
        <w:rPr>
          <w:rFonts w:ascii="Arial" w:hAnsi="Arial" w:cs="Arial"/>
          <w:color w:val="0D0D0D" w:themeColor="text1" w:themeTint="F2"/>
          <w:sz w:val="22"/>
          <w:szCs w:val="22"/>
        </w:rPr>
        <w:t>orce</w:t>
      </w:r>
      <w:bookmarkEnd w:id="5"/>
      <w:r w:rsidR="007E66C8" w:rsidRPr="00500A97">
        <w:rPr>
          <w:rFonts w:ascii="Arial" w:hAnsi="Arial" w:cs="Arial"/>
          <w:color w:val="0D0D0D" w:themeColor="text1" w:themeTint="F2"/>
          <w:sz w:val="22"/>
          <w:szCs w:val="22"/>
        </w:rPr>
        <w:t>.</w:t>
      </w:r>
      <w:bookmarkEnd w:id="6"/>
    </w:p>
    <w:p w14:paraId="292B0FA8" w14:textId="0B78CCA6" w:rsidR="005B6FB0" w:rsidRPr="00500A97" w:rsidRDefault="005B6FB0"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 xml:space="preserve">Employers must keep legal responsibilities in mind when implementing flexible working arrangements. Changes to employment legislation in the United Kingdom, for instance, provide workers with 26 weeks or more of continuous service </w:t>
      </w:r>
      <w:r w:rsidR="00465C6C" w:rsidRPr="00500A97">
        <w:rPr>
          <w:rFonts w:ascii="Arial" w:hAnsi="Arial" w:cs="Arial"/>
          <w:color w:val="0D0D0D" w:themeColor="text1" w:themeTint="F2"/>
        </w:rPr>
        <w:t xml:space="preserve">and </w:t>
      </w:r>
      <w:r w:rsidRPr="00500A97">
        <w:rPr>
          <w:rFonts w:ascii="Arial" w:hAnsi="Arial" w:cs="Arial"/>
          <w:color w:val="0D0D0D" w:themeColor="text1" w:themeTint="F2"/>
        </w:rPr>
        <w:t>the right to ask for flexible working and require employers to process such requests in a timely manner</w:t>
      </w:r>
      <w:r w:rsidR="00955738" w:rsidRPr="00500A97">
        <w:rPr>
          <w:rFonts w:ascii="Arial" w:hAnsi="Arial" w:cs="Arial"/>
          <w:color w:val="0D0D0D" w:themeColor="text1" w:themeTint="F2"/>
        </w:rPr>
        <w:t xml:space="preserve"> (ACAS, 2014). </w:t>
      </w:r>
      <w:r w:rsidRPr="00500A97">
        <w:rPr>
          <w:rFonts w:ascii="Arial" w:hAnsi="Arial" w:cs="Arial"/>
          <w:color w:val="0D0D0D" w:themeColor="text1" w:themeTint="F2"/>
        </w:rPr>
        <w:t>Successful flexible working deployments have eased concerns regarding productivity and workforce management losses.</w:t>
      </w:r>
    </w:p>
    <w:p w14:paraId="15A985D2" w14:textId="344FB660" w:rsidR="005B6FB0" w:rsidRPr="00500A97" w:rsidRDefault="005B6FB0"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 xml:space="preserve">Nonetheless, it's crucial to anticipate issues and consider these before implementing flexible working. Chartered Management Institute </w:t>
      </w:r>
      <w:bookmarkStart w:id="7" w:name="_Hlk129948090"/>
      <w:r w:rsidRPr="00500A97">
        <w:rPr>
          <w:rFonts w:ascii="Arial" w:hAnsi="Arial" w:cs="Arial"/>
          <w:color w:val="0D0D0D" w:themeColor="text1" w:themeTint="F2"/>
        </w:rPr>
        <w:t xml:space="preserve">elaborated an action checklist that </w:t>
      </w:r>
      <w:r w:rsidR="00955738" w:rsidRPr="00500A97">
        <w:rPr>
          <w:rFonts w:ascii="Arial" w:hAnsi="Arial" w:cs="Arial"/>
          <w:color w:val="0D0D0D" w:themeColor="text1" w:themeTint="F2"/>
        </w:rPr>
        <w:t xml:space="preserve">helps to ease the process of flexible working implementation. </w:t>
      </w:r>
    </w:p>
    <w:p w14:paraId="38ECC366" w14:textId="5DB30D2E" w:rsidR="005B725B" w:rsidRPr="00500A97" w:rsidRDefault="005B725B" w:rsidP="00500A97">
      <w:pPr>
        <w:pStyle w:val="ListParagraph"/>
        <w:numPr>
          <w:ilvl w:val="0"/>
          <w:numId w:val="3"/>
        </w:numPr>
        <w:spacing w:line="360" w:lineRule="auto"/>
        <w:ind w:left="1080"/>
        <w:jc w:val="both"/>
        <w:rPr>
          <w:rFonts w:ascii="Arial" w:hAnsi="Arial" w:cs="Arial"/>
          <w:color w:val="0D0D0D" w:themeColor="text1" w:themeTint="F2"/>
        </w:rPr>
      </w:pPr>
      <w:r w:rsidRPr="00500A97">
        <w:rPr>
          <w:rFonts w:ascii="Arial" w:hAnsi="Arial" w:cs="Arial"/>
          <w:color w:val="0D0D0D" w:themeColor="text1" w:themeTint="F2"/>
        </w:rPr>
        <w:t>Ensure top management support.</w:t>
      </w:r>
    </w:p>
    <w:p w14:paraId="03FFDDAB" w14:textId="6CA554E1" w:rsidR="005B725B" w:rsidRPr="00500A97" w:rsidRDefault="005B725B"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Flexible working requires senior management and HR support. Explain the reasoning and</w:t>
      </w:r>
      <w:r w:rsidR="000B3800" w:rsidRPr="00500A97">
        <w:rPr>
          <w:rFonts w:ascii="Arial" w:hAnsi="Arial" w:cs="Arial"/>
          <w:color w:val="0D0D0D" w:themeColor="text1" w:themeTint="F2"/>
        </w:rPr>
        <w:t xml:space="preserve"> </w:t>
      </w:r>
      <w:r w:rsidRPr="00500A97">
        <w:rPr>
          <w:rFonts w:ascii="Arial" w:hAnsi="Arial" w:cs="Arial"/>
          <w:color w:val="0D0D0D" w:themeColor="text1" w:themeTint="F2"/>
        </w:rPr>
        <w:t>business case for adding flexibility to these categories.</w:t>
      </w:r>
    </w:p>
    <w:p w14:paraId="5F1EE44C" w14:textId="0727B490" w:rsidR="005B725B" w:rsidRPr="00500A97" w:rsidRDefault="005B725B" w:rsidP="00500A97">
      <w:pPr>
        <w:pStyle w:val="ListParagraph"/>
        <w:numPr>
          <w:ilvl w:val="0"/>
          <w:numId w:val="3"/>
        </w:numPr>
        <w:spacing w:line="360" w:lineRule="auto"/>
        <w:ind w:left="1080"/>
        <w:jc w:val="both"/>
        <w:rPr>
          <w:rFonts w:ascii="Arial" w:hAnsi="Arial" w:cs="Arial"/>
          <w:color w:val="0D0D0D" w:themeColor="text1" w:themeTint="F2"/>
        </w:rPr>
      </w:pPr>
      <w:r w:rsidRPr="00500A97">
        <w:rPr>
          <w:rFonts w:ascii="Arial" w:hAnsi="Arial" w:cs="Arial"/>
          <w:color w:val="0D0D0D" w:themeColor="text1" w:themeTint="F2"/>
        </w:rPr>
        <w:t>Create a workforce profile and actual hours.</w:t>
      </w:r>
    </w:p>
    <w:p w14:paraId="56C9B5B6" w14:textId="158E4D1D" w:rsidR="005B725B" w:rsidRPr="00500A97" w:rsidRDefault="005B725B"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Creating a profile of current working habits and hours can help you plan.</w:t>
      </w:r>
    </w:p>
    <w:p w14:paraId="25D8CC70" w14:textId="4EB7D12D" w:rsidR="0089663C" w:rsidRPr="00500A97" w:rsidRDefault="0089663C" w:rsidP="00500A97">
      <w:pPr>
        <w:pStyle w:val="ListParagraph"/>
        <w:numPr>
          <w:ilvl w:val="0"/>
          <w:numId w:val="3"/>
        </w:numPr>
        <w:spacing w:line="360" w:lineRule="auto"/>
        <w:ind w:left="1080"/>
        <w:jc w:val="both"/>
        <w:rPr>
          <w:rFonts w:ascii="Arial" w:hAnsi="Arial" w:cs="Arial"/>
          <w:color w:val="0D0D0D" w:themeColor="text1" w:themeTint="F2"/>
        </w:rPr>
      </w:pPr>
      <w:r w:rsidRPr="00500A97">
        <w:rPr>
          <w:rFonts w:ascii="Arial" w:hAnsi="Arial" w:cs="Arial"/>
          <w:color w:val="0D0D0D" w:themeColor="text1" w:themeTint="F2"/>
        </w:rPr>
        <w:t>Consider culture.</w:t>
      </w:r>
    </w:p>
    <w:p w14:paraId="0F311593" w14:textId="647BDBA1" w:rsidR="005B725B" w:rsidRPr="00500A97" w:rsidRDefault="0089663C"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lastRenderedPageBreak/>
        <w:t xml:space="preserve">Organizational culture might impede flexible working hours.  Trust, respect, and accountability will encourage flexible working. </w:t>
      </w:r>
    </w:p>
    <w:p w14:paraId="0ED987B2" w14:textId="3E14CD4F" w:rsidR="0089663C" w:rsidRPr="00500A97" w:rsidRDefault="0089663C" w:rsidP="00500A97">
      <w:pPr>
        <w:pStyle w:val="ListParagraph"/>
        <w:numPr>
          <w:ilvl w:val="0"/>
          <w:numId w:val="3"/>
        </w:numPr>
        <w:spacing w:line="360" w:lineRule="auto"/>
        <w:ind w:left="1080"/>
        <w:jc w:val="both"/>
        <w:rPr>
          <w:rFonts w:ascii="Arial" w:hAnsi="Arial" w:cs="Arial"/>
          <w:color w:val="0D0D0D" w:themeColor="text1" w:themeTint="F2"/>
        </w:rPr>
      </w:pPr>
      <w:r w:rsidRPr="00500A97">
        <w:rPr>
          <w:rFonts w:ascii="Arial" w:hAnsi="Arial" w:cs="Arial"/>
          <w:color w:val="0D0D0D" w:themeColor="text1" w:themeTint="F2"/>
        </w:rPr>
        <w:t>Determine flexibility.</w:t>
      </w:r>
    </w:p>
    <w:p w14:paraId="22A71351" w14:textId="42886654" w:rsidR="00771078" w:rsidRPr="00500A97" w:rsidRDefault="0089663C"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 xml:space="preserve">Evaluate </w:t>
      </w:r>
      <w:r w:rsidR="000B3800" w:rsidRPr="00500A97">
        <w:rPr>
          <w:rFonts w:ascii="Arial" w:hAnsi="Arial" w:cs="Arial"/>
          <w:color w:val="0D0D0D" w:themeColor="text1" w:themeTint="F2"/>
        </w:rPr>
        <w:t xml:space="preserve">the </w:t>
      </w:r>
      <w:r w:rsidRPr="00500A97">
        <w:rPr>
          <w:rFonts w:ascii="Arial" w:hAnsi="Arial" w:cs="Arial"/>
          <w:color w:val="0D0D0D" w:themeColor="text1" w:themeTint="F2"/>
        </w:rPr>
        <w:t xml:space="preserve">company's best possibilities. Choose whether to provide many possibilities or a fixed set. Flexitime should apply to everyone, but </w:t>
      </w:r>
      <w:r w:rsidR="000B3800" w:rsidRPr="00500A97">
        <w:rPr>
          <w:rFonts w:ascii="Arial" w:hAnsi="Arial" w:cs="Arial"/>
          <w:color w:val="0D0D0D" w:themeColor="text1" w:themeTint="F2"/>
        </w:rPr>
        <w:t>companies</w:t>
      </w:r>
      <w:r w:rsidRPr="00500A97">
        <w:rPr>
          <w:rFonts w:ascii="Arial" w:hAnsi="Arial" w:cs="Arial"/>
          <w:color w:val="0D0D0D" w:themeColor="text1" w:themeTint="F2"/>
        </w:rPr>
        <w:t xml:space="preserve"> may set core, non-flexible hours to ensure personnel are present for meetings and key </w:t>
      </w:r>
      <w:r w:rsidR="000B3800" w:rsidRPr="00500A97">
        <w:rPr>
          <w:rFonts w:ascii="Arial" w:hAnsi="Arial" w:cs="Arial"/>
          <w:color w:val="0D0D0D" w:themeColor="text1" w:themeTint="F2"/>
        </w:rPr>
        <w:t>activities.</w:t>
      </w:r>
    </w:p>
    <w:p w14:paraId="391BF1F6" w14:textId="77777777" w:rsidR="00771078" w:rsidRPr="00500A97" w:rsidRDefault="00771078" w:rsidP="00500A97">
      <w:pPr>
        <w:pStyle w:val="ListParagraph"/>
        <w:numPr>
          <w:ilvl w:val="0"/>
          <w:numId w:val="3"/>
        </w:numPr>
        <w:spacing w:line="360" w:lineRule="auto"/>
        <w:ind w:left="1080"/>
        <w:jc w:val="both"/>
        <w:rPr>
          <w:rFonts w:ascii="Arial" w:hAnsi="Arial" w:cs="Arial"/>
          <w:color w:val="0D0D0D" w:themeColor="text1" w:themeTint="F2"/>
        </w:rPr>
      </w:pPr>
      <w:r w:rsidRPr="00500A97">
        <w:rPr>
          <w:rFonts w:ascii="Arial" w:hAnsi="Arial" w:cs="Arial"/>
          <w:color w:val="0D0D0D" w:themeColor="text1" w:themeTint="F2"/>
        </w:rPr>
        <w:t>Create a working committee to coordinate implementation.</w:t>
      </w:r>
    </w:p>
    <w:p w14:paraId="181D2E4F" w14:textId="48A7F176" w:rsidR="00771078" w:rsidRPr="00500A97" w:rsidRDefault="00771078"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If the flexible working hours plan is appropriate, consider appointing a group of workers of various levels and kinds from throughout the organisation to assist lead the project and resolve issues. Include union and employee representatives if the workplace has trade unions.</w:t>
      </w:r>
    </w:p>
    <w:p w14:paraId="757D4A11" w14:textId="2C467408" w:rsidR="00FD7DBC" w:rsidRPr="00500A97" w:rsidRDefault="00FD7DBC" w:rsidP="00500A97">
      <w:pPr>
        <w:pStyle w:val="ListParagraph"/>
        <w:numPr>
          <w:ilvl w:val="0"/>
          <w:numId w:val="3"/>
        </w:numPr>
        <w:spacing w:line="360" w:lineRule="auto"/>
        <w:ind w:left="1080"/>
        <w:jc w:val="both"/>
        <w:rPr>
          <w:rFonts w:ascii="Arial" w:hAnsi="Arial" w:cs="Arial"/>
          <w:color w:val="0D0D0D" w:themeColor="text1" w:themeTint="F2"/>
        </w:rPr>
      </w:pPr>
      <w:r w:rsidRPr="00500A97">
        <w:rPr>
          <w:rFonts w:ascii="Arial" w:hAnsi="Arial" w:cs="Arial"/>
          <w:color w:val="0D0D0D" w:themeColor="text1" w:themeTint="F2"/>
        </w:rPr>
        <w:t>Plan the specifics.</w:t>
      </w:r>
    </w:p>
    <w:p w14:paraId="6DE716C1" w14:textId="25DE1CE4" w:rsidR="00771078" w:rsidRPr="00500A97" w:rsidRDefault="00FD7DBC"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How will requests for flexible work be handled? How will the tasks assigned be covered and customer expectations met? How much control do line managers have to approve or deny business requests? Will the programme comply all laws?   Refusals must also be justified. Meeting time adjustments? Would business advantages outweigh increased costs? How will you assure training, development, promotion, and benefits parity?</w:t>
      </w:r>
    </w:p>
    <w:p w14:paraId="02CA5BB6" w14:textId="77777777" w:rsidR="00332EBE" w:rsidRPr="00500A97" w:rsidRDefault="00332EBE" w:rsidP="00500A97">
      <w:pPr>
        <w:pStyle w:val="ListParagraph"/>
        <w:numPr>
          <w:ilvl w:val="0"/>
          <w:numId w:val="3"/>
        </w:numPr>
        <w:spacing w:line="360" w:lineRule="auto"/>
        <w:ind w:left="1080"/>
        <w:jc w:val="both"/>
        <w:rPr>
          <w:rFonts w:ascii="Arial" w:hAnsi="Arial" w:cs="Arial"/>
          <w:color w:val="0D0D0D" w:themeColor="text1" w:themeTint="F2"/>
        </w:rPr>
      </w:pPr>
      <w:r w:rsidRPr="00500A97">
        <w:rPr>
          <w:rFonts w:ascii="Arial" w:hAnsi="Arial" w:cs="Arial"/>
          <w:color w:val="0D0D0D" w:themeColor="text1" w:themeTint="F2"/>
        </w:rPr>
        <w:t>Inform employees of policies.</w:t>
      </w:r>
    </w:p>
    <w:p w14:paraId="78AC8684" w14:textId="43570855" w:rsidR="00332EBE" w:rsidRPr="00500A97" w:rsidRDefault="00332EBE"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Before launch, promote flexible working hours. Provide alternatives and examples to</w:t>
      </w:r>
      <w:r w:rsidR="00D325BA">
        <w:rPr>
          <w:rFonts w:ascii="Arial" w:hAnsi="Arial" w:cs="Arial"/>
          <w:color w:val="0D0D0D" w:themeColor="text1" w:themeTint="F2"/>
        </w:rPr>
        <w:t xml:space="preserve"> </w:t>
      </w:r>
      <w:r w:rsidRPr="00500A97">
        <w:rPr>
          <w:rFonts w:ascii="Arial" w:hAnsi="Arial" w:cs="Arial"/>
          <w:color w:val="0D0D0D" w:themeColor="text1" w:themeTint="F2"/>
        </w:rPr>
        <w:t>demonstrate how the scheme will operate. </w:t>
      </w:r>
    </w:p>
    <w:p w14:paraId="6FC6A221" w14:textId="4AF01D9A" w:rsidR="00332EBE" w:rsidRPr="00500A97" w:rsidRDefault="00332EBE" w:rsidP="00500A97">
      <w:pPr>
        <w:pStyle w:val="ListParagraph"/>
        <w:numPr>
          <w:ilvl w:val="0"/>
          <w:numId w:val="3"/>
        </w:numPr>
        <w:spacing w:line="360" w:lineRule="auto"/>
        <w:ind w:left="1080"/>
        <w:jc w:val="both"/>
        <w:rPr>
          <w:rFonts w:ascii="Arial" w:hAnsi="Arial" w:cs="Arial"/>
          <w:color w:val="0D0D0D" w:themeColor="text1" w:themeTint="F2"/>
        </w:rPr>
      </w:pPr>
      <w:r w:rsidRPr="00500A97">
        <w:rPr>
          <w:rFonts w:ascii="Arial" w:hAnsi="Arial" w:cs="Arial"/>
          <w:color w:val="0D0D0D" w:themeColor="text1" w:themeTint="F2"/>
        </w:rPr>
        <w:t>Find a coordinator.</w:t>
      </w:r>
    </w:p>
    <w:p w14:paraId="4CC4AE00" w14:textId="69E73615" w:rsidR="00332EBE" w:rsidRPr="00500A97" w:rsidRDefault="00332EBE"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A member of the HR staff should coordinate the project and handle issues. This individual should also advise on executing the strategy and monitor its progress.</w:t>
      </w:r>
    </w:p>
    <w:p w14:paraId="641B111E" w14:textId="68D47977" w:rsidR="00A54C75" w:rsidRPr="00500A97" w:rsidRDefault="00A54C75" w:rsidP="00500A97">
      <w:pPr>
        <w:pStyle w:val="ListParagraph"/>
        <w:numPr>
          <w:ilvl w:val="0"/>
          <w:numId w:val="3"/>
        </w:numPr>
        <w:spacing w:line="360" w:lineRule="auto"/>
        <w:ind w:left="1080"/>
        <w:jc w:val="both"/>
        <w:rPr>
          <w:rFonts w:ascii="Arial" w:hAnsi="Arial" w:cs="Arial"/>
          <w:color w:val="0D0D0D" w:themeColor="text1" w:themeTint="F2"/>
        </w:rPr>
      </w:pPr>
      <w:r w:rsidRPr="00500A97">
        <w:rPr>
          <w:rFonts w:ascii="Arial" w:hAnsi="Arial" w:cs="Arial"/>
          <w:color w:val="0D0D0D" w:themeColor="text1" w:themeTint="F2"/>
        </w:rPr>
        <w:t>Ensure managers a trained to understand the scheme.</w:t>
      </w:r>
    </w:p>
    <w:p w14:paraId="6612A8C8" w14:textId="5A0099D9" w:rsidR="00332EBE" w:rsidRPr="00500A97" w:rsidRDefault="00A54C75"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Make sure managers and team leaders understand the plan and procedures and have the expertise to handle flexible working.</w:t>
      </w:r>
    </w:p>
    <w:p w14:paraId="6F53FFA7" w14:textId="77777777" w:rsidR="00A54C75" w:rsidRPr="00500A97" w:rsidRDefault="00A54C75"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This will help them meet deadlines and goals while building strong teamwork.</w:t>
      </w:r>
    </w:p>
    <w:p w14:paraId="0483AE12" w14:textId="47CF29B9" w:rsidR="00A54C75" w:rsidRPr="00500A97" w:rsidRDefault="00A54C75" w:rsidP="00500A97">
      <w:pPr>
        <w:pStyle w:val="ListParagraph"/>
        <w:numPr>
          <w:ilvl w:val="0"/>
          <w:numId w:val="3"/>
        </w:numPr>
        <w:spacing w:line="360" w:lineRule="auto"/>
        <w:ind w:left="1080"/>
        <w:jc w:val="both"/>
        <w:rPr>
          <w:rFonts w:ascii="Arial" w:hAnsi="Arial" w:cs="Arial"/>
          <w:color w:val="0D0D0D" w:themeColor="text1" w:themeTint="F2"/>
        </w:rPr>
      </w:pPr>
      <w:r w:rsidRPr="00500A97">
        <w:rPr>
          <w:rFonts w:ascii="Arial" w:hAnsi="Arial" w:cs="Arial"/>
          <w:color w:val="0D0D0D" w:themeColor="text1" w:themeTint="F2"/>
        </w:rPr>
        <w:t>Assess the plan.</w:t>
      </w:r>
    </w:p>
    <w:p w14:paraId="55EEF82C" w14:textId="74AEE488" w:rsidR="00A54C75" w:rsidRPr="00500A97" w:rsidRDefault="00A54C75"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Determine ways to monitor and analyse flexible working hours to determine company advantages and opportunities for improvement (The Chartered Management Institute, 2014).</w:t>
      </w:r>
    </w:p>
    <w:p w14:paraId="6BE95C05" w14:textId="77777777" w:rsidR="0089663C" w:rsidRPr="00500A97" w:rsidRDefault="0089663C" w:rsidP="00500A97">
      <w:pPr>
        <w:spacing w:line="360" w:lineRule="auto"/>
        <w:jc w:val="both"/>
        <w:rPr>
          <w:rFonts w:ascii="Arial" w:hAnsi="Arial" w:cs="Arial"/>
          <w:color w:val="0D0D0D" w:themeColor="text1" w:themeTint="F2"/>
        </w:rPr>
      </w:pPr>
    </w:p>
    <w:p w14:paraId="04EF5759" w14:textId="747ED04B" w:rsidR="007E66C8" w:rsidRPr="00500A97" w:rsidRDefault="00C340F1" w:rsidP="00500A97">
      <w:pPr>
        <w:pStyle w:val="Heading1"/>
        <w:numPr>
          <w:ilvl w:val="0"/>
          <w:numId w:val="4"/>
        </w:numPr>
        <w:spacing w:line="360" w:lineRule="auto"/>
        <w:jc w:val="both"/>
        <w:rPr>
          <w:rFonts w:ascii="Arial" w:hAnsi="Arial" w:cs="Arial"/>
          <w:color w:val="0D0D0D" w:themeColor="text1" w:themeTint="F2"/>
          <w:sz w:val="22"/>
          <w:szCs w:val="22"/>
        </w:rPr>
      </w:pPr>
      <w:bookmarkStart w:id="8" w:name="_Toc130408865"/>
      <w:r w:rsidRPr="00500A97">
        <w:rPr>
          <w:rFonts w:ascii="Arial" w:hAnsi="Arial" w:cs="Arial"/>
          <w:color w:val="0D0D0D" w:themeColor="text1" w:themeTint="F2"/>
          <w:sz w:val="22"/>
          <w:szCs w:val="22"/>
        </w:rPr>
        <w:lastRenderedPageBreak/>
        <w:t>Evaluation of the strategies promoting employee engagement whil</w:t>
      </w:r>
      <w:r w:rsidR="003B58D4" w:rsidRPr="00500A97">
        <w:rPr>
          <w:rFonts w:ascii="Arial" w:hAnsi="Arial" w:cs="Arial"/>
          <w:color w:val="0D0D0D" w:themeColor="text1" w:themeTint="F2"/>
          <w:sz w:val="22"/>
          <w:szCs w:val="22"/>
        </w:rPr>
        <w:t>st</w:t>
      </w:r>
      <w:r w:rsidRPr="00500A97">
        <w:rPr>
          <w:rFonts w:ascii="Arial" w:hAnsi="Arial" w:cs="Arial"/>
          <w:color w:val="0D0D0D" w:themeColor="text1" w:themeTint="F2"/>
          <w:sz w:val="22"/>
          <w:szCs w:val="22"/>
        </w:rPr>
        <w:t xml:space="preserve"> implementing flexible working.</w:t>
      </w:r>
      <w:bookmarkEnd w:id="8"/>
    </w:p>
    <w:p w14:paraId="387619FA" w14:textId="3EC5C233" w:rsidR="007E66C8" w:rsidRPr="00500A97" w:rsidRDefault="00B322B3"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Employee engagement is the cognitive, behavioural, and emotional energy that is reflected in an employee's job performance (Christian, Garza, Slaughter, 2011).</w:t>
      </w:r>
    </w:p>
    <w:p w14:paraId="5BD6151C" w14:textId="23F92C84" w:rsidR="00CA7985" w:rsidRPr="00500A97" w:rsidRDefault="00B322B3"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Since organisations recognise the good effect and competitive advantage that engaged workers to bring to a company's success, employee engagement has attracted the attention of practitioners worldwide. Employee engagement improves a variety of organisational performance objectives, including economic factors, productivity, customer happiness, a reduction in employee absenteeism, and an improvement in overall product or service quality (Bakker &amp; Demerouti, 2007).</w:t>
      </w:r>
      <w:r w:rsidR="00024CEE" w:rsidRPr="00500A97">
        <w:rPr>
          <w:rFonts w:ascii="Arial" w:hAnsi="Arial" w:cs="Arial"/>
          <w:color w:val="0D0D0D" w:themeColor="text1" w:themeTint="F2"/>
        </w:rPr>
        <w:t xml:space="preserve"> </w:t>
      </w:r>
    </w:p>
    <w:p w14:paraId="15541743" w14:textId="33FB801B" w:rsidR="00CA7985" w:rsidRPr="00500A97" w:rsidRDefault="00CA7985"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 xml:space="preserve">Weideman and Hofmeyr, (2020) created a framework that summarises and conceptualises the study results conducted by FWA implementation and management based on three criteria. </w:t>
      </w:r>
      <w:r w:rsidR="000B3800" w:rsidRPr="00500A97">
        <w:rPr>
          <w:rFonts w:ascii="Arial" w:hAnsi="Arial" w:cs="Arial"/>
          <w:color w:val="0D0D0D" w:themeColor="text1" w:themeTint="F2"/>
        </w:rPr>
        <w:t>He recommends defining</w:t>
      </w:r>
      <w:r w:rsidRPr="00500A97">
        <w:rPr>
          <w:rFonts w:ascii="Arial" w:hAnsi="Arial" w:cs="Arial"/>
          <w:color w:val="0D0D0D" w:themeColor="text1" w:themeTint="F2"/>
        </w:rPr>
        <w:t xml:space="preserve"> and </w:t>
      </w:r>
      <w:r w:rsidR="000B3800" w:rsidRPr="00500A97">
        <w:rPr>
          <w:rFonts w:ascii="Arial" w:hAnsi="Arial" w:cs="Arial"/>
          <w:color w:val="0D0D0D" w:themeColor="text1" w:themeTint="F2"/>
        </w:rPr>
        <w:t>conveying</w:t>
      </w:r>
      <w:r w:rsidRPr="00500A97">
        <w:rPr>
          <w:rFonts w:ascii="Arial" w:hAnsi="Arial" w:cs="Arial"/>
          <w:color w:val="0D0D0D" w:themeColor="text1" w:themeTint="F2"/>
        </w:rPr>
        <w:t xml:space="preserve"> the policy first. This study indicated that poorly specified rules in FWA organisations impacted fairness perceptions.</w:t>
      </w:r>
    </w:p>
    <w:p w14:paraId="560D2960" w14:textId="77777777" w:rsidR="00CA7985" w:rsidRPr="00500A97" w:rsidRDefault="00CA7985"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When the policy was unavailable without explanation, workers were disengaged.  By clearly clarifying the policy, workers saw that the company cared about and supported them, which increased employee engagement. To avoid confusion about start and end timings and team meeting breakdowns, core working hours should be specified.</w:t>
      </w:r>
    </w:p>
    <w:p w14:paraId="51F91F04" w14:textId="77777777" w:rsidR="00CA7985" w:rsidRPr="00500A97" w:rsidRDefault="00CA7985"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Management buy-in is the second FWA success condition. Management's lack of policy buy-in was a major barrier to staff engagement. Companies must truly embrace the policy and have their executives exemplify it. Training managers on the policy and how to manage it may reduce biases.</w:t>
      </w:r>
    </w:p>
    <w:p w14:paraId="343302A4" w14:textId="185EFD6F" w:rsidR="00CA7985" w:rsidRPr="00500A97" w:rsidRDefault="00CA7985"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FWAs must be accepted, and prejudices eliminated for workers to apply the policy without guilt, anger, or hesitation as they hinder employee engagement. Creating an enabling environment is the third FWA management requirement. According to studies, FWAs require an enabling culture to engage employees and it should be realistic. These include providing remote workers with technology, communication platforms, and FWA-supporting practices. Agile workspaces, health promotion, and a supportive workplace are the best practices.</w:t>
      </w:r>
    </w:p>
    <w:p w14:paraId="0F2D4E17" w14:textId="7163F3EF" w:rsidR="00CA7985" w:rsidRPr="00500A97" w:rsidRDefault="00CA7985" w:rsidP="00500A97">
      <w:pPr>
        <w:pStyle w:val="ListParagraph"/>
        <w:spacing w:line="360" w:lineRule="auto"/>
        <w:jc w:val="both"/>
        <w:rPr>
          <w:rFonts w:ascii="Arial" w:hAnsi="Arial" w:cs="Arial"/>
          <w:color w:val="0D0D0D" w:themeColor="text1" w:themeTint="F2"/>
        </w:rPr>
      </w:pPr>
    </w:p>
    <w:p w14:paraId="5B3C3EE0" w14:textId="77777777" w:rsidR="00CA7985" w:rsidRPr="00500A97" w:rsidRDefault="00CA7985" w:rsidP="00500A97">
      <w:pPr>
        <w:pStyle w:val="ListParagraph"/>
        <w:spacing w:line="360" w:lineRule="auto"/>
        <w:jc w:val="both"/>
        <w:rPr>
          <w:rFonts w:ascii="Arial" w:hAnsi="Arial" w:cs="Arial"/>
          <w:color w:val="0D0D0D" w:themeColor="text1" w:themeTint="F2"/>
        </w:rPr>
      </w:pPr>
    </w:p>
    <w:p w14:paraId="0C26B10F" w14:textId="7375E1C2" w:rsidR="00CA7985" w:rsidRPr="00500A97" w:rsidRDefault="00CA7985" w:rsidP="00500A97">
      <w:pPr>
        <w:pStyle w:val="ListParagraph"/>
        <w:spacing w:line="360" w:lineRule="auto"/>
        <w:jc w:val="both"/>
        <w:rPr>
          <w:rFonts w:ascii="Arial" w:hAnsi="Arial" w:cs="Arial"/>
          <w:color w:val="0D0D0D" w:themeColor="text1" w:themeTint="F2"/>
        </w:rPr>
      </w:pPr>
      <w:r w:rsidRPr="00500A97">
        <w:rPr>
          <w:rFonts w:ascii="Arial" w:hAnsi="Arial" w:cs="Arial"/>
          <w:noProof/>
          <w:color w:val="0D0D0D" w:themeColor="text1" w:themeTint="F2"/>
        </w:rPr>
        <w:lastRenderedPageBreak/>
        <w:drawing>
          <wp:inline distT="0" distB="0" distL="0" distR="0" wp14:anchorId="26972D53" wp14:editId="3FD693A3">
            <wp:extent cx="5731510" cy="2399665"/>
            <wp:effectExtent l="0" t="0" r="2540" b="63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399665"/>
                    </a:xfrm>
                    <a:prstGeom prst="rect">
                      <a:avLst/>
                    </a:prstGeom>
                    <a:noFill/>
                    <a:ln>
                      <a:noFill/>
                    </a:ln>
                  </pic:spPr>
                </pic:pic>
              </a:graphicData>
            </a:graphic>
          </wp:inline>
        </w:drawing>
      </w:r>
    </w:p>
    <w:p w14:paraId="64DD9AAC" w14:textId="77777777" w:rsidR="00D325BA" w:rsidRDefault="00D325BA" w:rsidP="00500A97">
      <w:pPr>
        <w:pStyle w:val="ListParagraph"/>
        <w:spacing w:line="360" w:lineRule="auto"/>
        <w:jc w:val="both"/>
        <w:rPr>
          <w:rFonts w:ascii="Arial" w:hAnsi="Arial" w:cs="Arial"/>
          <w:color w:val="0D0D0D" w:themeColor="text1" w:themeTint="F2"/>
        </w:rPr>
      </w:pPr>
      <w:r>
        <w:rPr>
          <w:rFonts w:ascii="Arial" w:hAnsi="Arial" w:cs="Arial"/>
          <w:color w:val="0D0D0D" w:themeColor="text1" w:themeTint="F2"/>
        </w:rPr>
        <w:t xml:space="preserve">Figure 2. </w:t>
      </w:r>
    </w:p>
    <w:p w14:paraId="548F16A0" w14:textId="32904CC3" w:rsidR="00CA7985" w:rsidRPr="00500A97" w:rsidRDefault="00CA7985" w:rsidP="00500A97">
      <w:pPr>
        <w:pStyle w:val="ListParagraph"/>
        <w:spacing w:line="360" w:lineRule="auto"/>
        <w:jc w:val="both"/>
        <w:rPr>
          <w:rFonts w:ascii="Arial" w:hAnsi="Arial" w:cs="Arial"/>
          <w:color w:val="0D0D0D" w:themeColor="text1" w:themeTint="F2"/>
        </w:rPr>
      </w:pPr>
      <w:r w:rsidRPr="00500A97">
        <w:rPr>
          <w:rFonts w:ascii="Arial" w:hAnsi="Arial" w:cs="Arial"/>
          <w:color w:val="0D0D0D" w:themeColor="text1" w:themeTint="F2"/>
        </w:rPr>
        <w:t>Weideman, Hofmeyr (2020)</w:t>
      </w:r>
    </w:p>
    <w:p w14:paraId="566C1BD9" w14:textId="0C753731" w:rsidR="00CA7985" w:rsidRPr="00500A97" w:rsidRDefault="00CA7985" w:rsidP="00500A97">
      <w:pPr>
        <w:pStyle w:val="ListParagraph"/>
        <w:spacing w:line="360" w:lineRule="auto"/>
        <w:jc w:val="both"/>
        <w:rPr>
          <w:rFonts w:ascii="Arial" w:hAnsi="Arial" w:cs="Arial"/>
          <w:color w:val="0D0D0D" w:themeColor="text1" w:themeTint="F2"/>
        </w:rPr>
      </w:pPr>
    </w:p>
    <w:p w14:paraId="07D300BC" w14:textId="707AAC11" w:rsidR="00CA7985" w:rsidRPr="00500A97" w:rsidRDefault="00CA7985" w:rsidP="00500A97">
      <w:pPr>
        <w:spacing w:line="360" w:lineRule="auto"/>
        <w:jc w:val="both"/>
        <w:rPr>
          <w:rFonts w:ascii="Arial" w:hAnsi="Arial" w:cs="Arial"/>
          <w:color w:val="0D0D0D" w:themeColor="text1" w:themeTint="F2"/>
        </w:rPr>
      </w:pPr>
      <w:bookmarkStart w:id="9" w:name="_Hlk130479780"/>
      <w:r w:rsidRPr="00500A97">
        <w:rPr>
          <w:rFonts w:ascii="Arial" w:hAnsi="Arial" w:cs="Arial"/>
          <w:color w:val="0D0D0D" w:themeColor="text1" w:themeTint="F2"/>
        </w:rPr>
        <w:t>Additionally, it is useful to mention that it is imperative to continue conducting employee appraisals</w:t>
      </w:r>
      <w:r w:rsidR="00BF5831" w:rsidRPr="00500A97">
        <w:rPr>
          <w:rFonts w:ascii="Arial" w:hAnsi="Arial" w:cs="Arial"/>
          <w:color w:val="0D0D0D" w:themeColor="text1" w:themeTint="F2"/>
        </w:rPr>
        <w:t xml:space="preserve"> </w:t>
      </w:r>
      <w:r w:rsidR="00D325BA">
        <w:rPr>
          <w:rFonts w:ascii="Arial" w:hAnsi="Arial" w:cs="Arial"/>
          <w:color w:val="0D0D0D" w:themeColor="text1" w:themeTint="F2"/>
        </w:rPr>
        <w:t xml:space="preserve">and </w:t>
      </w:r>
      <w:r w:rsidR="00BF5831" w:rsidRPr="00500A97">
        <w:rPr>
          <w:rFonts w:ascii="Arial" w:hAnsi="Arial" w:cs="Arial"/>
          <w:color w:val="0D0D0D" w:themeColor="text1" w:themeTint="F2"/>
        </w:rPr>
        <w:t>organise team buildings</w:t>
      </w:r>
      <w:r w:rsidRPr="00500A97">
        <w:rPr>
          <w:rFonts w:ascii="Arial" w:hAnsi="Arial" w:cs="Arial"/>
          <w:color w:val="0D0D0D" w:themeColor="text1" w:themeTint="F2"/>
        </w:rPr>
        <w:t xml:space="preserve"> even if they work remotely or part-time, as this helps both parties to understand if the employee needs further training and promotes employee engagement.   </w:t>
      </w:r>
    </w:p>
    <w:bookmarkEnd w:id="9"/>
    <w:p w14:paraId="43C4217D" w14:textId="56458B94" w:rsidR="00CA7985" w:rsidRPr="00500A97" w:rsidRDefault="00CA7985" w:rsidP="00500A97">
      <w:pPr>
        <w:pStyle w:val="ListParagraph"/>
        <w:spacing w:line="360" w:lineRule="auto"/>
        <w:jc w:val="both"/>
        <w:rPr>
          <w:rFonts w:ascii="Arial" w:hAnsi="Arial" w:cs="Arial"/>
          <w:color w:val="0D0D0D" w:themeColor="text1" w:themeTint="F2"/>
        </w:rPr>
      </w:pPr>
    </w:p>
    <w:p w14:paraId="45089E6F" w14:textId="77777777" w:rsidR="00CA7985" w:rsidRPr="00500A97" w:rsidRDefault="00CA7985" w:rsidP="00500A97">
      <w:pPr>
        <w:pStyle w:val="ListParagraph"/>
        <w:spacing w:line="360" w:lineRule="auto"/>
        <w:jc w:val="both"/>
        <w:rPr>
          <w:rFonts w:ascii="Arial" w:hAnsi="Arial" w:cs="Arial"/>
          <w:color w:val="0D0D0D" w:themeColor="text1" w:themeTint="F2"/>
        </w:rPr>
      </w:pPr>
    </w:p>
    <w:p w14:paraId="30A3F182" w14:textId="05B79D31" w:rsidR="00C340F1" w:rsidRPr="00500A97" w:rsidRDefault="003B58D4" w:rsidP="00500A97">
      <w:pPr>
        <w:pStyle w:val="Heading1"/>
        <w:numPr>
          <w:ilvl w:val="0"/>
          <w:numId w:val="4"/>
        </w:numPr>
        <w:spacing w:line="360" w:lineRule="auto"/>
        <w:jc w:val="both"/>
        <w:rPr>
          <w:rFonts w:ascii="Arial" w:hAnsi="Arial" w:cs="Arial"/>
          <w:color w:val="0D0D0D" w:themeColor="text1" w:themeTint="F2"/>
          <w:sz w:val="22"/>
          <w:szCs w:val="22"/>
        </w:rPr>
      </w:pPr>
      <w:bookmarkStart w:id="10" w:name="_Toc130408866"/>
      <w:r w:rsidRPr="00500A97">
        <w:rPr>
          <w:rFonts w:ascii="Arial" w:hAnsi="Arial" w:cs="Arial"/>
          <w:color w:val="0D0D0D" w:themeColor="text1" w:themeTint="F2"/>
          <w:sz w:val="22"/>
          <w:szCs w:val="22"/>
        </w:rPr>
        <w:t xml:space="preserve">Description of how the firms can evaluate employee value proposition </w:t>
      </w:r>
      <w:r w:rsidR="00CA7985" w:rsidRPr="00500A97">
        <w:rPr>
          <w:rFonts w:ascii="Arial" w:hAnsi="Arial" w:cs="Arial"/>
          <w:color w:val="0D0D0D" w:themeColor="text1" w:themeTint="F2"/>
          <w:sz w:val="22"/>
          <w:szCs w:val="22"/>
        </w:rPr>
        <w:t>to</w:t>
      </w:r>
      <w:r w:rsidRPr="00500A97">
        <w:rPr>
          <w:rFonts w:ascii="Arial" w:hAnsi="Arial" w:cs="Arial"/>
          <w:color w:val="0D0D0D" w:themeColor="text1" w:themeTint="F2"/>
          <w:sz w:val="22"/>
          <w:szCs w:val="22"/>
        </w:rPr>
        <w:t xml:space="preserve"> implement a pay structure.</w:t>
      </w:r>
      <w:bookmarkEnd w:id="10"/>
    </w:p>
    <w:p w14:paraId="4C7E78EB" w14:textId="77777777" w:rsidR="00500A97" w:rsidRDefault="00CA7985"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 xml:space="preserve">An Employee Value Proposition is the guarantee </w:t>
      </w:r>
      <w:r w:rsidR="008941F6" w:rsidRPr="00500A97">
        <w:rPr>
          <w:rFonts w:ascii="Arial" w:hAnsi="Arial" w:cs="Arial"/>
          <w:color w:val="0D0D0D" w:themeColor="text1" w:themeTint="F2"/>
        </w:rPr>
        <w:t>the</w:t>
      </w:r>
      <w:r w:rsidRPr="00500A97">
        <w:rPr>
          <w:rFonts w:ascii="Arial" w:hAnsi="Arial" w:cs="Arial"/>
          <w:color w:val="0D0D0D" w:themeColor="text1" w:themeTint="F2"/>
        </w:rPr>
        <w:t xml:space="preserve"> employer </w:t>
      </w:r>
      <w:r w:rsidR="003878B5" w:rsidRPr="00500A97">
        <w:rPr>
          <w:rFonts w:ascii="Arial" w:hAnsi="Arial" w:cs="Arial"/>
          <w:color w:val="0D0D0D" w:themeColor="text1" w:themeTint="F2"/>
        </w:rPr>
        <w:t>offers</w:t>
      </w:r>
      <w:r w:rsidR="008941F6" w:rsidRPr="00500A97">
        <w:rPr>
          <w:rFonts w:ascii="Arial" w:hAnsi="Arial" w:cs="Arial"/>
          <w:color w:val="0D0D0D" w:themeColor="text1" w:themeTint="F2"/>
        </w:rPr>
        <w:t xml:space="preserve"> </w:t>
      </w:r>
      <w:r w:rsidRPr="00500A97">
        <w:rPr>
          <w:rFonts w:ascii="Arial" w:hAnsi="Arial" w:cs="Arial"/>
          <w:color w:val="0D0D0D" w:themeColor="text1" w:themeTint="F2"/>
        </w:rPr>
        <w:t xml:space="preserve">in exchange for workers' dedication. This promise includes the whole number of perks and awards that workers get from their employer. EVP is the essence of the Employer Brand and should describe the nature of business and what makes it special. </w:t>
      </w:r>
      <w:bookmarkStart w:id="11" w:name="_Hlk130480053"/>
      <w:r w:rsidRPr="00500A97">
        <w:rPr>
          <w:rFonts w:ascii="Arial" w:hAnsi="Arial" w:cs="Arial"/>
          <w:color w:val="0D0D0D" w:themeColor="text1" w:themeTint="F2"/>
        </w:rPr>
        <w:t xml:space="preserve">Compensation is one of the key elements in the Employee </w:t>
      </w:r>
      <w:bookmarkEnd w:id="7"/>
      <w:r w:rsidRPr="00500A97">
        <w:rPr>
          <w:rFonts w:ascii="Arial" w:hAnsi="Arial" w:cs="Arial"/>
          <w:color w:val="0D0D0D" w:themeColor="text1" w:themeTint="F2"/>
        </w:rPr>
        <w:t>Value Proposition. This characteristic, also known as pay and benefits, consists of workers' satisfaction with their salaries, as well as other incentives like bonuses and factors like assessment systems.</w:t>
      </w:r>
      <w:bookmarkEnd w:id="11"/>
      <w:r w:rsidRPr="00500A97">
        <w:rPr>
          <w:rFonts w:ascii="Arial" w:hAnsi="Arial" w:cs="Arial"/>
          <w:color w:val="0D0D0D" w:themeColor="text1" w:themeTint="F2"/>
        </w:rPr>
        <w:t xml:space="preserve"> Fair remuneration based on performance is one of the seven top HR practices.</w:t>
      </w:r>
      <w:r w:rsidR="00BF5831" w:rsidRPr="00500A97">
        <w:rPr>
          <w:rFonts w:ascii="Arial" w:hAnsi="Arial" w:cs="Arial"/>
          <w:color w:val="0D0D0D" w:themeColor="text1" w:themeTint="F2"/>
        </w:rPr>
        <w:t xml:space="preserve"> </w:t>
      </w:r>
      <w:r w:rsidRPr="00500A97">
        <w:rPr>
          <w:rFonts w:ascii="Arial" w:hAnsi="Arial" w:cs="Arial"/>
          <w:color w:val="0D0D0D" w:themeColor="text1" w:themeTint="F2"/>
        </w:rPr>
        <w:t>Curiously, the importance of compensation may not be the same for everyone. There are generational disparities in the workforce, with younger generations, for example, placing a higher value on growth than older generations (</w:t>
      </w:r>
      <w:proofErr w:type="spellStart"/>
      <w:r w:rsidRPr="00500A97">
        <w:rPr>
          <w:rFonts w:ascii="Arial" w:hAnsi="Arial" w:cs="Arial"/>
          <w:color w:val="0D0D0D" w:themeColor="text1" w:themeTint="F2"/>
        </w:rPr>
        <w:t>Verlinden</w:t>
      </w:r>
      <w:proofErr w:type="spellEnd"/>
      <w:r w:rsidRPr="00500A97">
        <w:rPr>
          <w:rFonts w:ascii="Arial" w:hAnsi="Arial" w:cs="Arial"/>
          <w:color w:val="0D0D0D" w:themeColor="text1" w:themeTint="F2"/>
        </w:rPr>
        <w:t>, n.d.).</w:t>
      </w:r>
    </w:p>
    <w:p w14:paraId="4F3D0F4F" w14:textId="2AF1A4A4" w:rsidR="008941F6" w:rsidRPr="00500A97" w:rsidRDefault="008941F6"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 xml:space="preserve">Besides the importance of a competitive wage, whole-package compensation is more significant than the salary. There is currently a greater emphasis than ever on healthcare and well-being programmes, in addition to holiday pay, pensions, discounts for employees and </w:t>
      </w:r>
      <w:r w:rsidRPr="00500A97">
        <w:rPr>
          <w:rFonts w:ascii="Arial" w:hAnsi="Arial" w:cs="Arial"/>
          <w:color w:val="0D0D0D" w:themeColor="text1" w:themeTint="F2"/>
        </w:rPr>
        <w:lastRenderedPageBreak/>
        <w:t>flexible working arrangements. Talent Insight Group (2023) recommends benchmarking which is a remarkable and insightful option that may offer real data and insights about the business and sector. Salary benchmarking employs primary and secondary data to correctly assess the industry's salaries.</w:t>
      </w:r>
    </w:p>
    <w:p w14:paraId="625BA9D9" w14:textId="3F6B0295" w:rsidR="008941F6" w:rsidRPr="00500A97" w:rsidRDefault="008941F6"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Job listings, third-party labour market data systems, and conversations with rival post holders could provide this data. Rewards and benefits benchmarking looks at the complete package, whereas salary benchmarking focuses on basic pay, which might better indicate where the organisation stands in the sector. It includes a bonus structure, pension, holiday, parental leave, and private insurance. In other cases, the basic wage may be more than the rivals, but the total package may lack these benefits.</w:t>
      </w:r>
    </w:p>
    <w:p w14:paraId="074ED145" w14:textId="706F4D58" w:rsidR="008941F6" w:rsidRPr="00500A97" w:rsidRDefault="008941F6"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The process of benchmarking helps the organisation to make significant salary and incentive choices, thus creating an effective value proposition. If the benchmarking finds that the company's salary and benefits are not competitive, this might lead to recruiting and retention challenges, particularly in specialised areas where talent is scarce.</w:t>
      </w:r>
    </w:p>
    <w:p w14:paraId="78F71F0D" w14:textId="5F39B677" w:rsidR="003878B5" w:rsidRDefault="003878B5" w:rsidP="00500A97">
      <w:pPr>
        <w:pStyle w:val="ListParagraph"/>
        <w:spacing w:line="360" w:lineRule="auto"/>
        <w:jc w:val="both"/>
        <w:rPr>
          <w:rFonts w:ascii="Arial" w:hAnsi="Arial" w:cs="Arial"/>
          <w:color w:val="0D0D0D" w:themeColor="text1" w:themeTint="F2"/>
        </w:rPr>
      </w:pPr>
    </w:p>
    <w:p w14:paraId="4419DCCE" w14:textId="2F38A20E" w:rsidR="00500A97" w:rsidRDefault="00500A97" w:rsidP="00500A97">
      <w:pPr>
        <w:pStyle w:val="ListParagraph"/>
        <w:spacing w:line="360" w:lineRule="auto"/>
        <w:jc w:val="both"/>
        <w:rPr>
          <w:rFonts w:ascii="Arial" w:hAnsi="Arial" w:cs="Arial"/>
          <w:color w:val="0D0D0D" w:themeColor="text1" w:themeTint="F2"/>
        </w:rPr>
      </w:pPr>
    </w:p>
    <w:p w14:paraId="2AADB70C" w14:textId="33F6E906" w:rsidR="00500A97" w:rsidRDefault="00500A97" w:rsidP="00500A97">
      <w:pPr>
        <w:pStyle w:val="ListParagraph"/>
        <w:spacing w:line="360" w:lineRule="auto"/>
        <w:jc w:val="both"/>
        <w:rPr>
          <w:rFonts w:ascii="Arial" w:hAnsi="Arial" w:cs="Arial"/>
          <w:color w:val="0D0D0D" w:themeColor="text1" w:themeTint="F2"/>
        </w:rPr>
      </w:pPr>
    </w:p>
    <w:p w14:paraId="22564F71" w14:textId="4A0DE24D" w:rsidR="00500A97" w:rsidRDefault="00500A97" w:rsidP="00500A97">
      <w:pPr>
        <w:pStyle w:val="ListParagraph"/>
        <w:spacing w:line="360" w:lineRule="auto"/>
        <w:jc w:val="both"/>
        <w:rPr>
          <w:rFonts w:ascii="Arial" w:hAnsi="Arial" w:cs="Arial"/>
          <w:color w:val="0D0D0D" w:themeColor="text1" w:themeTint="F2"/>
        </w:rPr>
      </w:pPr>
    </w:p>
    <w:p w14:paraId="11AF8083" w14:textId="321077F7" w:rsidR="00500A97" w:rsidRDefault="00500A97" w:rsidP="00500A97">
      <w:pPr>
        <w:pStyle w:val="ListParagraph"/>
        <w:spacing w:line="360" w:lineRule="auto"/>
        <w:jc w:val="both"/>
        <w:rPr>
          <w:rFonts w:ascii="Arial" w:hAnsi="Arial" w:cs="Arial"/>
          <w:color w:val="0D0D0D" w:themeColor="text1" w:themeTint="F2"/>
        </w:rPr>
      </w:pPr>
    </w:p>
    <w:p w14:paraId="3CD6FECB" w14:textId="3B5D00B3" w:rsidR="00500A97" w:rsidRDefault="00500A97" w:rsidP="00500A97">
      <w:pPr>
        <w:pStyle w:val="ListParagraph"/>
        <w:spacing w:line="360" w:lineRule="auto"/>
        <w:jc w:val="both"/>
        <w:rPr>
          <w:rFonts w:ascii="Arial" w:hAnsi="Arial" w:cs="Arial"/>
          <w:color w:val="0D0D0D" w:themeColor="text1" w:themeTint="F2"/>
        </w:rPr>
      </w:pPr>
    </w:p>
    <w:p w14:paraId="79F0B4F5" w14:textId="061FA194" w:rsidR="00500A97" w:rsidRDefault="00500A97" w:rsidP="00500A97">
      <w:pPr>
        <w:pStyle w:val="ListParagraph"/>
        <w:spacing w:line="360" w:lineRule="auto"/>
        <w:jc w:val="both"/>
        <w:rPr>
          <w:rFonts w:ascii="Arial" w:hAnsi="Arial" w:cs="Arial"/>
          <w:color w:val="0D0D0D" w:themeColor="text1" w:themeTint="F2"/>
        </w:rPr>
      </w:pPr>
    </w:p>
    <w:p w14:paraId="06867194" w14:textId="58705733" w:rsidR="00500A97" w:rsidRDefault="00500A97" w:rsidP="00500A97">
      <w:pPr>
        <w:pStyle w:val="ListParagraph"/>
        <w:spacing w:line="360" w:lineRule="auto"/>
        <w:jc w:val="both"/>
        <w:rPr>
          <w:rFonts w:ascii="Arial" w:hAnsi="Arial" w:cs="Arial"/>
          <w:color w:val="0D0D0D" w:themeColor="text1" w:themeTint="F2"/>
        </w:rPr>
      </w:pPr>
    </w:p>
    <w:p w14:paraId="68CE1E62" w14:textId="13782806" w:rsidR="00500A97" w:rsidRDefault="00500A97" w:rsidP="00500A97">
      <w:pPr>
        <w:pStyle w:val="ListParagraph"/>
        <w:spacing w:line="360" w:lineRule="auto"/>
        <w:jc w:val="both"/>
        <w:rPr>
          <w:rFonts w:ascii="Arial" w:hAnsi="Arial" w:cs="Arial"/>
          <w:color w:val="0D0D0D" w:themeColor="text1" w:themeTint="F2"/>
        </w:rPr>
      </w:pPr>
    </w:p>
    <w:p w14:paraId="03A4342B" w14:textId="6EC685F6" w:rsidR="00500A97" w:rsidRDefault="00500A97" w:rsidP="00500A97">
      <w:pPr>
        <w:pStyle w:val="ListParagraph"/>
        <w:spacing w:line="360" w:lineRule="auto"/>
        <w:jc w:val="both"/>
        <w:rPr>
          <w:rFonts w:ascii="Arial" w:hAnsi="Arial" w:cs="Arial"/>
          <w:color w:val="0D0D0D" w:themeColor="text1" w:themeTint="F2"/>
        </w:rPr>
      </w:pPr>
    </w:p>
    <w:p w14:paraId="510E2CFF" w14:textId="517673F9" w:rsidR="00500A97" w:rsidRDefault="00500A97" w:rsidP="00500A97">
      <w:pPr>
        <w:pStyle w:val="ListParagraph"/>
        <w:spacing w:line="360" w:lineRule="auto"/>
        <w:jc w:val="both"/>
        <w:rPr>
          <w:rFonts w:ascii="Arial" w:hAnsi="Arial" w:cs="Arial"/>
          <w:color w:val="0D0D0D" w:themeColor="text1" w:themeTint="F2"/>
        </w:rPr>
      </w:pPr>
    </w:p>
    <w:p w14:paraId="484C07A0" w14:textId="5CA5AE82" w:rsidR="00500A97" w:rsidRDefault="00500A97" w:rsidP="00500A97">
      <w:pPr>
        <w:pStyle w:val="ListParagraph"/>
        <w:spacing w:line="360" w:lineRule="auto"/>
        <w:jc w:val="both"/>
        <w:rPr>
          <w:rFonts w:ascii="Arial" w:hAnsi="Arial" w:cs="Arial"/>
          <w:color w:val="0D0D0D" w:themeColor="text1" w:themeTint="F2"/>
        </w:rPr>
      </w:pPr>
    </w:p>
    <w:p w14:paraId="5B2495B4" w14:textId="69E0B7B9" w:rsidR="00500A97" w:rsidRDefault="00500A97" w:rsidP="00500A97">
      <w:pPr>
        <w:pStyle w:val="ListParagraph"/>
        <w:spacing w:line="360" w:lineRule="auto"/>
        <w:jc w:val="both"/>
        <w:rPr>
          <w:rFonts w:ascii="Arial" w:hAnsi="Arial" w:cs="Arial"/>
          <w:color w:val="0D0D0D" w:themeColor="text1" w:themeTint="F2"/>
        </w:rPr>
      </w:pPr>
    </w:p>
    <w:p w14:paraId="6CF524F9" w14:textId="7F0BBFE1" w:rsidR="00500A97" w:rsidRDefault="00500A97" w:rsidP="00500A97">
      <w:pPr>
        <w:pStyle w:val="ListParagraph"/>
        <w:spacing w:line="360" w:lineRule="auto"/>
        <w:jc w:val="both"/>
        <w:rPr>
          <w:rFonts w:ascii="Arial" w:hAnsi="Arial" w:cs="Arial"/>
          <w:color w:val="0D0D0D" w:themeColor="text1" w:themeTint="F2"/>
        </w:rPr>
      </w:pPr>
    </w:p>
    <w:p w14:paraId="00CD0969" w14:textId="02633038" w:rsidR="00500A97" w:rsidRDefault="00500A97" w:rsidP="00500A97">
      <w:pPr>
        <w:pStyle w:val="ListParagraph"/>
        <w:spacing w:line="360" w:lineRule="auto"/>
        <w:jc w:val="both"/>
        <w:rPr>
          <w:rFonts w:ascii="Arial" w:hAnsi="Arial" w:cs="Arial"/>
          <w:color w:val="0D0D0D" w:themeColor="text1" w:themeTint="F2"/>
        </w:rPr>
      </w:pPr>
    </w:p>
    <w:p w14:paraId="323D8486" w14:textId="1FE7A214" w:rsidR="00500A97" w:rsidRDefault="00500A97" w:rsidP="00500A97">
      <w:pPr>
        <w:pStyle w:val="ListParagraph"/>
        <w:spacing w:line="360" w:lineRule="auto"/>
        <w:jc w:val="both"/>
        <w:rPr>
          <w:rFonts w:ascii="Arial" w:hAnsi="Arial" w:cs="Arial"/>
          <w:color w:val="0D0D0D" w:themeColor="text1" w:themeTint="F2"/>
        </w:rPr>
      </w:pPr>
    </w:p>
    <w:p w14:paraId="1441A758" w14:textId="6CD6A34A" w:rsidR="00500A97" w:rsidRDefault="00500A97" w:rsidP="00500A97">
      <w:pPr>
        <w:pStyle w:val="ListParagraph"/>
        <w:spacing w:line="360" w:lineRule="auto"/>
        <w:jc w:val="both"/>
        <w:rPr>
          <w:rFonts w:ascii="Arial" w:hAnsi="Arial" w:cs="Arial"/>
          <w:color w:val="0D0D0D" w:themeColor="text1" w:themeTint="F2"/>
        </w:rPr>
      </w:pPr>
    </w:p>
    <w:p w14:paraId="01434FD0" w14:textId="7E0905F9" w:rsidR="00500A97" w:rsidRDefault="00500A97" w:rsidP="00500A97">
      <w:pPr>
        <w:pStyle w:val="ListParagraph"/>
        <w:spacing w:line="360" w:lineRule="auto"/>
        <w:jc w:val="both"/>
        <w:rPr>
          <w:rFonts w:ascii="Arial" w:hAnsi="Arial" w:cs="Arial"/>
          <w:color w:val="0D0D0D" w:themeColor="text1" w:themeTint="F2"/>
        </w:rPr>
      </w:pPr>
    </w:p>
    <w:p w14:paraId="3B371EB3" w14:textId="2FB4C0D7" w:rsidR="00500A97" w:rsidRDefault="00500A97" w:rsidP="00500A97">
      <w:pPr>
        <w:pStyle w:val="ListParagraph"/>
        <w:spacing w:line="360" w:lineRule="auto"/>
        <w:jc w:val="both"/>
        <w:rPr>
          <w:rFonts w:ascii="Arial" w:hAnsi="Arial" w:cs="Arial"/>
          <w:color w:val="0D0D0D" w:themeColor="text1" w:themeTint="F2"/>
        </w:rPr>
      </w:pPr>
    </w:p>
    <w:p w14:paraId="4456B5C6" w14:textId="0A449917" w:rsidR="00500A97" w:rsidRDefault="00500A97" w:rsidP="00500A97">
      <w:pPr>
        <w:pStyle w:val="ListParagraph"/>
        <w:spacing w:line="360" w:lineRule="auto"/>
        <w:jc w:val="both"/>
        <w:rPr>
          <w:rFonts w:ascii="Arial" w:hAnsi="Arial" w:cs="Arial"/>
          <w:color w:val="0D0D0D" w:themeColor="text1" w:themeTint="F2"/>
        </w:rPr>
      </w:pPr>
    </w:p>
    <w:p w14:paraId="04B1C088" w14:textId="77777777" w:rsidR="00500A97" w:rsidRPr="00500A97" w:rsidRDefault="00500A97" w:rsidP="00500A97">
      <w:pPr>
        <w:pStyle w:val="ListParagraph"/>
        <w:spacing w:line="360" w:lineRule="auto"/>
        <w:jc w:val="both"/>
        <w:rPr>
          <w:rFonts w:ascii="Arial" w:hAnsi="Arial" w:cs="Arial"/>
          <w:color w:val="0D0D0D" w:themeColor="text1" w:themeTint="F2"/>
        </w:rPr>
      </w:pPr>
    </w:p>
    <w:p w14:paraId="35FB8542" w14:textId="4F2D123A" w:rsidR="003878B5" w:rsidRPr="00500A97" w:rsidRDefault="003878B5" w:rsidP="00500A97">
      <w:pPr>
        <w:pStyle w:val="Heading1"/>
        <w:numPr>
          <w:ilvl w:val="0"/>
          <w:numId w:val="4"/>
        </w:numPr>
        <w:spacing w:line="360" w:lineRule="auto"/>
        <w:jc w:val="both"/>
        <w:rPr>
          <w:rFonts w:ascii="Arial" w:hAnsi="Arial" w:cs="Arial"/>
          <w:color w:val="0D0D0D" w:themeColor="text1" w:themeTint="F2"/>
          <w:sz w:val="22"/>
          <w:szCs w:val="22"/>
        </w:rPr>
      </w:pPr>
      <w:bookmarkStart w:id="12" w:name="_Toc130408867"/>
      <w:r w:rsidRPr="00500A97">
        <w:rPr>
          <w:rFonts w:ascii="Arial" w:hAnsi="Arial" w:cs="Arial"/>
          <w:color w:val="0D0D0D" w:themeColor="text1" w:themeTint="F2"/>
          <w:sz w:val="22"/>
          <w:szCs w:val="22"/>
        </w:rPr>
        <w:lastRenderedPageBreak/>
        <w:t>Conclusion</w:t>
      </w:r>
      <w:bookmarkEnd w:id="12"/>
    </w:p>
    <w:p w14:paraId="0F211AAF" w14:textId="77777777" w:rsidR="00FE2461" w:rsidRPr="00500A97" w:rsidRDefault="00FE2461" w:rsidP="00500A97">
      <w:pPr>
        <w:spacing w:line="360" w:lineRule="auto"/>
        <w:jc w:val="both"/>
        <w:rPr>
          <w:rFonts w:ascii="Arial" w:hAnsi="Arial" w:cs="Arial"/>
          <w:color w:val="0D0D0D" w:themeColor="text1" w:themeTint="F2"/>
        </w:rPr>
      </w:pPr>
    </w:p>
    <w:p w14:paraId="23D4B766" w14:textId="77777777" w:rsidR="00BF5831" w:rsidRPr="00500A97" w:rsidRDefault="000379FC"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This report highlighted the advantages of implementing flexible working strategies in the organisation</w:t>
      </w:r>
      <w:r w:rsidR="00B87BA6" w:rsidRPr="00500A97">
        <w:rPr>
          <w:rFonts w:ascii="Arial" w:hAnsi="Arial" w:cs="Arial"/>
          <w:color w:val="0D0D0D" w:themeColor="text1" w:themeTint="F2"/>
        </w:rPr>
        <w:t xml:space="preserve">, </w:t>
      </w:r>
      <w:r w:rsidR="00FE2461" w:rsidRPr="00500A97">
        <w:rPr>
          <w:rFonts w:ascii="Arial" w:hAnsi="Arial" w:cs="Arial"/>
          <w:color w:val="0D0D0D" w:themeColor="text1" w:themeTint="F2"/>
        </w:rPr>
        <w:t>which</w:t>
      </w:r>
      <w:r w:rsidR="00B87BA6" w:rsidRPr="00500A97">
        <w:rPr>
          <w:rFonts w:ascii="Arial" w:hAnsi="Arial" w:cs="Arial"/>
          <w:color w:val="0D0D0D" w:themeColor="text1" w:themeTint="F2"/>
        </w:rPr>
        <w:t xml:space="preserve"> could be direct and indirect for the businesses.</w:t>
      </w:r>
      <w:r w:rsidR="000B582D" w:rsidRPr="00500A97">
        <w:rPr>
          <w:rFonts w:ascii="Arial" w:hAnsi="Arial" w:cs="Arial"/>
          <w:color w:val="0D0D0D" w:themeColor="text1" w:themeTint="F2"/>
        </w:rPr>
        <w:t xml:space="preserve"> </w:t>
      </w:r>
      <w:r w:rsidR="00FE2461" w:rsidRPr="00500A97">
        <w:rPr>
          <w:rFonts w:ascii="Arial" w:hAnsi="Arial" w:cs="Arial"/>
          <w:color w:val="0D0D0D" w:themeColor="text1" w:themeTint="F2"/>
        </w:rPr>
        <w:t xml:space="preserve">Flexible working arrangements improve productivity as they reduce commuting time, stress, and absence rate, and increase job satisfaction. </w:t>
      </w:r>
      <w:r w:rsidR="000B582D" w:rsidRPr="00500A97">
        <w:rPr>
          <w:rFonts w:ascii="Arial" w:hAnsi="Arial" w:cs="Arial"/>
          <w:color w:val="0D0D0D" w:themeColor="text1" w:themeTint="F2"/>
        </w:rPr>
        <w:t xml:space="preserve">And with COVID-19 </w:t>
      </w:r>
      <w:r w:rsidR="00B87BA6" w:rsidRPr="00500A97">
        <w:rPr>
          <w:rFonts w:ascii="Arial" w:hAnsi="Arial" w:cs="Arial"/>
          <w:color w:val="0D0D0D" w:themeColor="text1" w:themeTint="F2"/>
        </w:rPr>
        <w:t xml:space="preserve"> </w:t>
      </w:r>
      <w:r w:rsidR="000B582D" w:rsidRPr="00500A97">
        <w:rPr>
          <w:rFonts w:ascii="Arial" w:hAnsi="Arial" w:cs="Arial"/>
          <w:color w:val="0D0D0D" w:themeColor="text1" w:themeTint="F2"/>
        </w:rPr>
        <w:t>i</w:t>
      </w:r>
      <w:r w:rsidR="00DF43ED" w:rsidRPr="00500A97">
        <w:rPr>
          <w:rFonts w:ascii="Arial" w:hAnsi="Arial" w:cs="Arial"/>
          <w:color w:val="0D0D0D" w:themeColor="text1" w:themeTint="F2"/>
        </w:rPr>
        <w:t xml:space="preserve">t was especially important for businesses to adapt to </w:t>
      </w:r>
      <w:r w:rsidR="000B582D" w:rsidRPr="00500A97">
        <w:rPr>
          <w:rFonts w:ascii="Arial" w:hAnsi="Arial" w:cs="Arial"/>
          <w:color w:val="0D0D0D" w:themeColor="text1" w:themeTint="F2"/>
        </w:rPr>
        <w:t>the</w:t>
      </w:r>
      <w:r w:rsidR="00DF43ED" w:rsidRPr="00500A97">
        <w:rPr>
          <w:rFonts w:ascii="Arial" w:hAnsi="Arial" w:cs="Arial"/>
          <w:color w:val="0D0D0D" w:themeColor="text1" w:themeTint="F2"/>
        </w:rPr>
        <w:t xml:space="preserve"> changes </w:t>
      </w:r>
      <w:r w:rsidR="00FE2461" w:rsidRPr="00500A97">
        <w:rPr>
          <w:rFonts w:ascii="Arial" w:hAnsi="Arial" w:cs="Arial"/>
          <w:color w:val="0D0D0D" w:themeColor="text1" w:themeTint="F2"/>
        </w:rPr>
        <w:t xml:space="preserve">that the lockdown brought, </w:t>
      </w:r>
      <w:r w:rsidR="00DF43ED" w:rsidRPr="00500A97">
        <w:rPr>
          <w:rFonts w:ascii="Arial" w:hAnsi="Arial" w:cs="Arial"/>
          <w:color w:val="0D0D0D" w:themeColor="text1" w:themeTint="F2"/>
        </w:rPr>
        <w:t xml:space="preserve">and meet the demands of their employees. However, the COVID-19 pandemic has shown that jobs are much more flexible than people could </w:t>
      </w:r>
      <w:r w:rsidR="00287441" w:rsidRPr="00500A97">
        <w:rPr>
          <w:rFonts w:ascii="Arial" w:hAnsi="Arial" w:cs="Arial"/>
          <w:color w:val="0D0D0D" w:themeColor="text1" w:themeTint="F2"/>
        </w:rPr>
        <w:t>think,</w:t>
      </w:r>
      <w:r w:rsidR="00DF43ED" w:rsidRPr="00500A97">
        <w:rPr>
          <w:rFonts w:ascii="Arial" w:hAnsi="Arial" w:cs="Arial"/>
          <w:color w:val="0D0D0D" w:themeColor="text1" w:themeTint="F2"/>
        </w:rPr>
        <w:t xml:space="preserve"> and it was a </w:t>
      </w:r>
      <w:r w:rsidR="000B582D" w:rsidRPr="00500A97">
        <w:rPr>
          <w:rFonts w:ascii="Arial" w:hAnsi="Arial" w:cs="Arial"/>
          <w:color w:val="0D0D0D" w:themeColor="text1" w:themeTint="F2"/>
        </w:rPr>
        <w:t xml:space="preserve">further catalyst for companies to keep implementing flexible working arrangements. </w:t>
      </w:r>
      <w:r w:rsidR="00287441" w:rsidRPr="00500A97">
        <w:rPr>
          <w:rFonts w:ascii="Arial" w:hAnsi="Arial" w:cs="Arial"/>
          <w:color w:val="0D0D0D" w:themeColor="text1" w:themeTint="F2"/>
        </w:rPr>
        <w:t>This is the reason,</w:t>
      </w:r>
      <w:r w:rsidR="00DF43ED" w:rsidRPr="00500A97">
        <w:rPr>
          <w:rFonts w:ascii="Arial" w:hAnsi="Arial" w:cs="Arial"/>
          <w:color w:val="0D0D0D" w:themeColor="text1" w:themeTint="F2"/>
        </w:rPr>
        <w:t xml:space="preserve"> </w:t>
      </w:r>
      <w:r w:rsidR="00287441" w:rsidRPr="00500A97">
        <w:rPr>
          <w:rFonts w:ascii="Arial" w:hAnsi="Arial" w:cs="Arial"/>
          <w:color w:val="0D0D0D" w:themeColor="text1" w:themeTint="F2"/>
        </w:rPr>
        <w:t>in past years, experts focus on analysing the business's flexibility strategy, flexibility practises, and the effect of flexible employment patterns on the company's performance.</w:t>
      </w:r>
      <w:r w:rsidR="00FE2461" w:rsidRPr="00500A97">
        <w:rPr>
          <w:rFonts w:ascii="Arial" w:hAnsi="Arial" w:cs="Arial"/>
          <w:color w:val="0D0D0D" w:themeColor="text1" w:themeTint="F2"/>
        </w:rPr>
        <w:t xml:space="preserve"> However, firms need to consider a number of factors in implementing flexible working arrangements, such as top management support, workers’ opinion, and culture and then evaluate the plan.</w:t>
      </w:r>
      <w:r w:rsidR="00BF5831" w:rsidRPr="00500A97">
        <w:rPr>
          <w:rFonts w:ascii="Arial" w:hAnsi="Arial" w:cs="Arial"/>
          <w:color w:val="0D0D0D" w:themeColor="text1" w:themeTint="F2"/>
        </w:rPr>
        <w:t xml:space="preserve"> Additionally, the employees have to be engaged, this is why it is imperative to continue conducting employee appraisals and organise team buildings even if they work remotely or part-time.  </w:t>
      </w:r>
    </w:p>
    <w:p w14:paraId="106AC91B" w14:textId="6A06C260" w:rsidR="00BF5831" w:rsidRPr="00500A97" w:rsidRDefault="00BF5831" w:rsidP="00500A97">
      <w:pPr>
        <w:spacing w:line="360" w:lineRule="auto"/>
        <w:jc w:val="both"/>
        <w:rPr>
          <w:rFonts w:ascii="Arial" w:hAnsi="Arial" w:cs="Arial"/>
          <w:color w:val="0D0D0D" w:themeColor="text1" w:themeTint="F2"/>
        </w:rPr>
      </w:pPr>
      <w:r w:rsidRPr="00500A97">
        <w:rPr>
          <w:rFonts w:ascii="Arial" w:hAnsi="Arial" w:cs="Arial"/>
          <w:color w:val="0D0D0D" w:themeColor="text1" w:themeTint="F2"/>
        </w:rPr>
        <w:t>Compensation is one of the key elements in the Employee Value Proposition. It includes pay and benefits and implies workers' satisfaction with their salaries, as well as other incentives like bonuses and factors like assessment systems.</w:t>
      </w:r>
      <w:r w:rsidR="00465C6C" w:rsidRPr="00500A97">
        <w:rPr>
          <w:rFonts w:ascii="Arial" w:hAnsi="Arial" w:cs="Arial"/>
          <w:color w:val="0D0D0D" w:themeColor="text1" w:themeTint="F2"/>
        </w:rPr>
        <w:t xml:space="preserve"> Therefore it is crucial to evaluate the compensation structure as it is a key element of a value proposition and it is the main point of attraction for talent.</w:t>
      </w:r>
    </w:p>
    <w:p w14:paraId="128F66F3" w14:textId="3BD3192C" w:rsidR="003878B5" w:rsidRDefault="003878B5" w:rsidP="00500A97">
      <w:pPr>
        <w:spacing w:line="360" w:lineRule="auto"/>
        <w:jc w:val="both"/>
        <w:rPr>
          <w:rFonts w:ascii="Arial" w:hAnsi="Arial" w:cs="Arial"/>
          <w:color w:val="0D0D0D" w:themeColor="text1" w:themeTint="F2"/>
        </w:rPr>
      </w:pPr>
    </w:p>
    <w:p w14:paraId="2C7979A3" w14:textId="65539208" w:rsidR="00500A97" w:rsidRDefault="00500A97" w:rsidP="00500A97">
      <w:pPr>
        <w:spacing w:line="360" w:lineRule="auto"/>
        <w:jc w:val="both"/>
        <w:rPr>
          <w:rFonts w:ascii="Arial" w:hAnsi="Arial" w:cs="Arial"/>
          <w:color w:val="0D0D0D" w:themeColor="text1" w:themeTint="F2"/>
        </w:rPr>
      </w:pPr>
    </w:p>
    <w:p w14:paraId="52163504" w14:textId="1A3C7740" w:rsidR="00500A97" w:rsidRDefault="00500A97" w:rsidP="00500A97">
      <w:pPr>
        <w:spacing w:line="360" w:lineRule="auto"/>
        <w:jc w:val="both"/>
        <w:rPr>
          <w:rFonts w:ascii="Arial" w:hAnsi="Arial" w:cs="Arial"/>
          <w:color w:val="0D0D0D" w:themeColor="text1" w:themeTint="F2"/>
        </w:rPr>
      </w:pPr>
    </w:p>
    <w:p w14:paraId="1CB79AB5" w14:textId="5201E102" w:rsidR="00500A97" w:rsidRDefault="00500A97" w:rsidP="00500A97">
      <w:pPr>
        <w:spacing w:line="360" w:lineRule="auto"/>
        <w:jc w:val="both"/>
        <w:rPr>
          <w:rFonts w:ascii="Arial" w:hAnsi="Arial" w:cs="Arial"/>
          <w:color w:val="0D0D0D" w:themeColor="text1" w:themeTint="F2"/>
        </w:rPr>
      </w:pPr>
    </w:p>
    <w:p w14:paraId="2D21E0DF" w14:textId="1767AE23" w:rsidR="00500A97" w:rsidRDefault="00500A97" w:rsidP="00500A97">
      <w:pPr>
        <w:spacing w:line="360" w:lineRule="auto"/>
        <w:jc w:val="both"/>
        <w:rPr>
          <w:rFonts w:ascii="Arial" w:hAnsi="Arial" w:cs="Arial"/>
          <w:color w:val="0D0D0D" w:themeColor="text1" w:themeTint="F2"/>
        </w:rPr>
      </w:pPr>
    </w:p>
    <w:p w14:paraId="7F9025CA" w14:textId="764305CF" w:rsidR="00500A97" w:rsidRDefault="00500A97" w:rsidP="00500A97">
      <w:pPr>
        <w:spacing w:line="360" w:lineRule="auto"/>
        <w:jc w:val="both"/>
        <w:rPr>
          <w:rFonts w:ascii="Arial" w:hAnsi="Arial" w:cs="Arial"/>
          <w:color w:val="0D0D0D" w:themeColor="text1" w:themeTint="F2"/>
        </w:rPr>
      </w:pPr>
    </w:p>
    <w:p w14:paraId="0442BDAE" w14:textId="5BC7EA97" w:rsidR="00500A97" w:rsidRDefault="00500A97" w:rsidP="00500A97">
      <w:pPr>
        <w:spacing w:line="360" w:lineRule="auto"/>
        <w:jc w:val="both"/>
        <w:rPr>
          <w:rFonts w:ascii="Arial" w:hAnsi="Arial" w:cs="Arial"/>
          <w:color w:val="0D0D0D" w:themeColor="text1" w:themeTint="F2"/>
        </w:rPr>
      </w:pPr>
    </w:p>
    <w:p w14:paraId="1F7F7A39" w14:textId="3EF56463" w:rsidR="00500A97" w:rsidRDefault="00500A97" w:rsidP="00500A97">
      <w:pPr>
        <w:spacing w:line="360" w:lineRule="auto"/>
        <w:jc w:val="both"/>
        <w:rPr>
          <w:rFonts w:ascii="Arial" w:hAnsi="Arial" w:cs="Arial"/>
          <w:color w:val="0D0D0D" w:themeColor="text1" w:themeTint="F2"/>
        </w:rPr>
      </w:pPr>
    </w:p>
    <w:p w14:paraId="6718F6EA" w14:textId="77777777" w:rsidR="00500A97" w:rsidRPr="00500A97" w:rsidRDefault="00500A97" w:rsidP="00500A97">
      <w:pPr>
        <w:spacing w:line="360" w:lineRule="auto"/>
        <w:jc w:val="both"/>
        <w:rPr>
          <w:rFonts w:ascii="Arial" w:hAnsi="Arial" w:cs="Arial"/>
          <w:color w:val="0D0D0D" w:themeColor="text1" w:themeTint="F2"/>
        </w:rPr>
      </w:pPr>
    </w:p>
    <w:p w14:paraId="0D5B73FC" w14:textId="1C1AFCFD" w:rsidR="00B97E93" w:rsidRPr="00500A97" w:rsidRDefault="003878B5" w:rsidP="00500A97">
      <w:pPr>
        <w:pStyle w:val="Heading1"/>
        <w:numPr>
          <w:ilvl w:val="0"/>
          <w:numId w:val="4"/>
        </w:numPr>
        <w:spacing w:line="360" w:lineRule="auto"/>
        <w:jc w:val="both"/>
        <w:rPr>
          <w:rFonts w:ascii="Arial" w:hAnsi="Arial" w:cs="Arial"/>
          <w:color w:val="0D0D0D" w:themeColor="text1" w:themeTint="F2"/>
          <w:sz w:val="22"/>
          <w:szCs w:val="22"/>
        </w:rPr>
      </w:pPr>
      <w:bookmarkStart w:id="13" w:name="_Toc130408868"/>
      <w:r w:rsidRPr="00500A97">
        <w:rPr>
          <w:rFonts w:ascii="Arial" w:hAnsi="Arial" w:cs="Arial"/>
          <w:color w:val="0D0D0D" w:themeColor="text1" w:themeTint="F2"/>
          <w:sz w:val="22"/>
          <w:szCs w:val="22"/>
        </w:rPr>
        <w:lastRenderedPageBreak/>
        <w:t>References</w:t>
      </w:r>
      <w:bookmarkEnd w:id="13"/>
    </w:p>
    <w:p w14:paraId="51CE7DC6" w14:textId="77777777" w:rsidR="003878B5" w:rsidRPr="00500A97" w:rsidRDefault="003878B5" w:rsidP="00500A97">
      <w:pPr>
        <w:pStyle w:val="ListParagraph"/>
        <w:spacing w:line="360" w:lineRule="auto"/>
        <w:jc w:val="both"/>
        <w:rPr>
          <w:rFonts w:ascii="Arial" w:hAnsi="Arial" w:cs="Arial"/>
          <w:color w:val="0D0D0D" w:themeColor="text1" w:themeTint="F2"/>
        </w:rPr>
      </w:pPr>
    </w:p>
    <w:p w14:paraId="6DFC72AA" w14:textId="77777777" w:rsidR="00500A97" w:rsidRPr="00500A97" w:rsidRDefault="00500A97" w:rsidP="00500A97">
      <w:pPr>
        <w:pStyle w:val="ListParagraph"/>
        <w:numPr>
          <w:ilvl w:val="0"/>
          <w:numId w:val="2"/>
        </w:numPr>
        <w:spacing w:line="360" w:lineRule="auto"/>
        <w:jc w:val="both"/>
        <w:rPr>
          <w:rFonts w:ascii="Arial" w:hAnsi="Arial" w:cs="Arial"/>
          <w:color w:val="0D0D0D" w:themeColor="text1" w:themeTint="F2"/>
        </w:rPr>
      </w:pPr>
      <w:r w:rsidRPr="00500A97">
        <w:rPr>
          <w:rFonts w:ascii="Arial" w:hAnsi="Arial" w:cs="Arial"/>
          <w:color w:val="0D0D0D" w:themeColor="text1" w:themeTint="F2"/>
        </w:rPr>
        <w:t xml:space="preserve">ACAS (2014) </w:t>
      </w:r>
      <w:r w:rsidRPr="00B7034D">
        <w:rPr>
          <w:rFonts w:ascii="Arial" w:hAnsi="Arial" w:cs="Arial"/>
          <w:i/>
          <w:iCs/>
          <w:color w:val="0D0D0D" w:themeColor="text1" w:themeTint="F2"/>
        </w:rPr>
        <w:t>Code of Practice 5 Code of Practice on handling in a reasonable manner requests to work flexibly.</w:t>
      </w:r>
      <w:r w:rsidRPr="00500A97">
        <w:rPr>
          <w:rFonts w:ascii="Arial" w:hAnsi="Arial" w:cs="Arial"/>
          <w:color w:val="0D0D0D" w:themeColor="text1" w:themeTint="F2"/>
        </w:rPr>
        <w:t xml:space="preserve"> Available at: </w:t>
      </w:r>
      <w:hyperlink r:id="rId10" w:history="1">
        <w:r w:rsidRPr="00500A97">
          <w:rPr>
            <w:rStyle w:val="Hyperlink"/>
            <w:rFonts w:ascii="Arial" w:hAnsi="Arial" w:cs="Arial"/>
            <w:color w:val="0D0D0D" w:themeColor="text1" w:themeTint="F2"/>
          </w:rPr>
          <w:t>https://www.acas.org.uk/acas-code-of-practice-on-flexible-working-requests/html</w:t>
        </w:r>
      </w:hyperlink>
      <w:r w:rsidRPr="00500A97">
        <w:rPr>
          <w:rFonts w:ascii="Arial" w:hAnsi="Arial" w:cs="Arial"/>
          <w:color w:val="0D0D0D" w:themeColor="text1" w:themeTint="F2"/>
        </w:rPr>
        <w:t xml:space="preserve"> </w:t>
      </w:r>
      <w:bookmarkStart w:id="14" w:name="_Hlk130029428"/>
      <w:r w:rsidRPr="00500A97">
        <w:rPr>
          <w:rFonts w:ascii="Arial" w:hAnsi="Arial" w:cs="Arial"/>
          <w:color w:val="0D0D0D" w:themeColor="text1" w:themeTint="F2"/>
        </w:rPr>
        <w:t>(Accessed 18 March 2023).</w:t>
      </w:r>
      <w:bookmarkEnd w:id="14"/>
    </w:p>
    <w:p w14:paraId="562E4437" w14:textId="77777777" w:rsidR="00B7034D" w:rsidRPr="00B7034D" w:rsidRDefault="00500A97" w:rsidP="00500A97">
      <w:pPr>
        <w:pStyle w:val="ListParagraph"/>
        <w:numPr>
          <w:ilvl w:val="0"/>
          <w:numId w:val="2"/>
        </w:numPr>
        <w:spacing w:line="360" w:lineRule="auto"/>
        <w:jc w:val="both"/>
        <w:rPr>
          <w:rFonts w:ascii="Arial" w:hAnsi="Arial" w:cs="Arial"/>
          <w:color w:val="0D0D0D" w:themeColor="text1" w:themeTint="F2"/>
        </w:rPr>
      </w:pPr>
      <w:bookmarkStart w:id="15" w:name="_Hlk130380957"/>
      <w:r w:rsidRPr="00B7034D">
        <w:rPr>
          <w:rFonts w:ascii="Arial" w:hAnsi="Arial" w:cs="Arial"/>
          <w:color w:val="0D0D0D" w:themeColor="text1" w:themeTint="F2"/>
        </w:rPr>
        <w:t>Atkinson, J.</w:t>
      </w:r>
      <w:r w:rsidR="00B7034D" w:rsidRPr="00B7034D">
        <w:rPr>
          <w:rFonts w:ascii="Arial" w:hAnsi="Arial" w:cs="Arial"/>
          <w:color w:val="0D0D0D" w:themeColor="text1" w:themeTint="F2"/>
        </w:rPr>
        <w:t xml:space="preserve"> (1984)</w:t>
      </w:r>
      <w:r w:rsidRPr="00B7034D">
        <w:rPr>
          <w:rFonts w:ascii="Arial" w:hAnsi="Arial" w:cs="Arial"/>
          <w:color w:val="0D0D0D" w:themeColor="text1" w:themeTint="F2"/>
        </w:rPr>
        <w:t xml:space="preserve"> </w:t>
      </w:r>
      <w:bookmarkEnd w:id="15"/>
      <w:r w:rsidR="00B7034D" w:rsidRPr="00B7034D">
        <w:rPr>
          <w:rFonts w:ascii="Arial" w:hAnsi="Arial" w:cs="Arial"/>
          <w:i/>
          <w:iCs/>
          <w:color w:val="0D0D0D" w:themeColor="text1" w:themeTint="F2"/>
        </w:rPr>
        <w:t xml:space="preserve">Flexibility, Uncertainty and Manpower Management, </w:t>
      </w:r>
      <w:r w:rsidR="00B7034D" w:rsidRPr="00B7034D">
        <w:rPr>
          <w:rFonts w:ascii="Arial" w:hAnsi="Arial" w:cs="Arial"/>
          <w:color w:val="0D0D0D" w:themeColor="text1" w:themeTint="F2"/>
        </w:rPr>
        <w:t xml:space="preserve">Report No. CN 526, </w:t>
      </w:r>
      <w:proofErr w:type="spellStart"/>
      <w:r w:rsidR="00B7034D" w:rsidRPr="00B7034D">
        <w:rPr>
          <w:rFonts w:ascii="Arial" w:hAnsi="Arial" w:cs="Arial"/>
          <w:color w:val="0D0D0D" w:themeColor="text1" w:themeTint="F2"/>
        </w:rPr>
        <w:t>Univesity</w:t>
      </w:r>
      <w:proofErr w:type="spellEnd"/>
      <w:r w:rsidR="00B7034D" w:rsidRPr="00B7034D">
        <w:rPr>
          <w:rFonts w:ascii="Arial" w:hAnsi="Arial" w:cs="Arial"/>
          <w:color w:val="0D0D0D" w:themeColor="text1" w:themeTint="F2"/>
        </w:rPr>
        <w:t xml:space="preserve"> of Sussex: Institute of Manpower Studies.</w:t>
      </w:r>
      <w:r w:rsidR="00B7034D" w:rsidRPr="00B7034D">
        <w:rPr>
          <w:rFonts w:ascii="Arial" w:hAnsi="Arial" w:cs="Arial"/>
          <w:i/>
          <w:iCs/>
          <w:color w:val="0D0D0D" w:themeColor="text1" w:themeTint="F2"/>
        </w:rPr>
        <w:t xml:space="preserve"> </w:t>
      </w:r>
    </w:p>
    <w:p w14:paraId="0D432A47" w14:textId="7309F245" w:rsidR="00500A97" w:rsidRPr="00B7034D" w:rsidRDefault="00500A97" w:rsidP="00500A97">
      <w:pPr>
        <w:pStyle w:val="ListParagraph"/>
        <w:numPr>
          <w:ilvl w:val="0"/>
          <w:numId w:val="2"/>
        </w:numPr>
        <w:spacing w:line="360" w:lineRule="auto"/>
        <w:jc w:val="both"/>
        <w:rPr>
          <w:rFonts w:ascii="Arial" w:hAnsi="Arial" w:cs="Arial"/>
          <w:color w:val="0D0D0D" w:themeColor="text1" w:themeTint="F2"/>
        </w:rPr>
      </w:pPr>
      <w:r w:rsidRPr="00B7034D">
        <w:rPr>
          <w:rFonts w:ascii="Arial" w:hAnsi="Arial" w:cs="Arial"/>
          <w:color w:val="0D0D0D" w:themeColor="text1" w:themeTint="F2"/>
        </w:rPr>
        <w:t xml:space="preserve">Bakker, A., &amp; Demerouti, E. (2007). </w:t>
      </w:r>
      <w:r w:rsidR="00B7034D">
        <w:rPr>
          <w:rFonts w:ascii="Arial" w:hAnsi="Arial" w:cs="Arial"/>
          <w:color w:val="0D0D0D" w:themeColor="text1" w:themeTint="F2"/>
        </w:rPr>
        <w:t>‘</w:t>
      </w:r>
      <w:r w:rsidRPr="00B7034D">
        <w:rPr>
          <w:rFonts w:ascii="Arial" w:hAnsi="Arial" w:cs="Arial"/>
          <w:color w:val="0D0D0D" w:themeColor="text1" w:themeTint="F2"/>
        </w:rPr>
        <w:t>The job demands-resources model</w:t>
      </w:r>
      <w:r w:rsidR="00B7034D">
        <w:rPr>
          <w:rFonts w:ascii="Arial" w:hAnsi="Arial" w:cs="Arial"/>
          <w:color w:val="0D0D0D" w:themeColor="text1" w:themeTint="F2"/>
        </w:rPr>
        <w:t>’.</w:t>
      </w:r>
      <w:r w:rsidRPr="00B7034D">
        <w:rPr>
          <w:rFonts w:ascii="Arial" w:hAnsi="Arial" w:cs="Arial"/>
          <w:color w:val="0D0D0D" w:themeColor="text1" w:themeTint="F2"/>
        </w:rPr>
        <w:t xml:space="preserve"> </w:t>
      </w:r>
      <w:r w:rsidRPr="00B7034D">
        <w:rPr>
          <w:rFonts w:ascii="Arial" w:hAnsi="Arial" w:cs="Arial"/>
          <w:i/>
          <w:iCs/>
          <w:color w:val="0D0D0D" w:themeColor="text1" w:themeTint="F2"/>
        </w:rPr>
        <w:t>State of the art. Journal of Managerial Psychology</w:t>
      </w:r>
      <w:r w:rsidRPr="00B7034D">
        <w:rPr>
          <w:rFonts w:ascii="Arial" w:hAnsi="Arial" w:cs="Arial"/>
          <w:color w:val="0D0D0D" w:themeColor="text1" w:themeTint="F2"/>
        </w:rPr>
        <w:t>, 22(3),</w:t>
      </w:r>
      <w:r w:rsidR="00B7034D">
        <w:rPr>
          <w:rFonts w:ascii="Arial" w:hAnsi="Arial" w:cs="Arial"/>
          <w:color w:val="0D0D0D" w:themeColor="text1" w:themeTint="F2"/>
        </w:rPr>
        <w:t xml:space="preserve"> pages</w:t>
      </w:r>
      <w:r w:rsidRPr="00B7034D">
        <w:rPr>
          <w:rFonts w:ascii="Arial" w:hAnsi="Arial" w:cs="Arial"/>
          <w:color w:val="0D0D0D" w:themeColor="text1" w:themeTint="F2"/>
        </w:rPr>
        <w:t xml:space="preserve"> 309-328</w:t>
      </w:r>
      <w:r w:rsidR="00B7034D">
        <w:rPr>
          <w:rFonts w:ascii="Arial" w:hAnsi="Arial" w:cs="Arial"/>
          <w:color w:val="0D0D0D" w:themeColor="text1" w:themeTint="F2"/>
        </w:rPr>
        <w:t xml:space="preserve">. Available at: </w:t>
      </w:r>
      <w:hyperlink r:id="rId11" w:history="1">
        <w:r w:rsidR="00B7034D" w:rsidRPr="00D37556">
          <w:rPr>
            <w:rStyle w:val="Hyperlink"/>
            <w:rFonts w:ascii="Arial" w:hAnsi="Arial" w:cs="Arial"/>
            <w:color w:val="056AD0" w:themeColor="hyperlink" w:themeTint="F2"/>
          </w:rPr>
          <w:t>https://doi.org/10.1108/02683940710733115</w:t>
        </w:r>
      </w:hyperlink>
      <w:r w:rsidR="007C3F6C">
        <w:rPr>
          <w:rStyle w:val="Hyperlink"/>
          <w:rFonts w:ascii="Arial" w:hAnsi="Arial" w:cs="Arial"/>
          <w:color w:val="0D0D0D" w:themeColor="text1" w:themeTint="F2"/>
        </w:rPr>
        <w:t xml:space="preserve"> </w:t>
      </w:r>
      <w:r w:rsidR="007C3F6C" w:rsidRPr="007C3F6C">
        <w:rPr>
          <w:rStyle w:val="Hyperlink"/>
          <w:rFonts w:ascii="Arial" w:hAnsi="Arial" w:cs="Arial"/>
          <w:color w:val="0D0D0D" w:themeColor="text1" w:themeTint="F2"/>
        </w:rPr>
        <w:t>(Accessed 17 March 2023).</w:t>
      </w:r>
    </w:p>
    <w:p w14:paraId="2CB4D81E" w14:textId="38F7C098" w:rsidR="00500A97" w:rsidRPr="00500A97" w:rsidRDefault="00500A97" w:rsidP="00500A97">
      <w:pPr>
        <w:pStyle w:val="ListParagraph"/>
        <w:numPr>
          <w:ilvl w:val="0"/>
          <w:numId w:val="2"/>
        </w:numPr>
        <w:spacing w:line="360" w:lineRule="auto"/>
        <w:jc w:val="both"/>
        <w:rPr>
          <w:rFonts w:ascii="Arial" w:hAnsi="Arial" w:cs="Arial"/>
          <w:color w:val="0D0D0D" w:themeColor="text1" w:themeTint="F2"/>
        </w:rPr>
      </w:pPr>
      <w:r w:rsidRPr="00500A97">
        <w:rPr>
          <w:rFonts w:ascii="Arial" w:hAnsi="Arial" w:cs="Arial"/>
          <w:color w:val="0D0D0D" w:themeColor="text1" w:themeTint="F2"/>
        </w:rPr>
        <w:t xml:space="preserve">Barry, L., et al. </w:t>
      </w:r>
      <w:r w:rsidR="007C3F6C">
        <w:rPr>
          <w:rFonts w:ascii="Arial" w:hAnsi="Arial" w:cs="Arial"/>
          <w:color w:val="0D0D0D" w:themeColor="text1" w:themeTint="F2"/>
        </w:rPr>
        <w:t xml:space="preserve">(2016) </w:t>
      </w:r>
      <w:r w:rsidRPr="007C3F6C">
        <w:rPr>
          <w:rFonts w:ascii="Arial" w:hAnsi="Arial" w:cs="Arial"/>
          <w:i/>
          <w:iCs/>
          <w:color w:val="0D0D0D" w:themeColor="text1" w:themeTint="F2"/>
        </w:rPr>
        <w:t>The Open Talent Economy</w:t>
      </w:r>
      <w:r w:rsidRPr="00500A97">
        <w:rPr>
          <w:rFonts w:ascii="Arial" w:hAnsi="Arial" w:cs="Arial"/>
          <w:color w:val="0D0D0D" w:themeColor="text1" w:themeTint="F2"/>
        </w:rPr>
        <w:t>. Deloitte Development</w:t>
      </w:r>
      <w:r w:rsidR="007C3F6C">
        <w:rPr>
          <w:rFonts w:ascii="Arial" w:hAnsi="Arial" w:cs="Arial"/>
          <w:color w:val="0D0D0D" w:themeColor="text1" w:themeTint="F2"/>
        </w:rPr>
        <w:t>: London</w:t>
      </w:r>
    </w:p>
    <w:p w14:paraId="31085189" w14:textId="266983F3" w:rsidR="00500A97" w:rsidRPr="00500A97" w:rsidRDefault="00500A97" w:rsidP="00500A97">
      <w:pPr>
        <w:pStyle w:val="ListParagraph"/>
        <w:numPr>
          <w:ilvl w:val="0"/>
          <w:numId w:val="2"/>
        </w:numPr>
        <w:spacing w:line="360" w:lineRule="auto"/>
        <w:jc w:val="both"/>
        <w:rPr>
          <w:rFonts w:ascii="Arial" w:hAnsi="Arial" w:cs="Arial"/>
          <w:color w:val="0D0D0D" w:themeColor="text1" w:themeTint="F2"/>
        </w:rPr>
      </w:pPr>
      <w:r w:rsidRPr="00500A97">
        <w:rPr>
          <w:rFonts w:ascii="Arial" w:hAnsi="Arial" w:cs="Arial"/>
          <w:color w:val="0D0D0D" w:themeColor="text1" w:themeTint="F2"/>
        </w:rPr>
        <w:t xml:space="preserve">Christian, M., Garza, A., &amp; Slaughter, J. (2011). </w:t>
      </w:r>
      <w:r w:rsidR="007C3F6C">
        <w:rPr>
          <w:rFonts w:ascii="Arial" w:hAnsi="Arial" w:cs="Arial"/>
          <w:color w:val="0D0D0D" w:themeColor="text1" w:themeTint="F2"/>
        </w:rPr>
        <w:t>‘</w:t>
      </w:r>
      <w:r w:rsidRPr="00500A97">
        <w:rPr>
          <w:rFonts w:ascii="Arial" w:hAnsi="Arial" w:cs="Arial"/>
          <w:color w:val="0D0D0D" w:themeColor="text1" w:themeTint="F2"/>
        </w:rPr>
        <w:t>Work engagement: A quantitative review and test of its relations with task and contextual performance</w:t>
      </w:r>
      <w:r w:rsidR="007C3F6C">
        <w:rPr>
          <w:rFonts w:ascii="Arial" w:hAnsi="Arial" w:cs="Arial"/>
          <w:color w:val="0D0D0D" w:themeColor="text1" w:themeTint="F2"/>
        </w:rPr>
        <w:t>’</w:t>
      </w:r>
      <w:r w:rsidRPr="00500A97">
        <w:rPr>
          <w:rFonts w:ascii="Arial" w:hAnsi="Arial" w:cs="Arial"/>
          <w:color w:val="0D0D0D" w:themeColor="text1" w:themeTint="F2"/>
        </w:rPr>
        <w:t xml:space="preserve">. </w:t>
      </w:r>
      <w:r w:rsidRPr="007C3F6C">
        <w:rPr>
          <w:rFonts w:ascii="Arial" w:hAnsi="Arial" w:cs="Arial"/>
          <w:i/>
          <w:iCs/>
          <w:color w:val="0D0D0D" w:themeColor="text1" w:themeTint="F2"/>
        </w:rPr>
        <w:t>Personnel Psychology</w:t>
      </w:r>
      <w:r w:rsidRPr="00500A97">
        <w:rPr>
          <w:rFonts w:ascii="Arial" w:hAnsi="Arial" w:cs="Arial"/>
          <w:color w:val="0D0D0D" w:themeColor="text1" w:themeTint="F2"/>
        </w:rPr>
        <w:t xml:space="preserve">, 64(1), </w:t>
      </w:r>
      <w:r w:rsidR="007C3F6C">
        <w:rPr>
          <w:rFonts w:ascii="Arial" w:hAnsi="Arial" w:cs="Arial"/>
          <w:color w:val="0D0D0D" w:themeColor="text1" w:themeTint="F2"/>
        </w:rPr>
        <w:t>Available at:</w:t>
      </w:r>
      <w:r w:rsidRPr="00500A97">
        <w:rPr>
          <w:rFonts w:ascii="Arial" w:hAnsi="Arial" w:cs="Arial"/>
          <w:color w:val="0D0D0D" w:themeColor="text1" w:themeTint="F2"/>
        </w:rPr>
        <w:t xml:space="preserve"> </w:t>
      </w:r>
      <w:hyperlink r:id="rId12" w:history="1">
        <w:r w:rsidRPr="00500A97">
          <w:rPr>
            <w:rStyle w:val="Hyperlink"/>
            <w:rFonts w:ascii="Arial" w:hAnsi="Arial" w:cs="Arial"/>
            <w:color w:val="0D0D0D" w:themeColor="text1" w:themeTint="F2"/>
          </w:rPr>
          <w:t>https://doi.org/10.1111/j.1744-6570.2010.01203.x</w:t>
        </w:r>
      </w:hyperlink>
      <w:r w:rsidR="007C3F6C">
        <w:rPr>
          <w:rStyle w:val="Hyperlink"/>
          <w:rFonts w:ascii="Arial" w:hAnsi="Arial" w:cs="Arial"/>
          <w:color w:val="0D0D0D" w:themeColor="text1" w:themeTint="F2"/>
        </w:rPr>
        <w:t xml:space="preserve"> </w:t>
      </w:r>
      <w:r w:rsidR="007C3F6C" w:rsidRPr="007C3F6C">
        <w:rPr>
          <w:rStyle w:val="Hyperlink"/>
          <w:rFonts w:ascii="Arial" w:hAnsi="Arial" w:cs="Arial"/>
          <w:color w:val="0D0D0D" w:themeColor="text1" w:themeTint="F2"/>
        </w:rPr>
        <w:t>(Accessed 17 March 2023).</w:t>
      </w:r>
    </w:p>
    <w:p w14:paraId="2E52DD0A" w14:textId="77777777" w:rsidR="00B7034D" w:rsidRDefault="00500A97" w:rsidP="00B7034D">
      <w:pPr>
        <w:pStyle w:val="ListParagraph"/>
        <w:numPr>
          <w:ilvl w:val="0"/>
          <w:numId w:val="2"/>
        </w:numPr>
        <w:spacing w:line="360" w:lineRule="auto"/>
        <w:jc w:val="both"/>
        <w:rPr>
          <w:rFonts w:ascii="Arial" w:hAnsi="Arial" w:cs="Arial"/>
          <w:color w:val="0D0D0D" w:themeColor="text1" w:themeTint="F2"/>
        </w:rPr>
      </w:pPr>
      <w:r w:rsidRPr="00500A97">
        <w:rPr>
          <w:rFonts w:ascii="Arial" w:hAnsi="Arial" w:cs="Arial"/>
          <w:color w:val="0D0D0D" w:themeColor="text1" w:themeTint="F2"/>
        </w:rPr>
        <w:t xml:space="preserve">CIPD (2022) Flexible working practices. Available at </w:t>
      </w:r>
      <w:hyperlink r:id="rId13" w:anchor="gref" w:history="1">
        <w:r w:rsidRPr="00500A97">
          <w:rPr>
            <w:rStyle w:val="Hyperlink"/>
            <w:rFonts w:ascii="Arial" w:hAnsi="Arial" w:cs="Arial"/>
            <w:color w:val="0D0D0D" w:themeColor="text1" w:themeTint="F2"/>
          </w:rPr>
          <w:t>https://www.cipd.co.uk/knowledge/fundamentals/relations/flexible-working/factsheet#gref</w:t>
        </w:r>
      </w:hyperlink>
      <w:r w:rsidRPr="00500A97">
        <w:rPr>
          <w:rFonts w:ascii="Arial" w:hAnsi="Arial" w:cs="Arial"/>
          <w:color w:val="0D0D0D" w:themeColor="text1" w:themeTint="F2"/>
        </w:rPr>
        <w:t xml:space="preserve"> </w:t>
      </w:r>
      <w:bookmarkStart w:id="16" w:name="_Hlk130017770"/>
      <w:r w:rsidRPr="00500A97">
        <w:rPr>
          <w:rFonts w:ascii="Arial" w:hAnsi="Arial" w:cs="Arial"/>
          <w:color w:val="0D0D0D" w:themeColor="text1" w:themeTint="F2"/>
        </w:rPr>
        <w:t>(Accessed 17 March 2023).</w:t>
      </w:r>
      <w:bookmarkEnd w:id="16"/>
    </w:p>
    <w:p w14:paraId="27FDBB88" w14:textId="38878DC4" w:rsidR="00500A97" w:rsidRPr="00B7034D" w:rsidRDefault="00500A97" w:rsidP="00B7034D">
      <w:pPr>
        <w:pStyle w:val="ListParagraph"/>
        <w:numPr>
          <w:ilvl w:val="0"/>
          <w:numId w:val="2"/>
        </w:numPr>
        <w:spacing w:line="360" w:lineRule="auto"/>
        <w:jc w:val="both"/>
        <w:rPr>
          <w:rFonts w:ascii="Arial" w:hAnsi="Arial" w:cs="Arial"/>
          <w:color w:val="0D0D0D" w:themeColor="text1" w:themeTint="F2"/>
        </w:rPr>
      </w:pPr>
      <w:r w:rsidRPr="00B7034D">
        <w:rPr>
          <w:rFonts w:ascii="Arial" w:hAnsi="Arial" w:cs="Arial"/>
          <w:color w:val="0D0D0D" w:themeColor="text1" w:themeTint="F2"/>
        </w:rPr>
        <w:t xml:space="preserve">Down, R. (2019) Can working from home increase employee productivity? </w:t>
      </w:r>
      <w:r w:rsidR="007C3F6C">
        <w:rPr>
          <w:rFonts w:ascii="Arial" w:hAnsi="Arial" w:cs="Arial"/>
          <w:color w:val="0D0D0D" w:themeColor="text1" w:themeTint="F2"/>
        </w:rPr>
        <w:t xml:space="preserve">Available at: </w:t>
      </w:r>
      <w:hyperlink r:id="rId14" w:history="1">
        <w:r w:rsidR="007C3F6C" w:rsidRPr="00D37556">
          <w:rPr>
            <w:rStyle w:val="Hyperlink"/>
            <w:rFonts w:ascii="Arial" w:hAnsi="Arial" w:cs="Arial"/>
            <w:color w:val="056AD0" w:themeColor="hyperlink" w:themeTint="F2"/>
          </w:rPr>
          <w:t>https://www.breathehr.com/en-gb/blog/topic/remote-working/can-working-from-home-increase-employee-productivity</w:t>
        </w:r>
      </w:hyperlink>
      <w:r w:rsidRPr="00B7034D">
        <w:rPr>
          <w:rFonts w:ascii="Arial" w:hAnsi="Arial" w:cs="Arial"/>
          <w:color w:val="0D0D0D" w:themeColor="text1" w:themeTint="F2"/>
        </w:rPr>
        <w:t xml:space="preserve"> </w:t>
      </w:r>
      <w:bookmarkStart w:id="17" w:name="_Hlk130024727"/>
      <w:r w:rsidRPr="00B7034D">
        <w:rPr>
          <w:rFonts w:ascii="Arial" w:hAnsi="Arial" w:cs="Arial"/>
          <w:color w:val="0D0D0D" w:themeColor="text1" w:themeTint="F2"/>
        </w:rPr>
        <w:t>(Accessed 18 March 2023).</w:t>
      </w:r>
      <w:bookmarkEnd w:id="17"/>
    </w:p>
    <w:p w14:paraId="0A677153" w14:textId="4F014BAF" w:rsidR="00500A97" w:rsidRPr="00500A97" w:rsidRDefault="00500A97" w:rsidP="00500A97">
      <w:pPr>
        <w:pStyle w:val="ListParagraph"/>
        <w:numPr>
          <w:ilvl w:val="0"/>
          <w:numId w:val="2"/>
        </w:numPr>
        <w:spacing w:line="360" w:lineRule="auto"/>
        <w:jc w:val="both"/>
        <w:rPr>
          <w:rFonts w:ascii="Arial" w:hAnsi="Arial" w:cs="Arial"/>
          <w:color w:val="0D0D0D" w:themeColor="text1" w:themeTint="F2"/>
        </w:rPr>
      </w:pPr>
      <w:r w:rsidRPr="00500A97">
        <w:rPr>
          <w:rFonts w:ascii="Arial" w:hAnsi="Arial" w:cs="Arial"/>
          <w:color w:val="0D0D0D" w:themeColor="text1" w:themeTint="F2"/>
        </w:rPr>
        <w:t>Forbes, S.</w:t>
      </w:r>
      <w:r w:rsidR="007C3F6C">
        <w:rPr>
          <w:rFonts w:ascii="Arial" w:hAnsi="Arial" w:cs="Arial"/>
          <w:color w:val="0D0D0D" w:themeColor="text1" w:themeTint="F2"/>
        </w:rPr>
        <w:t xml:space="preserve"> et al, (</w:t>
      </w:r>
      <w:r w:rsidRPr="00500A97">
        <w:rPr>
          <w:rFonts w:ascii="Arial" w:hAnsi="Arial" w:cs="Arial"/>
          <w:color w:val="0D0D0D" w:themeColor="text1" w:themeTint="F2"/>
        </w:rPr>
        <w:t>2020</w:t>
      </w:r>
      <w:r w:rsidR="007C3F6C">
        <w:rPr>
          <w:rFonts w:ascii="Arial" w:hAnsi="Arial" w:cs="Arial"/>
          <w:color w:val="0D0D0D" w:themeColor="text1" w:themeTint="F2"/>
        </w:rPr>
        <w:t>)</w:t>
      </w:r>
      <w:r w:rsidRPr="00500A97">
        <w:rPr>
          <w:rFonts w:ascii="Arial" w:hAnsi="Arial" w:cs="Arial"/>
          <w:color w:val="0D0D0D" w:themeColor="text1" w:themeTint="F2"/>
        </w:rPr>
        <w:t xml:space="preserve">. </w:t>
      </w:r>
      <w:r w:rsidRPr="007C3F6C">
        <w:rPr>
          <w:rFonts w:ascii="Arial" w:hAnsi="Arial" w:cs="Arial"/>
          <w:i/>
          <w:iCs/>
          <w:color w:val="0D0D0D" w:themeColor="text1" w:themeTint="F2"/>
        </w:rPr>
        <w:t>Managing employees during the COVID-19 pandemic: Flexible working and the future of work.</w:t>
      </w:r>
      <w:r w:rsidRPr="00500A97">
        <w:rPr>
          <w:rFonts w:ascii="Arial" w:hAnsi="Arial" w:cs="Arial"/>
          <w:color w:val="0D0D0D" w:themeColor="text1" w:themeTint="F2"/>
        </w:rPr>
        <w:t xml:space="preserve"> Available at: https://kar.kent.ac.uk/85918/1/managerial-experiences-during-covid-19-2020-accessible.pdf </w:t>
      </w:r>
      <w:bookmarkStart w:id="18" w:name="_Hlk130019150"/>
      <w:r w:rsidRPr="00500A97">
        <w:rPr>
          <w:rFonts w:ascii="Arial" w:hAnsi="Arial" w:cs="Arial"/>
          <w:color w:val="0D0D0D" w:themeColor="text1" w:themeTint="F2"/>
        </w:rPr>
        <w:t>(Accessed 18 March 2023).</w:t>
      </w:r>
      <w:bookmarkEnd w:id="18"/>
    </w:p>
    <w:p w14:paraId="452D0904" w14:textId="77777777" w:rsidR="00500A97" w:rsidRPr="00500A97" w:rsidRDefault="00500A97" w:rsidP="00500A97">
      <w:pPr>
        <w:pStyle w:val="ListParagraph"/>
        <w:numPr>
          <w:ilvl w:val="0"/>
          <w:numId w:val="2"/>
        </w:numPr>
        <w:spacing w:line="360" w:lineRule="auto"/>
        <w:jc w:val="both"/>
        <w:rPr>
          <w:rFonts w:ascii="Arial" w:hAnsi="Arial" w:cs="Arial"/>
          <w:color w:val="0D0D0D" w:themeColor="text1" w:themeTint="F2"/>
        </w:rPr>
      </w:pPr>
      <w:proofErr w:type="spellStart"/>
      <w:r w:rsidRPr="00500A97">
        <w:rPr>
          <w:rFonts w:ascii="Arial" w:hAnsi="Arial" w:cs="Arial"/>
          <w:color w:val="0D0D0D" w:themeColor="text1" w:themeTint="F2"/>
        </w:rPr>
        <w:t>Findlater</w:t>
      </w:r>
      <w:proofErr w:type="spellEnd"/>
      <w:r w:rsidRPr="00500A97">
        <w:rPr>
          <w:rFonts w:ascii="Arial" w:hAnsi="Arial" w:cs="Arial"/>
          <w:color w:val="0D0D0D" w:themeColor="text1" w:themeTint="F2"/>
        </w:rPr>
        <w:t xml:space="preserve">, S. (n.d.) </w:t>
      </w:r>
      <w:proofErr w:type="spellStart"/>
      <w:r w:rsidRPr="00500A97">
        <w:rPr>
          <w:rFonts w:ascii="Arial" w:hAnsi="Arial" w:cs="Arial"/>
          <w:color w:val="0D0D0D" w:themeColor="text1" w:themeTint="F2"/>
        </w:rPr>
        <w:t>Worklife</w:t>
      </w:r>
      <w:proofErr w:type="spellEnd"/>
      <w:r w:rsidRPr="00500A97">
        <w:rPr>
          <w:rFonts w:ascii="Arial" w:hAnsi="Arial" w:cs="Arial"/>
          <w:color w:val="0D0D0D" w:themeColor="text1" w:themeTint="F2"/>
        </w:rPr>
        <w:t xml:space="preserve">: </w:t>
      </w:r>
      <w:r w:rsidRPr="007C3F6C">
        <w:rPr>
          <w:rFonts w:ascii="Arial" w:hAnsi="Arial" w:cs="Arial"/>
          <w:i/>
          <w:iCs/>
          <w:color w:val="0D0D0D" w:themeColor="text1" w:themeTint="F2"/>
        </w:rPr>
        <w:t>Our new flexible working offering</w:t>
      </w:r>
      <w:r w:rsidRPr="00500A97">
        <w:rPr>
          <w:rFonts w:ascii="Arial" w:hAnsi="Arial" w:cs="Arial"/>
          <w:color w:val="0D0D0D" w:themeColor="text1" w:themeTint="F2"/>
        </w:rPr>
        <w:t xml:space="preserve">. Available at: </w:t>
      </w:r>
      <w:hyperlink r:id="rId15" w:history="1">
        <w:r w:rsidRPr="00500A97">
          <w:rPr>
            <w:rStyle w:val="Hyperlink"/>
            <w:rFonts w:ascii="Arial" w:hAnsi="Arial" w:cs="Arial"/>
            <w:color w:val="0D0D0D" w:themeColor="text1" w:themeTint="F2"/>
          </w:rPr>
          <w:t>https://corporate.marksandspencer.com/worklife-our-new-flexible-working-offering</w:t>
        </w:r>
      </w:hyperlink>
      <w:r w:rsidRPr="00500A97">
        <w:rPr>
          <w:rFonts w:ascii="Arial" w:hAnsi="Arial" w:cs="Arial"/>
          <w:color w:val="0D0D0D" w:themeColor="text1" w:themeTint="F2"/>
        </w:rPr>
        <w:t xml:space="preserve"> (Accessed 17 March 2023).</w:t>
      </w:r>
    </w:p>
    <w:p w14:paraId="22202BD0" w14:textId="77777777" w:rsidR="00500A97" w:rsidRPr="00500A97" w:rsidRDefault="00500A97" w:rsidP="00500A97">
      <w:pPr>
        <w:pStyle w:val="ListParagraph"/>
        <w:numPr>
          <w:ilvl w:val="0"/>
          <w:numId w:val="2"/>
        </w:numPr>
        <w:spacing w:line="360" w:lineRule="auto"/>
        <w:jc w:val="both"/>
        <w:rPr>
          <w:rFonts w:ascii="Arial" w:hAnsi="Arial" w:cs="Arial"/>
          <w:color w:val="0D0D0D" w:themeColor="text1" w:themeTint="F2"/>
        </w:rPr>
      </w:pPr>
      <w:r w:rsidRPr="00500A97">
        <w:rPr>
          <w:rFonts w:ascii="Arial" w:hAnsi="Arial" w:cs="Arial"/>
          <w:color w:val="0D0D0D" w:themeColor="text1" w:themeTint="F2"/>
        </w:rPr>
        <w:t xml:space="preserve">GOV.UK (n.d.) </w:t>
      </w:r>
      <w:r w:rsidRPr="007C3F6C">
        <w:rPr>
          <w:rFonts w:ascii="Arial" w:hAnsi="Arial" w:cs="Arial"/>
          <w:i/>
          <w:iCs/>
          <w:color w:val="0D0D0D" w:themeColor="text1" w:themeTint="F2"/>
        </w:rPr>
        <w:t>Flexible Working</w:t>
      </w:r>
      <w:r w:rsidRPr="00500A97">
        <w:rPr>
          <w:rFonts w:ascii="Arial" w:hAnsi="Arial" w:cs="Arial"/>
          <w:color w:val="0D0D0D" w:themeColor="text1" w:themeTint="F2"/>
        </w:rPr>
        <w:t xml:space="preserve">. Available at: </w:t>
      </w:r>
      <w:hyperlink r:id="rId16" w:history="1">
        <w:r w:rsidRPr="00500A97">
          <w:rPr>
            <w:rStyle w:val="Hyperlink"/>
            <w:rFonts w:ascii="Arial" w:hAnsi="Arial" w:cs="Arial"/>
            <w:color w:val="0D0D0D" w:themeColor="text1" w:themeTint="F2"/>
          </w:rPr>
          <w:t>https://www.gov.uk/flexible-working</w:t>
        </w:r>
      </w:hyperlink>
      <w:r w:rsidRPr="00500A97">
        <w:rPr>
          <w:rFonts w:ascii="Arial" w:hAnsi="Arial" w:cs="Arial"/>
          <w:color w:val="0D0D0D" w:themeColor="text1" w:themeTint="F2"/>
        </w:rPr>
        <w:t xml:space="preserve"> </w:t>
      </w:r>
      <w:bookmarkStart w:id="19" w:name="_Hlk130408304"/>
      <w:r w:rsidRPr="00500A97">
        <w:rPr>
          <w:rFonts w:ascii="Arial" w:hAnsi="Arial" w:cs="Arial"/>
          <w:color w:val="0D0D0D" w:themeColor="text1" w:themeTint="F2"/>
        </w:rPr>
        <w:t>(Accessed 22 March 2023)</w:t>
      </w:r>
      <w:bookmarkEnd w:id="19"/>
      <w:r w:rsidRPr="00500A97">
        <w:rPr>
          <w:rFonts w:ascii="Arial" w:hAnsi="Arial" w:cs="Arial"/>
          <w:color w:val="0D0D0D" w:themeColor="text1" w:themeTint="F2"/>
        </w:rPr>
        <w:t>.</w:t>
      </w:r>
    </w:p>
    <w:p w14:paraId="47900D12" w14:textId="52BFF1FB" w:rsidR="009F577D" w:rsidRPr="00500A97" w:rsidRDefault="00500A97" w:rsidP="00500A97">
      <w:pPr>
        <w:pStyle w:val="ListParagraph"/>
        <w:numPr>
          <w:ilvl w:val="0"/>
          <w:numId w:val="2"/>
        </w:numPr>
        <w:spacing w:line="360" w:lineRule="auto"/>
        <w:jc w:val="both"/>
        <w:rPr>
          <w:rFonts w:ascii="Arial" w:hAnsi="Arial" w:cs="Arial"/>
          <w:color w:val="0D0D0D" w:themeColor="text1" w:themeTint="F2"/>
        </w:rPr>
      </w:pPr>
      <w:proofErr w:type="spellStart"/>
      <w:r w:rsidRPr="00500A97">
        <w:rPr>
          <w:rFonts w:ascii="Arial" w:hAnsi="Arial" w:cs="Arial"/>
          <w:color w:val="0D0D0D" w:themeColor="text1" w:themeTint="F2"/>
        </w:rPr>
        <w:t>Liakopoulos</w:t>
      </w:r>
      <w:proofErr w:type="spellEnd"/>
      <w:r w:rsidRPr="00500A97">
        <w:rPr>
          <w:rFonts w:ascii="Arial" w:hAnsi="Arial" w:cs="Arial"/>
          <w:color w:val="0D0D0D" w:themeColor="text1" w:themeTint="F2"/>
        </w:rPr>
        <w:t>, A.</w:t>
      </w:r>
      <w:r w:rsidR="007C3F6C">
        <w:rPr>
          <w:rFonts w:ascii="Arial" w:hAnsi="Arial" w:cs="Arial"/>
          <w:color w:val="0D0D0D" w:themeColor="text1" w:themeTint="F2"/>
        </w:rPr>
        <w:t>(2013)</w:t>
      </w:r>
      <w:r w:rsidRPr="00500A97">
        <w:rPr>
          <w:rFonts w:ascii="Arial" w:hAnsi="Arial" w:cs="Arial"/>
          <w:color w:val="0D0D0D" w:themeColor="text1" w:themeTint="F2"/>
        </w:rPr>
        <w:t xml:space="preserve"> </w:t>
      </w:r>
      <w:r w:rsidRPr="007C3F6C">
        <w:rPr>
          <w:rFonts w:ascii="Arial" w:hAnsi="Arial" w:cs="Arial"/>
          <w:i/>
          <w:iCs/>
          <w:color w:val="0D0D0D" w:themeColor="text1" w:themeTint="F2"/>
        </w:rPr>
        <w:t xml:space="preserve">The Open Talent Economy: People and Work in a Borderless Workplace </w:t>
      </w:r>
      <w:r w:rsidRPr="00500A97">
        <w:rPr>
          <w:rFonts w:ascii="Arial" w:hAnsi="Arial" w:cs="Arial"/>
          <w:color w:val="0D0D0D" w:themeColor="text1" w:themeTint="F2"/>
        </w:rPr>
        <w:t xml:space="preserve"> Deloitte Development LLC</w:t>
      </w:r>
      <w:r w:rsidR="00B7034D">
        <w:rPr>
          <w:rFonts w:ascii="Arial" w:hAnsi="Arial" w:cs="Arial"/>
          <w:color w:val="0D0D0D" w:themeColor="text1" w:themeTint="F2"/>
        </w:rPr>
        <w:t xml:space="preserve">. </w:t>
      </w:r>
      <w:bookmarkStart w:id="20" w:name="_Hlk129952450"/>
    </w:p>
    <w:p w14:paraId="26D8E07B" w14:textId="6DEA3AC4" w:rsidR="00436A4D" w:rsidRPr="00500A97" w:rsidRDefault="00B97E93" w:rsidP="00500A97">
      <w:pPr>
        <w:pStyle w:val="ListParagraph"/>
        <w:numPr>
          <w:ilvl w:val="0"/>
          <w:numId w:val="2"/>
        </w:numPr>
        <w:spacing w:line="360" w:lineRule="auto"/>
        <w:jc w:val="both"/>
        <w:rPr>
          <w:rFonts w:ascii="Arial" w:hAnsi="Arial" w:cs="Arial"/>
          <w:color w:val="0D0D0D" w:themeColor="text1" w:themeTint="F2"/>
        </w:rPr>
      </w:pPr>
      <w:bookmarkStart w:id="21" w:name="_Hlk130729198"/>
      <w:bookmarkEnd w:id="20"/>
      <w:r w:rsidRPr="00500A97">
        <w:rPr>
          <w:rFonts w:ascii="Arial" w:hAnsi="Arial" w:cs="Arial"/>
          <w:color w:val="0D0D0D" w:themeColor="text1" w:themeTint="F2"/>
        </w:rPr>
        <w:t xml:space="preserve">Office for National Statistics (2020) </w:t>
      </w:r>
      <w:bookmarkEnd w:id="21"/>
      <w:r w:rsidRPr="007C3F6C">
        <w:rPr>
          <w:rFonts w:ascii="Arial" w:hAnsi="Arial" w:cs="Arial"/>
          <w:i/>
          <w:iCs/>
          <w:color w:val="0D0D0D" w:themeColor="text1" w:themeTint="F2"/>
        </w:rPr>
        <w:t>Coronavirus and homeworking in the UK: April 2020.</w:t>
      </w:r>
      <w:r w:rsidRPr="00500A97">
        <w:rPr>
          <w:rFonts w:ascii="Arial" w:hAnsi="Arial" w:cs="Arial"/>
          <w:color w:val="0D0D0D" w:themeColor="text1" w:themeTint="F2"/>
        </w:rPr>
        <w:t xml:space="preserve"> Available at: </w:t>
      </w:r>
      <w:hyperlink r:id="rId17" w:history="1">
        <w:r w:rsidRPr="00500A97">
          <w:rPr>
            <w:rStyle w:val="Hyperlink"/>
            <w:rFonts w:ascii="Arial" w:hAnsi="Arial" w:cs="Arial"/>
            <w:color w:val="0D0D0D" w:themeColor="text1" w:themeTint="F2"/>
          </w:rPr>
          <w:t>https://www.ons.gov.uk/employmentandlabourmarket/peopleinwork/employmentandemployeetypes/bulletins/coronavirusandhomeworkingintheuk/april2020</w:t>
        </w:r>
      </w:hyperlink>
      <w:r w:rsidRPr="00500A97">
        <w:rPr>
          <w:rFonts w:ascii="Arial" w:hAnsi="Arial" w:cs="Arial"/>
          <w:color w:val="0D0D0D" w:themeColor="text1" w:themeTint="F2"/>
        </w:rPr>
        <w:t xml:space="preserve"> </w:t>
      </w:r>
      <w:bookmarkStart w:id="22" w:name="_Hlk130020293"/>
      <w:r w:rsidRPr="00500A97">
        <w:rPr>
          <w:rFonts w:ascii="Arial" w:hAnsi="Arial" w:cs="Arial"/>
          <w:color w:val="0D0D0D" w:themeColor="text1" w:themeTint="F2"/>
        </w:rPr>
        <w:t>(Accessed 18 March 2023).</w:t>
      </w:r>
    </w:p>
    <w:p w14:paraId="5D981309" w14:textId="4081AF87" w:rsidR="00B322B3" w:rsidRPr="00B7034D" w:rsidRDefault="00500A97" w:rsidP="00B7034D">
      <w:pPr>
        <w:pStyle w:val="ListParagraph"/>
        <w:numPr>
          <w:ilvl w:val="0"/>
          <w:numId w:val="2"/>
        </w:numPr>
        <w:spacing w:line="360" w:lineRule="auto"/>
        <w:jc w:val="both"/>
        <w:rPr>
          <w:rFonts w:ascii="Arial" w:hAnsi="Arial" w:cs="Arial"/>
          <w:color w:val="0D0D0D" w:themeColor="text1" w:themeTint="F2"/>
        </w:rPr>
      </w:pPr>
      <w:bookmarkStart w:id="23" w:name="_Hlk130378571"/>
      <w:bookmarkEnd w:id="22"/>
      <w:r w:rsidRPr="00500A97">
        <w:rPr>
          <w:rFonts w:ascii="Arial" w:hAnsi="Arial" w:cs="Arial"/>
          <w:color w:val="0D0D0D" w:themeColor="text1" w:themeTint="F2"/>
        </w:rPr>
        <w:lastRenderedPageBreak/>
        <w:t xml:space="preserve">Talent Insight Group (2023) </w:t>
      </w:r>
      <w:r w:rsidRPr="007C3F6C">
        <w:rPr>
          <w:rFonts w:ascii="Arial" w:hAnsi="Arial" w:cs="Arial"/>
          <w:i/>
          <w:iCs/>
          <w:color w:val="0D0D0D" w:themeColor="text1" w:themeTint="F2"/>
        </w:rPr>
        <w:t>Salary Benchmarking: A Guide to Pay and Rewards.</w:t>
      </w:r>
      <w:r w:rsidRPr="00500A97">
        <w:rPr>
          <w:rFonts w:ascii="Arial" w:hAnsi="Arial" w:cs="Arial"/>
          <w:color w:val="0D0D0D" w:themeColor="text1" w:themeTint="F2"/>
        </w:rPr>
        <w:t xml:space="preserve"> Available at: </w:t>
      </w:r>
      <w:hyperlink r:id="rId18" w:history="1">
        <w:r w:rsidRPr="00500A97">
          <w:rPr>
            <w:rStyle w:val="Hyperlink"/>
            <w:rFonts w:ascii="Arial" w:hAnsi="Arial" w:cs="Arial"/>
            <w:color w:val="0D0D0D" w:themeColor="text1" w:themeTint="F2"/>
          </w:rPr>
          <w:t>https://www.talentinsightgroup.co.uk/insights/salary-benchmarking</w:t>
        </w:r>
      </w:hyperlink>
      <w:r w:rsidRPr="00500A97">
        <w:rPr>
          <w:rFonts w:ascii="Arial" w:hAnsi="Arial" w:cs="Arial"/>
          <w:color w:val="0D0D0D" w:themeColor="text1" w:themeTint="F2"/>
        </w:rPr>
        <w:t xml:space="preserve"> (Accessed 22 March 2023)</w:t>
      </w:r>
    </w:p>
    <w:p w14:paraId="2685929D" w14:textId="68CF3B25" w:rsidR="00B322B3" w:rsidRPr="00500A97" w:rsidRDefault="00B322B3" w:rsidP="00500A97">
      <w:pPr>
        <w:pStyle w:val="ListParagraph"/>
        <w:numPr>
          <w:ilvl w:val="0"/>
          <w:numId w:val="2"/>
        </w:numPr>
        <w:spacing w:line="360" w:lineRule="auto"/>
        <w:jc w:val="both"/>
        <w:rPr>
          <w:rFonts w:ascii="Arial" w:hAnsi="Arial" w:cs="Arial"/>
          <w:color w:val="0D0D0D" w:themeColor="text1" w:themeTint="F2"/>
        </w:rPr>
      </w:pPr>
      <w:r w:rsidRPr="00500A97">
        <w:rPr>
          <w:rFonts w:ascii="Arial" w:hAnsi="Arial" w:cs="Arial"/>
          <w:color w:val="0D0D0D" w:themeColor="text1" w:themeTint="F2"/>
        </w:rPr>
        <w:t>Taylor, S.</w:t>
      </w:r>
      <w:r w:rsidR="007C3F6C">
        <w:rPr>
          <w:rFonts w:ascii="Arial" w:hAnsi="Arial" w:cs="Arial"/>
          <w:color w:val="0D0D0D" w:themeColor="text1" w:themeTint="F2"/>
        </w:rPr>
        <w:t xml:space="preserve"> (2019)</w:t>
      </w:r>
      <w:r w:rsidRPr="00500A97">
        <w:rPr>
          <w:rFonts w:ascii="Arial" w:hAnsi="Arial" w:cs="Arial"/>
          <w:color w:val="0D0D0D" w:themeColor="text1" w:themeTint="F2"/>
        </w:rPr>
        <w:t xml:space="preserve"> </w:t>
      </w:r>
      <w:r w:rsidRPr="007C3F6C">
        <w:rPr>
          <w:rFonts w:ascii="Arial" w:hAnsi="Arial" w:cs="Arial"/>
          <w:i/>
          <w:iCs/>
          <w:color w:val="0D0D0D" w:themeColor="text1" w:themeTint="F2"/>
        </w:rPr>
        <w:t>Resourcing and Talent Management</w:t>
      </w:r>
      <w:r w:rsidR="007C3F6C">
        <w:rPr>
          <w:rFonts w:ascii="Arial" w:hAnsi="Arial" w:cs="Arial"/>
          <w:color w:val="0D0D0D" w:themeColor="text1" w:themeTint="F2"/>
        </w:rPr>
        <w:t>,</w:t>
      </w:r>
      <w:r w:rsidRPr="00500A97">
        <w:rPr>
          <w:rFonts w:ascii="Arial" w:hAnsi="Arial" w:cs="Arial"/>
          <w:color w:val="0D0D0D" w:themeColor="text1" w:themeTint="F2"/>
        </w:rPr>
        <w:t xml:space="preserve"> 7th </w:t>
      </w:r>
      <w:proofErr w:type="spellStart"/>
      <w:r w:rsidR="007C3F6C">
        <w:rPr>
          <w:rFonts w:ascii="Arial" w:hAnsi="Arial" w:cs="Arial"/>
          <w:color w:val="0D0D0D" w:themeColor="text1" w:themeTint="F2"/>
        </w:rPr>
        <w:t>edn</w:t>
      </w:r>
      <w:proofErr w:type="spellEnd"/>
      <w:r w:rsidRPr="00500A97">
        <w:rPr>
          <w:rFonts w:ascii="Arial" w:hAnsi="Arial" w:cs="Arial"/>
          <w:color w:val="0D0D0D" w:themeColor="text1" w:themeTint="F2"/>
        </w:rPr>
        <w:t xml:space="preserve">. Kogan Page </w:t>
      </w:r>
      <w:r w:rsidR="007C3F6C">
        <w:rPr>
          <w:rFonts w:ascii="Arial" w:hAnsi="Arial" w:cs="Arial"/>
          <w:color w:val="0D0D0D" w:themeColor="text1" w:themeTint="F2"/>
        </w:rPr>
        <w:t>L</w:t>
      </w:r>
      <w:r w:rsidRPr="00500A97">
        <w:rPr>
          <w:rFonts w:ascii="Arial" w:hAnsi="Arial" w:cs="Arial"/>
          <w:color w:val="0D0D0D" w:themeColor="text1" w:themeTint="F2"/>
        </w:rPr>
        <w:t>imited</w:t>
      </w:r>
      <w:r w:rsidR="007C3F6C">
        <w:rPr>
          <w:rFonts w:ascii="Arial" w:hAnsi="Arial" w:cs="Arial"/>
          <w:color w:val="0D0D0D" w:themeColor="text1" w:themeTint="F2"/>
        </w:rPr>
        <w:t xml:space="preserve">: London. </w:t>
      </w:r>
    </w:p>
    <w:p w14:paraId="7876D399" w14:textId="77777777" w:rsidR="00B7034D" w:rsidRPr="00500A97" w:rsidRDefault="00B7034D" w:rsidP="00B7034D">
      <w:pPr>
        <w:pStyle w:val="ListParagraph"/>
        <w:numPr>
          <w:ilvl w:val="0"/>
          <w:numId w:val="2"/>
        </w:numPr>
        <w:spacing w:line="360" w:lineRule="auto"/>
        <w:jc w:val="both"/>
        <w:rPr>
          <w:rFonts w:ascii="Arial" w:hAnsi="Arial" w:cs="Arial"/>
          <w:color w:val="0D0D0D" w:themeColor="text1" w:themeTint="F2"/>
        </w:rPr>
      </w:pPr>
      <w:bookmarkStart w:id="24" w:name="_Hlk130029450"/>
      <w:r w:rsidRPr="00500A97">
        <w:rPr>
          <w:rFonts w:ascii="Arial" w:hAnsi="Arial" w:cs="Arial"/>
          <w:color w:val="0D0D0D" w:themeColor="text1" w:themeTint="F2"/>
        </w:rPr>
        <w:t>The Chartered Management Institute (2014)</w:t>
      </w:r>
      <w:bookmarkEnd w:id="24"/>
      <w:r w:rsidRPr="00500A97">
        <w:rPr>
          <w:rFonts w:ascii="Arial" w:hAnsi="Arial" w:cs="Arial"/>
          <w:color w:val="0D0D0D" w:themeColor="text1" w:themeTint="F2"/>
        </w:rPr>
        <w:t xml:space="preserve"> </w:t>
      </w:r>
      <w:r w:rsidRPr="007C3F6C">
        <w:rPr>
          <w:rFonts w:ascii="Arial" w:hAnsi="Arial" w:cs="Arial"/>
          <w:i/>
          <w:iCs/>
          <w:color w:val="0D0D0D" w:themeColor="text1" w:themeTint="F2"/>
        </w:rPr>
        <w:t>An Introduction to Implementing Flexible Working Hours.</w:t>
      </w:r>
      <w:r w:rsidRPr="00500A97">
        <w:rPr>
          <w:rFonts w:ascii="Arial" w:hAnsi="Arial" w:cs="Arial"/>
          <w:color w:val="0D0D0D" w:themeColor="text1" w:themeTint="F2"/>
        </w:rPr>
        <w:t xml:space="preserve"> Available at: </w:t>
      </w:r>
      <w:hyperlink r:id="rId19" w:history="1">
        <w:r w:rsidRPr="00500A97">
          <w:rPr>
            <w:rStyle w:val="Hyperlink"/>
            <w:rFonts w:ascii="Arial" w:hAnsi="Arial" w:cs="Arial"/>
            <w:color w:val="0D0D0D" w:themeColor="text1" w:themeTint="F2"/>
          </w:rPr>
          <w:t>https://www.managers.org.uk/~/media/Appius/Submissions/CHK-026-An_introduction_to_implementing_flexible_working_hours.pdf</w:t>
        </w:r>
      </w:hyperlink>
      <w:r w:rsidRPr="00500A97">
        <w:rPr>
          <w:rFonts w:ascii="Arial" w:hAnsi="Arial" w:cs="Arial"/>
          <w:color w:val="0D0D0D" w:themeColor="text1" w:themeTint="F2"/>
        </w:rPr>
        <w:t xml:space="preserve"> </w:t>
      </w:r>
      <w:bookmarkStart w:id="25" w:name="_Hlk130408258"/>
      <w:r w:rsidRPr="00500A97">
        <w:rPr>
          <w:rFonts w:ascii="Arial" w:hAnsi="Arial" w:cs="Arial"/>
          <w:color w:val="0D0D0D" w:themeColor="text1" w:themeTint="F2"/>
        </w:rPr>
        <w:t>(Accessed 18 March 2023).</w:t>
      </w:r>
    </w:p>
    <w:bookmarkEnd w:id="25"/>
    <w:p w14:paraId="0FAE0122" w14:textId="50DD2F61" w:rsidR="003878B5" w:rsidRDefault="00CA7985" w:rsidP="00500A97">
      <w:pPr>
        <w:pStyle w:val="ListParagraph"/>
        <w:numPr>
          <w:ilvl w:val="0"/>
          <w:numId w:val="2"/>
        </w:numPr>
        <w:spacing w:line="360" w:lineRule="auto"/>
        <w:jc w:val="both"/>
        <w:rPr>
          <w:rFonts w:ascii="Arial" w:hAnsi="Arial" w:cs="Arial"/>
          <w:color w:val="0D0D0D" w:themeColor="text1" w:themeTint="F2"/>
        </w:rPr>
      </w:pPr>
      <w:proofErr w:type="spellStart"/>
      <w:r w:rsidRPr="00500A97">
        <w:rPr>
          <w:rFonts w:ascii="Arial" w:hAnsi="Arial" w:cs="Arial"/>
          <w:color w:val="0D0D0D" w:themeColor="text1" w:themeTint="F2"/>
        </w:rPr>
        <w:t>Verlinden</w:t>
      </w:r>
      <w:proofErr w:type="spellEnd"/>
      <w:r w:rsidRPr="00500A97">
        <w:rPr>
          <w:rFonts w:ascii="Arial" w:hAnsi="Arial" w:cs="Arial"/>
          <w:color w:val="0D0D0D" w:themeColor="text1" w:themeTint="F2"/>
        </w:rPr>
        <w:t xml:space="preserve">, N. (n.d.) </w:t>
      </w:r>
      <w:r w:rsidRPr="007C3F6C">
        <w:rPr>
          <w:rFonts w:ascii="Arial" w:hAnsi="Arial" w:cs="Arial"/>
          <w:i/>
          <w:iCs/>
          <w:color w:val="0D0D0D" w:themeColor="text1" w:themeTint="F2"/>
        </w:rPr>
        <w:t>The Employee Value Proposition: Definition, Key Elements and Examples</w:t>
      </w:r>
      <w:r w:rsidRPr="00500A97">
        <w:rPr>
          <w:rFonts w:ascii="Arial" w:hAnsi="Arial" w:cs="Arial"/>
          <w:color w:val="0D0D0D" w:themeColor="text1" w:themeTint="F2"/>
        </w:rPr>
        <w:t xml:space="preserve"> Available at: </w:t>
      </w:r>
      <w:hyperlink r:id="rId20" w:history="1">
        <w:r w:rsidRPr="00500A97">
          <w:rPr>
            <w:rStyle w:val="Hyperlink"/>
            <w:rFonts w:ascii="Arial" w:hAnsi="Arial" w:cs="Arial"/>
            <w:color w:val="0D0D0D" w:themeColor="text1" w:themeTint="F2"/>
          </w:rPr>
          <w:t>https://www.aihr.com/blog/employee-value-proposition-evp/</w:t>
        </w:r>
      </w:hyperlink>
      <w:r w:rsidRPr="00500A97">
        <w:rPr>
          <w:rFonts w:ascii="Arial" w:hAnsi="Arial" w:cs="Arial"/>
          <w:color w:val="0D0D0D" w:themeColor="text1" w:themeTint="F2"/>
        </w:rPr>
        <w:t xml:space="preserve"> </w:t>
      </w:r>
      <w:r w:rsidR="003878B5" w:rsidRPr="00500A97">
        <w:rPr>
          <w:rFonts w:ascii="Arial" w:hAnsi="Arial" w:cs="Arial"/>
          <w:color w:val="0D0D0D" w:themeColor="text1" w:themeTint="F2"/>
        </w:rPr>
        <w:t>(Accessed 22 March 2023)</w:t>
      </w:r>
    </w:p>
    <w:p w14:paraId="0883F671" w14:textId="74FE52D8" w:rsidR="00B7034D" w:rsidRPr="00500A97" w:rsidRDefault="00B7034D" w:rsidP="00B7034D">
      <w:pPr>
        <w:pStyle w:val="ListParagraph"/>
        <w:numPr>
          <w:ilvl w:val="0"/>
          <w:numId w:val="2"/>
        </w:numPr>
        <w:spacing w:line="360" w:lineRule="auto"/>
        <w:jc w:val="both"/>
        <w:rPr>
          <w:rFonts w:ascii="Arial" w:hAnsi="Arial" w:cs="Arial"/>
          <w:color w:val="0D0D0D" w:themeColor="text1" w:themeTint="F2"/>
        </w:rPr>
      </w:pPr>
      <w:bookmarkStart w:id="26" w:name="_Hlk130398425"/>
      <w:r w:rsidRPr="00500A97">
        <w:rPr>
          <w:rFonts w:ascii="Arial" w:hAnsi="Arial" w:cs="Arial"/>
          <w:color w:val="0D0D0D" w:themeColor="text1" w:themeTint="F2"/>
        </w:rPr>
        <w:t>Weideman, M</w:t>
      </w:r>
      <w:r w:rsidR="007C3F6C">
        <w:rPr>
          <w:rFonts w:ascii="Arial" w:hAnsi="Arial" w:cs="Arial"/>
          <w:color w:val="0D0D0D" w:themeColor="text1" w:themeTint="F2"/>
        </w:rPr>
        <w:t xml:space="preserve">., </w:t>
      </w:r>
      <w:r w:rsidRPr="00500A97">
        <w:rPr>
          <w:rFonts w:ascii="Arial" w:hAnsi="Arial" w:cs="Arial"/>
          <w:color w:val="0D0D0D" w:themeColor="text1" w:themeTint="F2"/>
        </w:rPr>
        <w:t>Hofmeyr, K. (2020)</w:t>
      </w:r>
      <w:bookmarkEnd w:id="26"/>
      <w:r w:rsidRPr="00500A97">
        <w:rPr>
          <w:rFonts w:ascii="Arial" w:hAnsi="Arial" w:cs="Arial"/>
          <w:color w:val="0D0D0D" w:themeColor="text1" w:themeTint="F2"/>
        </w:rPr>
        <w:t xml:space="preserve">. </w:t>
      </w:r>
      <w:r w:rsidR="007C3F6C">
        <w:rPr>
          <w:rFonts w:ascii="Arial" w:hAnsi="Arial" w:cs="Arial"/>
          <w:color w:val="0D0D0D" w:themeColor="text1" w:themeTint="F2"/>
        </w:rPr>
        <w:t>‘</w:t>
      </w:r>
      <w:r w:rsidRPr="00500A97">
        <w:rPr>
          <w:rFonts w:ascii="Arial" w:hAnsi="Arial" w:cs="Arial"/>
          <w:color w:val="0D0D0D" w:themeColor="text1" w:themeTint="F2"/>
        </w:rPr>
        <w:t>The influence of flexible work arrangements on employee engagement: An exploratory study</w:t>
      </w:r>
      <w:r w:rsidR="007C3F6C">
        <w:rPr>
          <w:rFonts w:ascii="Arial" w:hAnsi="Arial" w:cs="Arial"/>
          <w:color w:val="0D0D0D" w:themeColor="text1" w:themeTint="F2"/>
        </w:rPr>
        <w:t>’</w:t>
      </w:r>
      <w:r w:rsidRPr="00500A97">
        <w:rPr>
          <w:rFonts w:ascii="Arial" w:hAnsi="Arial" w:cs="Arial"/>
          <w:color w:val="0D0D0D" w:themeColor="text1" w:themeTint="F2"/>
        </w:rPr>
        <w:t xml:space="preserve">. </w:t>
      </w:r>
      <w:r w:rsidRPr="007C3F6C">
        <w:rPr>
          <w:rFonts w:ascii="Arial" w:hAnsi="Arial" w:cs="Arial"/>
          <w:i/>
          <w:iCs/>
          <w:color w:val="0D0D0D" w:themeColor="text1" w:themeTint="F2"/>
        </w:rPr>
        <w:t>SA Journal of Human Resource Management</w:t>
      </w:r>
      <w:r w:rsidRPr="00500A97">
        <w:rPr>
          <w:rFonts w:ascii="Arial" w:hAnsi="Arial" w:cs="Arial"/>
          <w:color w:val="0D0D0D" w:themeColor="text1" w:themeTint="F2"/>
        </w:rPr>
        <w:t>. 18</w:t>
      </w:r>
      <w:r w:rsidR="007C3F6C">
        <w:rPr>
          <w:rFonts w:ascii="Arial" w:hAnsi="Arial" w:cs="Arial"/>
          <w:color w:val="0D0D0D" w:themeColor="text1" w:themeTint="F2"/>
        </w:rPr>
        <w:t>(</w:t>
      </w:r>
      <w:r w:rsidRPr="00500A97">
        <w:rPr>
          <w:rFonts w:ascii="Arial" w:hAnsi="Arial" w:cs="Arial"/>
          <w:color w:val="0D0D0D" w:themeColor="text1" w:themeTint="F2"/>
        </w:rPr>
        <w:t>10</w:t>
      </w:r>
      <w:r w:rsidR="007C3F6C">
        <w:rPr>
          <w:rFonts w:ascii="Arial" w:hAnsi="Arial" w:cs="Arial"/>
          <w:color w:val="0D0D0D" w:themeColor="text1" w:themeTint="F2"/>
        </w:rPr>
        <w:t>).</w:t>
      </w:r>
    </w:p>
    <w:p w14:paraId="75774191" w14:textId="77777777" w:rsidR="00043850" w:rsidRDefault="00B7034D" w:rsidP="00043850">
      <w:pPr>
        <w:pStyle w:val="ListParagraph"/>
        <w:numPr>
          <w:ilvl w:val="0"/>
          <w:numId w:val="2"/>
        </w:numPr>
        <w:spacing w:line="360" w:lineRule="auto"/>
        <w:jc w:val="both"/>
        <w:rPr>
          <w:rFonts w:ascii="Arial" w:hAnsi="Arial" w:cs="Arial"/>
          <w:color w:val="0D0D0D" w:themeColor="text1" w:themeTint="F2"/>
        </w:rPr>
      </w:pPr>
      <w:r w:rsidRPr="00B7034D">
        <w:rPr>
          <w:rFonts w:ascii="Arial" w:hAnsi="Arial" w:cs="Arial"/>
          <w:color w:val="0D0D0D" w:themeColor="text1" w:themeTint="F2"/>
        </w:rPr>
        <w:t xml:space="preserve">Working Families (2023) </w:t>
      </w:r>
      <w:r w:rsidRPr="007C3F6C">
        <w:rPr>
          <w:rFonts w:ascii="Arial" w:hAnsi="Arial" w:cs="Arial"/>
          <w:i/>
          <w:iCs/>
          <w:color w:val="0D0D0D" w:themeColor="text1" w:themeTint="F2"/>
        </w:rPr>
        <w:t>COVID-19 and flexible working: the perspective from working parents and carers.</w:t>
      </w:r>
      <w:r w:rsidRPr="00B7034D">
        <w:rPr>
          <w:rFonts w:ascii="Arial" w:hAnsi="Arial" w:cs="Arial"/>
          <w:color w:val="0D0D0D" w:themeColor="text1" w:themeTint="F2"/>
        </w:rPr>
        <w:t xml:space="preserve"> Available at: https://workingfamilies.org.uk/publications/covid-19-and-flexible-working/ (Accessed 17 March 2023).</w:t>
      </w:r>
      <w:bookmarkStart w:id="27" w:name="_Hlk130376388"/>
      <w:r w:rsidRPr="00B7034D">
        <w:rPr>
          <w:rFonts w:ascii="Arial" w:hAnsi="Arial" w:cs="Arial"/>
          <w:color w:val="0D0D0D" w:themeColor="text1" w:themeTint="F2"/>
        </w:rPr>
        <w:t xml:space="preserve"> </w:t>
      </w:r>
      <w:bookmarkEnd w:id="27"/>
    </w:p>
    <w:p w14:paraId="40B5613C" w14:textId="05929D7C" w:rsidR="00B7034D" w:rsidRPr="00043850" w:rsidRDefault="00043850" w:rsidP="00043850">
      <w:pPr>
        <w:pStyle w:val="ListParagraph"/>
        <w:numPr>
          <w:ilvl w:val="0"/>
          <w:numId w:val="2"/>
        </w:numPr>
        <w:spacing w:line="360" w:lineRule="auto"/>
        <w:jc w:val="both"/>
        <w:rPr>
          <w:rFonts w:ascii="Arial" w:hAnsi="Arial" w:cs="Arial"/>
          <w:color w:val="0D0D0D" w:themeColor="text1" w:themeTint="F2"/>
        </w:rPr>
      </w:pPr>
      <w:r w:rsidRPr="00043850">
        <w:rPr>
          <w:rFonts w:ascii="Arial" w:hAnsi="Arial" w:cs="Arial"/>
          <w:color w:val="0D0D0D" w:themeColor="text1" w:themeTint="F2"/>
        </w:rPr>
        <w:t xml:space="preserve">Zhao, W., </w:t>
      </w:r>
      <w:r>
        <w:rPr>
          <w:rFonts w:ascii="Arial" w:hAnsi="Arial" w:cs="Arial"/>
          <w:color w:val="0D0D0D" w:themeColor="text1" w:themeTint="F2"/>
        </w:rPr>
        <w:t>(</w:t>
      </w:r>
      <w:r w:rsidRPr="00043850">
        <w:rPr>
          <w:rFonts w:ascii="Arial" w:hAnsi="Arial" w:cs="Arial"/>
          <w:color w:val="0D0D0D" w:themeColor="text1" w:themeTint="F2"/>
        </w:rPr>
        <w:t>2020</w:t>
      </w:r>
      <w:r>
        <w:rPr>
          <w:rFonts w:ascii="Arial" w:hAnsi="Arial" w:cs="Arial"/>
          <w:color w:val="0D0D0D" w:themeColor="text1" w:themeTint="F2"/>
        </w:rPr>
        <w:t>)</w:t>
      </w:r>
      <w:r w:rsidRPr="00043850">
        <w:rPr>
          <w:rFonts w:ascii="Arial" w:hAnsi="Arial" w:cs="Arial"/>
          <w:color w:val="0D0D0D" w:themeColor="text1" w:themeTint="F2"/>
        </w:rPr>
        <w:t>. The Implementation of Atkinson’s Flexible Firm Model on Starbucks Operational Flexibility in the Open Talent Economy Context. </w:t>
      </w:r>
      <w:r w:rsidRPr="00043850">
        <w:rPr>
          <w:rFonts w:ascii="Arial" w:hAnsi="Arial" w:cs="Arial"/>
          <w:color w:val="0D0D0D" w:themeColor="text1" w:themeTint="F2"/>
        </w:rPr>
        <w:t>Innovation and Management</w:t>
      </w:r>
      <w:r w:rsidRPr="00043850">
        <w:rPr>
          <w:rFonts w:ascii="Arial" w:hAnsi="Arial" w:cs="Arial"/>
          <w:color w:val="0D0D0D" w:themeColor="text1" w:themeTint="F2"/>
        </w:rPr>
        <w:t>, p.294.</w:t>
      </w:r>
    </w:p>
    <w:p w14:paraId="506F8177" w14:textId="77777777" w:rsidR="00B7034D" w:rsidRPr="00B7034D" w:rsidRDefault="00B7034D" w:rsidP="00B7034D">
      <w:pPr>
        <w:spacing w:line="360" w:lineRule="auto"/>
        <w:ind w:left="720"/>
        <w:jc w:val="both"/>
        <w:rPr>
          <w:rFonts w:ascii="Arial" w:hAnsi="Arial" w:cs="Arial"/>
          <w:color w:val="0D0D0D" w:themeColor="text1" w:themeTint="F2"/>
        </w:rPr>
      </w:pPr>
    </w:p>
    <w:bookmarkEnd w:id="23"/>
    <w:p w14:paraId="5F24F17B" w14:textId="77777777" w:rsidR="00C340F1" w:rsidRPr="00500A97" w:rsidRDefault="00C340F1" w:rsidP="00500A97">
      <w:pPr>
        <w:pStyle w:val="ListParagraph"/>
        <w:spacing w:line="360" w:lineRule="auto"/>
        <w:jc w:val="both"/>
        <w:rPr>
          <w:rFonts w:ascii="Arial" w:hAnsi="Arial" w:cs="Arial"/>
          <w:color w:val="0D0D0D" w:themeColor="text1" w:themeTint="F2"/>
        </w:rPr>
      </w:pPr>
    </w:p>
    <w:p w14:paraId="5769FF01" w14:textId="406B5576" w:rsidR="00C340F1" w:rsidRPr="00500A97" w:rsidRDefault="00C340F1" w:rsidP="00500A97">
      <w:pPr>
        <w:spacing w:line="360" w:lineRule="auto"/>
        <w:ind w:left="360"/>
        <w:jc w:val="both"/>
        <w:rPr>
          <w:rFonts w:ascii="Arial" w:hAnsi="Arial" w:cs="Arial"/>
          <w:color w:val="0D0D0D" w:themeColor="text1" w:themeTint="F2"/>
        </w:rPr>
      </w:pPr>
    </w:p>
    <w:p w14:paraId="70BA734B" w14:textId="77777777" w:rsidR="00C340F1" w:rsidRPr="00500A97" w:rsidRDefault="00C340F1" w:rsidP="00500A97">
      <w:pPr>
        <w:spacing w:line="360" w:lineRule="auto"/>
        <w:ind w:left="360"/>
        <w:jc w:val="both"/>
        <w:rPr>
          <w:rFonts w:ascii="Arial" w:hAnsi="Arial" w:cs="Arial"/>
          <w:color w:val="0D0D0D" w:themeColor="text1" w:themeTint="F2"/>
        </w:rPr>
      </w:pPr>
    </w:p>
    <w:sectPr w:rsidR="00C340F1" w:rsidRPr="00500A97">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DAF06F" w14:textId="77777777" w:rsidR="007073BF" w:rsidRDefault="007073BF" w:rsidP="003878B5">
      <w:pPr>
        <w:spacing w:after="0" w:line="240" w:lineRule="auto"/>
      </w:pPr>
      <w:r>
        <w:separator/>
      </w:r>
    </w:p>
  </w:endnote>
  <w:endnote w:type="continuationSeparator" w:id="0">
    <w:p w14:paraId="706457A2" w14:textId="77777777" w:rsidR="007073BF" w:rsidRDefault="007073BF" w:rsidP="003878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D995B1" w14:textId="77777777" w:rsidR="003878B5" w:rsidRDefault="003878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7969094"/>
      <w:docPartObj>
        <w:docPartGallery w:val="Page Numbers (Bottom of Page)"/>
        <w:docPartUnique/>
      </w:docPartObj>
    </w:sdtPr>
    <w:sdtEndPr>
      <w:rPr>
        <w:noProof/>
      </w:rPr>
    </w:sdtEndPr>
    <w:sdtContent>
      <w:p w14:paraId="0AF1BA22" w14:textId="64C681CC" w:rsidR="003878B5" w:rsidRDefault="003878B5">
        <w:pPr>
          <w:pStyle w:val="Footer"/>
        </w:pPr>
        <w:r>
          <w:fldChar w:fldCharType="begin"/>
        </w:r>
        <w:r>
          <w:instrText xml:space="preserve"> PAGE   \* MERGEFORMAT </w:instrText>
        </w:r>
        <w:r>
          <w:fldChar w:fldCharType="separate"/>
        </w:r>
        <w:r>
          <w:rPr>
            <w:noProof/>
          </w:rPr>
          <w:t>2</w:t>
        </w:r>
        <w:r>
          <w:rPr>
            <w:noProof/>
          </w:rPr>
          <w:fldChar w:fldCharType="end"/>
        </w:r>
      </w:p>
    </w:sdtContent>
  </w:sdt>
  <w:p w14:paraId="455DB772" w14:textId="77777777" w:rsidR="003878B5" w:rsidRDefault="003878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F1D128" w14:textId="77777777" w:rsidR="003878B5" w:rsidRDefault="003878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41197B" w14:textId="77777777" w:rsidR="007073BF" w:rsidRDefault="007073BF" w:rsidP="003878B5">
      <w:pPr>
        <w:spacing w:after="0" w:line="240" w:lineRule="auto"/>
      </w:pPr>
      <w:r>
        <w:separator/>
      </w:r>
    </w:p>
  </w:footnote>
  <w:footnote w:type="continuationSeparator" w:id="0">
    <w:p w14:paraId="337D0FCC" w14:textId="77777777" w:rsidR="007073BF" w:rsidRDefault="007073BF" w:rsidP="003878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E1503A" w14:textId="77777777" w:rsidR="003878B5" w:rsidRDefault="003878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ADF9E7" w14:textId="77777777" w:rsidR="003878B5" w:rsidRDefault="003878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096958" w14:textId="77777777" w:rsidR="003878B5" w:rsidRDefault="003878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26784"/>
    <w:multiLevelType w:val="hybridMultilevel"/>
    <w:tmpl w:val="CAF82C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3F4A56"/>
    <w:multiLevelType w:val="hybridMultilevel"/>
    <w:tmpl w:val="B46C3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BE5B9E"/>
    <w:multiLevelType w:val="hybridMultilevel"/>
    <w:tmpl w:val="BBA07A74"/>
    <w:lvl w:ilvl="0" w:tplc="985A483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6202313E"/>
    <w:multiLevelType w:val="hybridMultilevel"/>
    <w:tmpl w:val="BBF41C9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6ADB0FAB"/>
    <w:multiLevelType w:val="hybridMultilevel"/>
    <w:tmpl w:val="E3A274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779836722">
    <w:abstractNumId w:val="1"/>
  </w:num>
  <w:num w:numId="2" w16cid:durableId="1745684531">
    <w:abstractNumId w:val="2"/>
  </w:num>
  <w:num w:numId="3" w16cid:durableId="528371489">
    <w:abstractNumId w:val="4"/>
  </w:num>
  <w:num w:numId="4" w16cid:durableId="467281909">
    <w:abstractNumId w:val="0"/>
  </w:num>
  <w:num w:numId="5" w16cid:durableId="2381803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Y0NTe2tDSzMDE3NTVR0lEKTi0uzszPAykwrgUAnXMebywAAAA="/>
  </w:docVars>
  <w:rsids>
    <w:rsidRoot w:val="00FA711F"/>
    <w:rsid w:val="00024CEE"/>
    <w:rsid w:val="000379FC"/>
    <w:rsid w:val="00043850"/>
    <w:rsid w:val="0008440F"/>
    <w:rsid w:val="000B3800"/>
    <w:rsid w:val="000B582D"/>
    <w:rsid w:val="000F6B33"/>
    <w:rsid w:val="00287441"/>
    <w:rsid w:val="00332EBE"/>
    <w:rsid w:val="003878B5"/>
    <w:rsid w:val="003A35DF"/>
    <w:rsid w:val="003B58D4"/>
    <w:rsid w:val="00436A4D"/>
    <w:rsid w:val="00465C6C"/>
    <w:rsid w:val="00500A97"/>
    <w:rsid w:val="00544F7A"/>
    <w:rsid w:val="005B6FB0"/>
    <w:rsid w:val="005B725B"/>
    <w:rsid w:val="007073BF"/>
    <w:rsid w:val="00771078"/>
    <w:rsid w:val="007C3F6C"/>
    <w:rsid w:val="007E66C8"/>
    <w:rsid w:val="007F7847"/>
    <w:rsid w:val="00801797"/>
    <w:rsid w:val="00814C47"/>
    <w:rsid w:val="0085395E"/>
    <w:rsid w:val="008844E0"/>
    <w:rsid w:val="008941F6"/>
    <w:rsid w:val="0089663C"/>
    <w:rsid w:val="009318BB"/>
    <w:rsid w:val="00955738"/>
    <w:rsid w:val="009C259D"/>
    <w:rsid w:val="009F577D"/>
    <w:rsid w:val="00A21C61"/>
    <w:rsid w:val="00A54C75"/>
    <w:rsid w:val="00B071C4"/>
    <w:rsid w:val="00B322B3"/>
    <w:rsid w:val="00B620EB"/>
    <w:rsid w:val="00B7034D"/>
    <w:rsid w:val="00B87BA6"/>
    <w:rsid w:val="00B97E93"/>
    <w:rsid w:val="00BE1F84"/>
    <w:rsid w:val="00BF4A29"/>
    <w:rsid w:val="00BF5831"/>
    <w:rsid w:val="00C340C1"/>
    <w:rsid w:val="00C340F1"/>
    <w:rsid w:val="00CA7985"/>
    <w:rsid w:val="00CB6CDC"/>
    <w:rsid w:val="00CE1ADD"/>
    <w:rsid w:val="00D06C27"/>
    <w:rsid w:val="00D325BA"/>
    <w:rsid w:val="00D66D58"/>
    <w:rsid w:val="00D87BE5"/>
    <w:rsid w:val="00DF43ED"/>
    <w:rsid w:val="00E645EC"/>
    <w:rsid w:val="00ED21A9"/>
    <w:rsid w:val="00F21662"/>
    <w:rsid w:val="00F3260C"/>
    <w:rsid w:val="00F95E47"/>
    <w:rsid w:val="00FA711F"/>
    <w:rsid w:val="00FD7DBC"/>
    <w:rsid w:val="00FE2461"/>
    <w:rsid w:val="00FF5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BEEEC"/>
  <w15:chartTrackingRefBased/>
  <w15:docId w15:val="{C5D13D4F-EC13-4BE4-8584-001993314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78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40F1"/>
    <w:pPr>
      <w:ind w:left="720"/>
      <w:contextualSpacing/>
    </w:pPr>
  </w:style>
  <w:style w:type="character" w:styleId="Hyperlink">
    <w:name w:val="Hyperlink"/>
    <w:basedOn w:val="DefaultParagraphFont"/>
    <w:uiPriority w:val="99"/>
    <w:unhideWhenUsed/>
    <w:rsid w:val="009F577D"/>
    <w:rPr>
      <w:color w:val="0563C1" w:themeColor="hyperlink"/>
      <w:u w:val="single"/>
    </w:rPr>
  </w:style>
  <w:style w:type="character" w:styleId="UnresolvedMention">
    <w:name w:val="Unresolved Mention"/>
    <w:basedOn w:val="DefaultParagraphFont"/>
    <w:uiPriority w:val="99"/>
    <w:semiHidden/>
    <w:unhideWhenUsed/>
    <w:rsid w:val="009F577D"/>
    <w:rPr>
      <w:color w:val="605E5C"/>
      <w:shd w:val="clear" w:color="auto" w:fill="E1DFDD"/>
    </w:rPr>
  </w:style>
  <w:style w:type="character" w:customStyle="1" w:styleId="Heading1Char">
    <w:name w:val="Heading 1 Char"/>
    <w:basedOn w:val="DefaultParagraphFont"/>
    <w:link w:val="Heading1"/>
    <w:uiPriority w:val="9"/>
    <w:rsid w:val="003878B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78B5"/>
    <w:pPr>
      <w:outlineLvl w:val="9"/>
    </w:pPr>
    <w:rPr>
      <w:kern w:val="0"/>
      <w:lang w:val="en-US"/>
      <w14:ligatures w14:val="none"/>
    </w:rPr>
  </w:style>
  <w:style w:type="paragraph" w:styleId="TOC1">
    <w:name w:val="toc 1"/>
    <w:basedOn w:val="Normal"/>
    <w:next w:val="Normal"/>
    <w:autoRedefine/>
    <w:uiPriority w:val="39"/>
    <w:unhideWhenUsed/>
    <w:rsid w:val="003878B5"/>
    <w:pPr>
      <w:spacing w:after="100"/>
    </w:pPr>
  </w:style>
  <w:style w:type="paragraph" w:styleId="Header">
    <w:name w:val="header"/>
    <w:basedOn w:val="Normal"/>
    <w:link w:val="HeaderChar"/>
    <w:uiPriority w:val="99"/>
    <w:unhideWhenUsed/>
    <w:rsid w:val="003878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78B5"/>
  </w:style>
  <w:style w:type="paragraph" w:styleId="Footer">
    <w:name w:val="footer"/>
    <w:basedOn w:val="Normal"/>
    <w:link w:val="FooterChar"/>
    <w:uiPriority w:val="99"/>
    <w:unhideWhenUsed/>
    <w:rsid w:val="003878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8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co.uk/knowledge/fundamentals/relations/flexible-working/factsheet" TargetMode="External"/><Relationship Id="rId18" Type="http://schemas.openxmlformats.org/officeDocument/2006/relationships/hyperlink" Target="https://www.talentinsightgroup.co.uk/insights/salary-benchmarking"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oi.org/10.1111/j.1744-6570.2010.01203.x" TargetMode="External"/><Relationship Id="rId17" Type="http://schemas.openxmlformats.org/officeDocument/2006/relationships/hyperlink" Target="https://www.ons.gov.uk/employmentandlabourmarket/peopleinwork/employmentandemployeetypes/bulletins/coronavirusandhomeworkingintheuk/april2020"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gov.uk/flexible-working" TargetMode="External"/><Relationship Id="rId20" Type="http://schemas.openxmlformats.org/officeDocument/2006/relationships/hyperlink" Target="https://www.aihr.com/blog/employee-value-proposition-ev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02683940710733115"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corporate.marksandspencer.com/worklife-our-new-flexible-working-offering"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ww.acas.org.uk/acas-code-of-practice-on-flexible-working-requests/html" TargetMode="External"/><Relationship Id="rId19" Type="http://schemas.openxmlformats.org/officeDocument/2006/relationships/hyperlink" Target="https://www.managers.org.uk/~/media/Appius/Submissions/CHK-026-An_introduction_to_implementing_flexible_working_hours.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reathehr.com/en-gb/blog/topic/remote-working/can-working-from-home-increase-employee-productivity"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C8F85C-291F-46CB-AEEF-06DF699C15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2080</TotalTime>
  <Pages>12</Pages>
  <Words>3160</Words>
  <Characters>18014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Cirlan (2123003)</dc:creator>
  <cp:keywords/>
  <dc:description/>
  <cp:lastModifiedBy>Rodica Cirlan (2123003)</cp:lastModifiedBy>
  <cp:revision>42</cp:revision>
  <dcterms:created xsi:type="dcterms:W3CDTF">2023-03-17T08:53:00Z</dcterms:created>
  <dcterms:modified xsi:type="dcterms:W3CDTF">2023-03-26T12:59:00Z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fbf696a837fdbdd57d8118751333b4619c733e6d6402d909ab9666b7a9b5685b</vt:lpwstr>
  </property>
</Properties>
</file>