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C08ED" w14:textId="5B96CC49" w:rsidR="00E26FD6" w:rsidRDefault="008E2437" w:rsidP="00373E59">
      <w:pPr>
        <w:jc w:val="center"/>
        <w:rPr>
          <w:b/>
          <w:bCs/>
        </w:rPr>
      </w:pPr>
      <w:r>
        <w:rPr>
          <w:b/>
          <w:bCs/>
          <w:noProof/>
        </w:rPr>
        <w:drawing>
          <wp:inline distT="0" distB="0" distL="0" distR="0" wp14:anchorId="531B17D1" wp14:editId="476A7EFF">
            <wp:extent cx="27432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0FC0DFD5" w14:textId="11E07479" w:rsidR="00373E59" w:rsidRPr="008E2437" w:rsidRDefault="00373E59" w:rsidP="00373E59">
      <w:pPr>
        <w:jc w:val="center"/>
        <w:rPr>
          <w:b/>
          <w:bCs/>
          <w:sz w:val="28"/>
          <w:szCs w:val="24"/>
        </w:rPr>
      </w:pPr>
    </w:p>
    <w:p w14:paraId="381A90AD" w14:textId="7C1988CF" w:rsidR="008E2437" w:rsidRPr="003A0341" w:rsidRDefault="001C6B7C" w:rsidP="003C64F6">
      <w:pPr>
        <w:jc w:val="center"/>
        <w:rPr>
          <w:rFonts w:asciiTheme="minorHAnsi" w:hAnsiTheme="minorHAnsi" w:cstheme="minorHAnsi"/>
          <w:b/>
          <w:bCs/>
          <w:sz w:val="32"/>
          <w:szCs w:val="28"/>
        </w:rPr>
      </w:pPr>
      <w:r w:rsidRPr="003A0341">
        <w:rPr>
          <w:rFonts w:asciiTheme="minorHAnsi" w:hAnsiTheme="minorHAnsi" w:cstheme="minorHAnsi"/>
          <w:b/>
          <w:bCs/>
          <w:sz w:val="32"/>
          <w:szCs w:val="28"/>
        </w:rPr>
        <w:t xml:space="preserve">Assignment </w:t>
      </w:r>
      <w:r w:rsidR="0039261E">
        <w:rPr>
          <w:rFonts w:asciiTheme="minorHAnsi" w:hAnsiTheme="minorHAnsi" w:cstheme="minorHAnsi"/>
          <w:b/>
          <w:bCs/>
          <w:sz w:val="32"/>
          <w:szCs w:val="28"/>
        </w:rPr>
        <w:t>2</w:t>
      </w:r>
    </w:p>
    <w:p w14:paraId="1FDF2E3A" w14:textId="0BFFDAF3" w:rsidR="004F632F" w:rsidRPr="003A0341" w:rsidRDefault="003C64F6" w:rsidP="003C64F6">
      <w:pPr>
        <w:jc w:val="center"/>
        <w:rPr>
          <w:rFonts w:asciiTheme="minorHAnsi" w:hAnsiTheme="minorHAnsi" w:cstheme="minorHAnsi"/>
        </w:rPr>
      </w:pPr>
      <w:r>
        <w:rPr>
          <w:rFonts w:asciiTheme="minorHAnsi" w:hAnsiTheme="minorHAnsi" w:cstheme="minorHAnsi"/>
        </w:rPr>
        <w:t xml:space="preserve"> </w:t>
      </w:r>
    </w:p>
    <w:p w14:paraId="4BCC37A5" w14:textId="046168C0" w:rsidR="00CE7F1F" w:rsidRDefault="004F632F" w:rsidP="00CE7F1F">
      <w:pPr>
        <w:jc w:val="center"/>
        <w:rPr>
          <w:rFonts w:asciiTheme="minorHAnsi" w:hAnsiTheme="minorHAnsi" w:cstheme="minorHAnsi"/>
          <w:b/>
          <w:bCs/>
        </w:rPr>
      </w:pPr>
      <w:r w:rsidRPr="003A0341">
        <w:rPr>
          <w:rFonts w:asciiTheme="minorHAnsi" w:hAnsiTheme="minorHAnsi" w:cstheme="minorHAnsi"/>
        </w:rPr>
        <w:t>Module:</w:t>
      </w:r>
      <w:r w:rsidR="00A97433">
        <w:rPr>
          <w:rFonts w:asciiTheme="minorHAnsi" w:hAnsiTheme="minorHAnsi" w:cstheme="minorHAnsi"/>
        </w:rPr>
        <w:t xml:space="preserve"> </w:t>
      </w:r>
      <w:r w:rsidR="00A97433" w:rsidRPr="00A97433">
        <w:rPr>
          <w:rFonts w:asciiTheme="minorHAnsi" w:hAnsiTheme="minorHAnsi" w:cstheme="minorHAnsi"/>
        </w:rPr>
        <w:t>Community Engagement (LCBB4002)</w:t>
      </w:r>
    </w:p>
    <w:p w14:paraId="52F40316" w14:textId="60E6BEA6" w:rsidR="00F35AA7" w:rsidRPr="00CE7F1F" w:rsidRDefault="004F632F" w:rsidP="00CE7F1F">
      <w:pPr>
        <w:jc w:val="center"/>
        <w:rPr>
          <w:rFonts w:asciiTheme="minorHAnsi" w:hAnsiTheme="minorHAnsi" w:cstheme="minorHAnsi"/>
          <w:b/>
          <w:bCs/>
        </w:rPr>
        <w:sectPr w:rsidR="00F35AA7" w:rsidRPr="00CE7F1F" w:rsidSect="001A6B94">
          <w:pgSz w:w="12240" w:h="15840"/>
          <w:pgMar w:top="1440" w:right="1440" w:bottom="1440" w:left="1440" w:header="720" w:footer="720" w:gutter="0"/>
          <w:cols w:space="720"/>
          <w:docGrid w:linePitch="360"/>
        </w:sectPr>
      </w:pPr>
      <w:r w:rsidRPr="003A0341">
        <w:rPr>
          <w:rFonts w:asciiTheme="minorHAnsi" w:hAnsiTheme="minorHAnsi" w:cstheme="minorHAnsi"/>
        </w:rPr>
        <w:t>Lecturer:</w:t>
      </w:r>
      <w:r w:rsidR="00CE7F1F">
        <w:rPr>
          <w:rFonts w:asciiTheme="minorHAnsi" w:hAnsiTheme="minorHAnsi" w:cstheme="minorHAnsi"/>
          <w:b/>
          <w:bCs/>
        </w:rPr>
        <w:t xml:space="preserve"> </w:t>
      </w:r>
      <w:r w:rsidR="00D56124">
        <w:rPr>
          <w:rFonts w:asciiTheme="minorHAnsi" w:hAnsiTheme="minorHAnsi" w:cstheme="minorHAnsi"/>
          <w:b/>
          <w:bCs/>
        </w:rPr>
        <w:t xml:space="preserve"> </w:t>
      </w:r>
      <w:r w:rsidR="00CE7F1F" w:rsidRPr="00CE7F1F">
        <w:rPr>
          <w:rFonts w:asciiTheme="minorHAnsi" w:hAnsiTheme="minorHAnsi" w:cstheme="minorHAnsi"/>
        </w:rPr>
        <w:t xml:space="preserve">Dr </w:t>
      </w:r>
      <w:proofErr w:type="spellStart"/>
      <w:r w:rsidR="00CE7F1F" w:rsidRPr="00CE7F1F">
        <w:rPr>
          <w:rFonts w:asciiTheme="minorHAnsi" w:hAnsiTheme="minorHAnsi" w:cstheme="minorHAnsi"/>
        </w:rPr>
        <w:t>Faizu</w:t>
      </w:r>
      <w:proofErr w:type="spellEnd"/>
      <w:r w:rsidR="00CE7F1F" w:rsidRPr="00CE7F1F">
        <w:rPr>
          <w:rFonts w:asciiTheme="minorHAnsi" w:hAnsiTheme="minorHAnsi" w:cstheme="minorHAnsi"/>
        </w:rPr>
        <w:t xml:space="preserve"> Edu</w:t>
      </w:r>
    </w:p>
    <w:p w14:paraId="5E52D468" w14:textId="3160D42B" w:rsidR="00690798" w:rsidRPr="003A0341" w:rsidRDefault="00690798" w:rsidP="003C64F6">
      <w:pPr>
        <w:ind w:left="2552" w:right="-2857" w:firstLine="567"/>
        <w:jc w:val="center"/>
        <w:rPr>
          <w:rFonts w:asciiTheme="minorHAnsi" w:hAnsiTheme="minorHAnsi" w:cstheme="minorHAnsi"/>
        </w:rPr>
      </w:pPr>
      <w:r w:rsidRPr="003A0341">
        <w:rPr>
          <w:rFonts w:asciiTheme="minorHAnsi" w:hAnsiTheme="minorHAnsi" w:cstheme="minorHAnsi"/>
        </w:rPr>
        <w:t>Student Name:</w:t>
      </w:r>
      <w:r w:rsidR="00D56124">
        <w:rPr>
          <w:rFonts w:asciiTheme="minorHAnsi" w:hAnsiTheme="minorHAnsi" w:cstheme="minorHAnsi"/>
        </w:rPr>
        <w:t xml:space="preserve">  </w:t>
      </w:r>
      <w:r w:rsidR="00E931DD">
        <w:rPr>
          <w:rFonts w:asciiTheme="minorHAnsi" w:hAnsiTheme="minorHAnsi" w:cstheme="minorHAnsi"/>
        </w:rPr>
        <w:t>Ionut Agrigoroaei</w:t>
      </w:r>
    </w:p>
    <w:p w14:paraId="4E865075" w14:textId="10161D50" w:rsidR="00F35AA7" w:rsidRPr="003A0341" w:rsidRDefault="00690798" w:rsidP="003C64F6">
      <w:pPr>
        <w:spacing w:after="480"/>
        <w:ind w:left="2410" w:right="-2857" w:firstLine="567"/>
        <w:jc w:val="center"/>
        <w:rPr>
          <w:rFonts w:asciiTheme="minorHAnsi" w:hAnsiTheme="minorHAnsi" w:cstheme="minorHAnsi"/>
        </w:rPr>
      </w:pPr>
      <w:r w:rsidRPr="003A0341">
        <w:rPr>
          <w:rFonts w:asciiTheme="minorHAnsi" w:hAnsiTheme="minorHAnsi" w:cstheme="minorHAnsi"/>
        </w:rPr>
        <w:t>Student ID:</w:t>
      </w:r>
      <w:r w:rsidR="00F35AA7" w:rsidRPr="003A0341">
        <w:rPr>
          <w:rFonts w:asciiTheme="minorHAnsi" w:hAnsiTheme="minorHAnsi" w:cstheme="minorHAnsi"/>
        </w:rPr>
        <w:tab/>
      </w:r>
      <w:r w:rsidR="00FC2D04" w:rsidRPr="003A0341">
        <w:rPr>
          <w:rFonts w:asciiTheme="minorHAnsi" w:hAnsiTheme="minorHAnsi" w:cstheme="minorHAnsi"/>
        </w:rPr>
        <w:t>224</w:t>
      </w:r>
      <w:r w:rsidR="00E931DD">
        <w:rPr>
          <w:rFonts w:asciiTheme="minorHAnsi" w:hAnsiTheme="minorHAnsi" w:cstheme="minorHAnsi"/>
        </w:rPr>
        <w:t>7225</w:t>
      </w:r>
    </w:p>
    <w:p w14:paraId="45EA0853" w14:textId="2BA5199C" w:rsidR="006E567E" w:rsidRPr="003A0341" w:rsidRDefault="006E567E" w:rsidP="003C64F6">
      <w:pPr>
        <w:spacing w:after="480"/>
        <w:ind w:left="2410" w:right="-2857" w:firstLine="567"/>
        <w:jc w:val="center"/>
        <w:rPr>
          <w:rFonts w:asciiTheme="minorHAnsi" w:hAnsiTheme="minorHAnsi" w:cstheme="minorHAnsi"/>
        </w:rPr>
      </w:pPr>
      <w:r w:rsidRPr="003A0341">
        <w:rPr>
          <w:rFonts w:asciiTheme="minorHAnsi" w:hAnsiTheme="minorHAnsi" w:cstheme="minorHAnsi"/>
        </w:rPr>
        <w:t>W</w:t>
      </w:r>
      <w:r w:rsidR="00E8107C" w:rsidRPr="003A0341">
        <w:rPr>
          <w:rFonts w:asciiTheme="minorHAnsi" w:hAnsiTheme="minorHAnsi" w:cstheme="minorHAnsi"/>
        </w:rPr>
        <w:t xml:space="preserve">ord count: </w:t>
      </w:r>
      <w:r w:rsidR="00B057A3">
        <w:rPr>
          <w:rFonts w:asciiTheme="minorHAnsi" w:hAnsiTheme="minorHAnsi" w:cstheme="minorHAnsi"/>
        </w:rPr>
        <w:t>1818</w:t>
      </w:r>
    </w:p>
    <w:p w14:paraId="7B64C6E9" w14:textId="77777777" w:rsidR="00F35AA7" w:rsidRDefault="00F35AA7" w:rsidP="00A55901">
      <w:pPr>
        <w:ind w:left="426"/>
      </w:pPr>
    </w:p>
    <w:p w14:paraId="3CD490BB" w14:textId="09D824B7" w:rsidR="00F35AA7" w:rsidRPr="00690798" w:rsidRDefault="00F35AA7" w:rsidP="00A55901">
      <w:pPr>
        <w:ind w:left="426"/>
        <w:sectPr w:rsidR="00F35AA7" w:rsidRPr="00690798" w:rsidSect="00A55901">
          <w:type w:val="continuous"/>
          <w:pgSz w:w="12240" w:h="15840"/>
          <w:pgMar w:top="1440" w:right="1440" w:bottom="1440" w:left="1440" w:header="720" w:footer="720" w:gutter="0"/>
          <w:cols w:num="2" w:space="1466"/>
          <w:docGrid w:linePitch="360"/>
        </w:sectPr>
      </w:pPr>
    </w:p>
    <w:p w14:paraId="1F2F2028" w14:textId="2D4F2223" w:rsidR="00FA0D59" w:rsidRPr="00FA0D59" w:rsidRDefault="00FA0D59" w:rsidP="00FA0D59">
      <w:pPr>
        <w:pStyle w:val="TOCHeading"/>
        <w:spacing w:line="360" w:lineRule="auto"/>
      </w:pPr>
    </w:p>
    <w:p w14:paraId="4FDD5B53" w14:textId="77777777" w:rsidR="00C54879" w:rsidRPr="00C54879" w:rsidRDefault="00C54879" w:rsidP="00C54879">
      <w:pPr>
        <w:spacing w:after="0" w:line="240" w:lineRule="auto"/>
        <w:jc w:val="center"/>
        <w:rPr>
          <w:rFonts w:asciiTheme="minorHAnsi" w:eastAsiaTheme="minorEastAsia" w:hAnsiTheme="minorHAnsi"/>
          <w:b/>
          <w:bCs/>
          <w:color w:val="171717" w:themeColor="background2" w:themeShade="1A"/>
          <w:kern w:val="2"/>
          <w:sz w:val="28"/>
          <w:szCs w:val="28"/>
          <w:lang w:eastAsia="en-GB"/>
          <w14:ligatures w14:val="standardContextual"/>
        </w:rPr>
      </w:pPr>
      <w:r w:rsidRPr="00C54879">
        <w:rPr>
          <w:rFonts w:asciiTheme="minorHAnsi" w:eastAsiaTheme="minorEastAsia" w:hAnsiTheme="minorHAnsi"/>
          <w:b/>
          <w:bCs/>
          <w:color w:val="171717" w:themeColor="background2" w:themeShade="1A"/>
          <w:kern w:val="2"/>
          <w:sz w:val="28"/>
          <w:szCs w:val="28"/>
          <w:lang w:eastAsia="en-GB"/>
          <w14:ligatures w14:val="standardContextual"/>
        </w:rPr>
        <w:t>Reflective Report: Examining the Impact and Closure of The Garage Youth Centre</w:t>
      </w:r>
    </w:p>
    <w:p w14:paraId="7A056B58"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3CF41A43"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p>
    <w:p w14:paraId="7BA04996"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p>
    <w:p w14:paraId="4F340A1C"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Introduction</w:t>
      </w:r>
    </w:p>
    <w:p w14:paraId="1A74AF5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 xml:space="preserve">The Garage Youth Centre, established in 2002, served as a free facility catering to young people aged 9 and above in the Totton and Eling area. The centre's primary objective was to provide opportunities for socialisation, fun, safety, and good health. By focusing on personal development, skill-building, and community engagement, The Garage Youth Centre aimed to create a supportive and relaxed environment where young members could build confidence, self-esteem, and actively participate in various activities. </w:t>
      </w:r>
    </w:p>
    <w:p w14:paraId="09783870"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community engagement project I am reflecting on is the rehabilitation of the local youth centre, specifically the Garage Youth Centre. This reflective report will analyse the collaboration between Hampshire-based charity Youth Options and Totton and Eling Town Council for the operation of the Garage Youth Centre in Totton. The report will examine the goals and objectives of the collaboration, the potential impact on the local community, and the sentiments expressed by key stakeholders. The report will follow Gibbs' Reflective Model, consisting of six stages: Description, Feelings, Evaluation, Analysis, Conclusion, and Action Plan.</w:t>
      </w:r>
    </w:p>
    <w:p w14:paraId="6419D642"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4E3D9D4F"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Description</w:t>
      </w:r>
    </w:p>
    <w:p w14:paraId="2CC8B8CA"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description stage in the Gibbs Reflective Cycle involves providing a detailed and coherent account of an event or situation without analysing it. The goal is to gather all relevant information and present a factual and unbiased narrative, including key features, context, and individuals involved. This stage forms the foundation for deeper analysis, evaluation, and identification of learning outcomes. It allows for objective viewing of the incident and sets the stage for meaningful reflection and critical thinking.</w:t>
      </w:r>
    </w:p>
    <w:p w14:paraId="2B65F619" w14:textId="49AD73F4"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Garage Youth Centre in the Totton and Eling area played a vital role in the community by providing support to young people and facilitating the development of local projects and initiatives. The centre offered a free and inclusive space where young individuals could enhance their educational, social, personal, and recreational skills, leading to overall improvement in their well-being. With over 600 registered members and an active attendance rate of 270 individuals, the centre had a significant impact on youth engagement and a sense of belonging</w:t>
      </w:r>
      <w:r w:rsidR="007E30F8">
        <w:rPr>
          <w:rFonts w:asciiTheme="minorHAnsi" w:eastAsiaTheme="minorEastAsia" w:hAnsiTheme="minorHAnsi"/>
          <w:color w:val="171717" w:themeColor="background2" w:themeShade="1A"/>
          <w:kern w:val="2"/>
          <w:szCs w:val="24"/>
          <w:lang w:eastAsia="en-GB"/>
          <w14:ligatures w14:val="standardContextual"/>
        </w:rPr>
        <w:t xml:space="preserve"> </w:t>
      </w:r>
      <w:r w:rsidR="007E30F8" w:rsidRPr="00832074">
        <w:rPr>
          <w:rFonts w:asciiTheme="minorHAnsi" w:eastAsiaTheme="minorEastAsia" w:hAnsiTheme="minorHAnsi"/>
          <w:color w:val="171717" w:themeColor="background2" w:themeShade="1A"/>
          <w:kern w:val="2"/>
          <w:szCs w:val="24"/>
          <w:lang w:eastAsia="en-GB"/>
          <w14:ligatures w14:val="standardContextual"/>
        </w:rPr>
        <w:t>(</w:t>
      </w:r>
      <w:r w:rsidR="007E30F8" w:rsidRPr="00832074">
        <w:rPr>
          <w:rFonts w:asciiTheme="minorHAnsi" w:hAnsiTheme="minorHAnsi" w:cs="Times New Roman"/>
          <w:szCs w:val="24"/>
        </w:rPr>
        <w:t>Harrison,</w:t>
      </w:r>
      <w:r w:rsidR="00832074" w:rsidRPr="00832074">
        <w:rPr>
          <w:rFonts w:asciiTheme="minorHAnsi" w:hAnsiTheme="minorHAnsi" w:cs="Times New Roman"/>
          <w:szCs w:val="24"/>
        </w:rPr>
        <w:t xml:space="preserve"> </w:t>
      </w:r>
      <w:r w:rsidR="007E30F8" w:rsidRPr="00832074">
        <w:rPr>
          <w:rFonts w:asciiTheme="minorHAnsi" w:hAnsiTheme="minorHAnsi" w:cs="Times New Roman"/>
          <w:szCs w:val="24"/>
        </w:rPr>
        <w:t>2013)</w:t>
      </w:r>
      <w:r w:rsidRPr="00C54879">
        <w:rPr>
          <w:rFonts w:asciiTheme="minorHAnsi" w:eastAsiaTheme="minorEastAsia" w:hAnsiTheme="minorHAnsi"/>
          <w:color w:val="171717" w:themeColor="background2" w:themeShade="1A"/>
          <w:kern w:val="2"/>
          <w:szCs w:val="24"/>
          <w:lang w:eastAsia="en-GB"/>
          <w14:ligatures w14:val="standardContextual"/>
        </w:rPr>
        <w:t>.</w:t>
      </w:r>
    </w:p>
    <w:p w14:paraId="019EF953"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During a council meeting, it was proposed and supported by councillors that the Garage Youth Centre be reopened to offer a modern Youth Club experience. The aim was to provide recreational and community facilities, as well as guidance, advice, and support to young people. The council also proposed investigating potential organisations to operate the centre on behalf of the council, with the possibility of utilising the Transfer of Undertakings (Protection of Employment) regulations to transfer existing staff. The proposal included providing a well-maintained Youth Centre building, the operational costs of which were yet to be determined. A Working Party would be established to oversee the operations of the Garage Youth Centre.</w:t>
      </w:r>
    </w:p>
    <w:p w14:paraId="4ACF8944"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lastRenderedPageBreak/>
        <w:t>Furthermore, the Totton and Eling Town Council selected Youth Options, a Hampshire-based charity, to collaborate in operating the Garage Youth Centre. The collaboration aimed to continue providing support and positive experiences to young people in the area.</w:t>
      </w:r>
    </w:p>
    <w:p w14:paraId="16D1E4A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0D3E802A"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Feelings</w:t>
      </w:r>
    </w:p>
    <w:p w14:paraId="31C79164"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"feelings" stage in the Gibbs Reflective Cycle involves exploring and analysing personal emotions and thoughts to gain self-awareness and understand the impact of emotions on the reflective process. It includes reflecting on initial reactions, identifying positive or negative emotions, and examining the underlying reasons and influencing factors. This stage aims to deepen self-awareness and enhance decision-making through effective recognition and management of emotions.</w:t>
      </w:r>
    </w:p>
    <w:p w14:paraId="502183C4"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closure of The Garage Youth Centre evokes feelings of disappointment, sadness, and concern. As a member of the local community, witnessing the positive transformations and growth in our young community was immensely fulfilling. The members created close connections with the young people and became invested in their well-being and success. The centre became not only a place for the youth to have fun and socialise but also a sanctuary where they felt supported and valued. The news of the closure felt like a loss for both the team and the community I am part of.</w:t>
      </w:r>
    </w:p>
    <w:p w14:paraId="30C8D942"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As a community member, reading about the council meeting, I felt optimistic and enthusiastic about the decisions made. The re-opening of the Garage and the provision of comprehensive youth services indicated that the Council recognised the importance of investing in young people's development and well-being. The proposals demonstrated a commitment to creating a modern and supportive environment for youth engagement and ensuring continuity of employment for existing staff through the Transfer of Undertakings regulations. This approach fostered a sense of hope and anticipation for the positive impact it could have on the community.</w:t>
      </w:r>
    </w:p>
    <w:p w14:paraId="244397C3"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As an observer, I feel optimistic and encouraged by the collaboration between Youth Options and Totton and Eling Town Council. The selection of Youth Options, a charity with a proven success record, suggests that the council is committed to providing high-quality services to the local community. The focus on addressing challenges faced by young individuals and fostering safer communities instills a sense of hope for positive outcomes.</w:t>
      </w:r>
    </w:p>
    <w:p w14:paraId="5021E510"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I believed that community engagement and involvement were crucial in the rehabilitation of the youth centre. I felt that by actively involving individuals, organisations, and stakeholders, we could create a stronger and more sustainable youth service. I was eager to work closely with the existing staff at the Garage and Youth Options to ensure a smooth transition and to address the needs of the local community.</w:t>
      </w:r>
    </w:p>
    <w:p w14:paraId="3F5D6CC1"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7E220F10"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Evaluation</w:t>
      </w:r>
    </w:p>
    <w:p w14:paraId="7BA8C8A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evaluation stage in the Gibbs Reflective Cycle involves critically assessing an experience or incident. This includes judging its value, examining positive and negative aspects, and evaluating one's own performance. It also involves identifying strengths and weaknesses, recognising areas for improvement, and assessing the consequences of choices made. The purpose is to analyse the experience, draw lessons from it, and consider alternative approaches. By conducting a thorough evaluation, individuals gain insights into their development areas and can continuously improve. The evaluation stage aims to identify learning opportunities and guide future actions for self-improvement and informed decision-making.</w:t>
      </w:r>
    </w:p>
    <w:p w14:paraId="15279C65"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lastRenderedPageBreak/>
        <w:t>The Garage Youth Centre in Totton and Eling has had a significant positive impact on the local community. It provides a safe and supportive environment for young individuals, allowing them to develop important life skills. The centre focuses on personal development, community engagement, and skill-building, which has helped its members broaden their horizons and gain confidence. By offering free membership, financial barriers are removed, ensuring that all young people can access these opportunities.</w:t>
      </w:r>
    </w:p>
    <w:p w14:paraId="2BA798CC"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success of The Garage Youth Centre is largely due to the dedication and passion of its youth workers. They have created a supportive and relaxed atmosphere, leading to a high number of registered members and active participation. This indicates the centre's substantial contribution to the community.</w:t>
      </w:r>
    </w:p>
    <w:p w14:paraId="579D963C"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During a council meeting, commendable decisions were made regarding The Garage Youth Centre. The council committed to reopening the centre and providing a modern Youth Club experience, recognising the importance of recreational and community facilities for young people. Exploring external organisations to operate the facility demonstrates the council's desire for effective management and the potential benefits of leveraging existing expertise and resources.</w:t>
      </w:r>
    </w:p>
    <w:p w14:paraId="53996A9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Furthermore, the council's commitment to maintaining the Youth Centre building and covering operational costs highlights its investment in the long-term success of the Youth Service. The establishment of a Working Party further demonstrates the council's dedication to effective oversight and continuous improvement.</w:t>
      </w:r>
    </w:p>
    <w:p w14:paraId="3F9BFBA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collaboration between Youth Options and Totton and Eling Town Council is an admirable initiative. Partnering with a charity that specialises in supporting young people strengthens the council's efforts in providing valuable services. This collaboration holds great potential for further enhancing the impact of The Garage Youth Centre and ensuring the needs of young people are met effectively.</w:t>
      </w:r>
    </w:p>
    <w:p w14:paraId="5E12F23D"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17E3F890"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Analysis</w:t>
      </w:r>
    </w:p>
    <w:p w14:paraId="1FC35D18"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 xml:space="preserve">The Analysis stage of Gibbs reflective cycle involves critically examining and interpreting the events or experiences being reflected upon. It requires analysing thoughts, feelings, and actions, identifying underlying assumptions and biases, and evaluating the impact on oneself and others. This stage also involves exploring ethical dilemmas, evaluating decision-making and problem-solving skills, considering alternative perspectives, and identifying areas for improvement and further learning. </w:t>
      </w:r>
    </w:p>
    <w:p w14:paraId="24D71EB6"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 xml:space="preserve">The closure of The Garage Youth Centre was a result of new regulations that prioritised a managerial approach, leading to limited involvement in administrative matters. This decision overlooked the long-term benefits and positive impact that youth centres have on young individuals' lives. It is important to recognise the ongoing need for such spaces and advocate for their inclusion in the community. The Council's decisions indicate a proactive approach to re-establishing the Youth Service and addressing the needs of young people. Collaboration with external organisations, such as Youth Options, can enhance operational efficiency and effectiveness. The commitment to maintaining the Youth Centre building and covering operational costs ensures sustainability. The establishment of a Working Party will involve stakeholders and ensure effective monitoring and evaluation. The collaboration between Youth Options and the Council holds significant potential, as Youth Options has a track record of </w:t>
      </w:r>
      <w:r w:rsidRPr="00C54879">
        <w:rPr>
          <w:rFonts w:asciiTheme="minorHAnsi" w:eastAsiaTheme="minorEastAsia" w:hAnsiTheme="minorHAnsi"/>
          <w:color w:val="171717" w:themeColor="background2" w:themeShade="1A"/>
          <w:kern w:val="2"/>
          <w:szCs w:val="24"/>
          <w:lang w:eastAsia="en-GB"/>
          <w14:ligatures w14:val="standardContextual"/>
        </w:rPr>
        <w:lastRenderedPageBreak/>
        <w:t>delivering high-quality youth work services and addressing challenges faced by young people. The seamless transition of existing staff at The Garage to Youth Options ensures continuity and stability for the young individuals utilising the services.</w:t>
      </w:r>
    </w:p>
    <w:p w14:paraId="6BC20069"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0C96A340"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Conclusion</w:t>
      </w:r>
    </w:p>
    <w:p w14:paraId="0A017F55"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Conclusion stage of Gibbs reflective cycle involves summarising the key insights and lessons learned from the analysis, evaluating the outcomes and consequences, considering changes or improvements for the future, reflecting on the broader implications, and identifying implications for professional practice and decision-making.</w:t>
      </w:r>
    </w:p>
    <w:p w14:paraId="767E9261"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closure of The Garage Youth Centre was a result of new regulations that prioritised a managerial approach, leading to limited involvement in administrative matters. This decision overlooked the long-term benefits and positive impact that youth centres have on young individuals' lives. It is important to recognise the ongoing need for such spaces and advocate for their inclusion in the community. The Council's decisions indicate a proactive approach to re-establishing the Youth Service and addressing the needs of young people. Collaboration with external organisations, such as Youth Options, can enhance operational efficiency and effectiveness. The commitment to maintaining the Youth Centre building and covering operational costs ensures sustainability. The establishment of a Working Party will involve stakeholders and ensure effective monitoring and evaluation. The collaboration between Youth Options and the Council holds significant potential, as Youth Options has a track record of delivering high-quality youth work services and addressing challenges faced by young people. The seamless transition of existing staff at The Garage to Youth Options ensures continuity and stability for the young individuals utilising the services.</w:t>
      </w:r>
      <w:r w:rsidRPr="00C54879">
        <w:rPr>
          <w:rFonts w:asciiTheme="minorHAnsi" w:eastAsiaTheme="minorEastAsia" w:hAnsiTheme="minorHAnsi"/>
          <w:color w:val="171717" w:themeColor="background2" w:themeShade="1A"/>
          <w:kern w:val="2"/>
          <w:szCs w:val="24"/>
          <w:lang w:eastAsia="en-GB"/>
          <w14:ligatures w14:val="standardContextual"/>
        </w:rPr>
        <w:br/>
      </w:r>
    </w:p>
    <w:p w14:paraId="70C27D69"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70520DD1"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Action Plan</w:t>
      </w:r>
    </w:p>
    <w:p w14:paraId="16E901B1"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The Action Plan stage of Gibbs reflective cycle entails creating a plan for future actions based on insights and lessons learned, setting goals and objectives, developing a detailed plan of action, considering necessary resources and support, reflecting on motivation and commitment, and strategising to overcome potential barriers. This phase enables individuals to translate reflection into actionable steps and guide their efforts towards achieving desired outcomes (Gibbs, 1988).</w:t>
      </w:r>
    </w:p>
    <w:p w14:paraId="03F29309"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 xml:space="preserve">Overall, the rehabilitation of the Garage Youth Centre serves as a testament to the power of community engagement and involvement in improving the lives of young people. By continuing to prioritise and invest in community engagement initiatives, we can create stronger and more resilient communities. The actions recommended to ensure the successful implementation of the decisions taken during the council meeting include collaborating with relevant stakeholders, conducting thorough evaluations, establishing clear communication channels, promoting transparency, and regularly reviewing and evaluating operations. By following this action plan, the Council can increase the chances of successfully realising the goals and objectives outlined in the council meeting. The decisions made during the council meeting demonstrate a proactive approach by the Council to re-establish the Youth Service and cater to the needs of young people. The involvement of external organisations, commitment to maintaining the Youth Centre building, and the establishment of a Working Party all contribute to the effective and sustainable operation of the Youth Service. By implementing the suggested action plan, the Council can </w:t>
      </w:r>
      <w:r w:rsidRPr="00C54879">
        <w:rPr>
          <w:rFonts w:asciiTheme="minorHAnsi" w:eastAsiaTheme="minorEastAsia" w:hAnsiTheme="minorHAnsi"/>
          <w:color w:val="171717" w:themeColor="background2" w:themeShade="1A"/>
          <w:kern w:val="2"/>
          <w:szCs w:val="24"/>
          <w:lang w:eastAsia="en-GB"/>
          <w14:ligatures w14:val="standardContextual"/>
        </w:rPr>
        <w:lastRenderedPageBreak/>
        <w:t>maximise the potential impact of these decisions and ensure a successful outcome for the community.</w:t>
      </w:r>
    </w:p>
    <w:p w14:paraId="0BFF686F"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p>
    <w:p w14:paraId="60562B96" w14:textId="77777777" w:rsidR="00C54879" w:rsidRPr="00C54879" w:rsidRDefault="00C54879" w:rsidP="00C54879">
      <w:pPr>
        <w:spacing w:after="0" w:line="240" w:lineRule="auto"/>
        <w:rPr>
          <w:rFonts w:asciiTheme="minorHAnsi" w:eastAsiaTheme="minorEastAsia" w:hAnsiTheme="minorHAnsi"/>
          <w:b/>
          <w:bCs/>
          <w:color w:val="171717" w:themeColor="background2" w:themeShade="1A"/>
          <w:kern w:val="2"/>
          <w:szCs w:val="24"/>
          <w:lang w:eastAsia="en-GB"/>
          <w14:ligatures w14:val="standardContextual"/>
        </w:rPr>
      </w:pPr>
      <w:r w:rsidRPr="00C54879">
        <w:rPr>
          <w:rFonts w:asciiTheme="minorHAnsi" w:eastAsiaTheme="minorEastAsia" w:hAnsiTheme="minorHAnsi"/>
          <w:b/>
          <w:bCs/>
          <w:color w:val="171717" w:themeColor="background2" w:themeShade="1A"/>
          <w:kern w:val="2"/>
          <w:szCs w:val="24"/>
          <w:lang w:eastAsia="en-GB"/>
          <w14:ligatures w14:val="standardContextual"/>
        </w:rPr>
        <w:t>Report conclusion</w:t>
      </w:r>
    </w:p>
    <w:p w14:paraId="64D2FB59" w14:textId="77777777" w:rsidR="00C54879" w:rsidRPr="00C54879" w:rsidRDefault="00C54879" w:rsidP="00C54879">
      <w:pPr>
        <w:spacing w:after="0" w:line="240" w:lineRule="auto"/>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In conclusion, the closure of the Garage Youth Centre in 2021 due to new regulations was a setback for the community. However, the plans to reopen it through a collaboration with Youth Options offer hope for the future. This partnership aims to provide open access youth work and support local children and young people. The seamless transition of existing staff to Youth Options ensures continuity and stability in the youth service. By following Gibbs' Reflective Model, this reflective report has analysed the key decisions made during the meeting, their rationale, and the potential implications for the effective operation of the Youth Service. The conclusion highlights the promise of the collaboration and emphasises the focus on addressing the needs of young people and fostering safer communities. By implementing the suggested action plan, the collaboration can further enhance its effectiveness and positively impact the lives of young individuals in the community. Overall, the reopening of the Garage Youth Centre through this collaboration represents a positive step towards meeting the needs of young people and creating a supportive and inclusive community.</w:t>
      </w:r>
      <w:r w:rsidRPr="00C54879">
        <w:rPr>
          <w:rFonts w:asciiTheme="minorHAnsi" w:eastAsiaTheme="minorEastAsia" w:hAnsiTheme="minorHAnsi"/>
          <w:color w:val="171717" w:themeColor="background2" w:themeShade="1A"/>
          <w:kern w:val="2"/>
          <w:szCs w:val="24"/>
          <w:lang w:eastAsia="en-GB"/>
          <w14:ligatures w14:val="standardContextual"/>
        </w:rPr>
        <w:br/>
      </w:r>
    </w:p>
    <w:p w14:paraId="0D0167B7"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09F49DEB"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085AE9F6"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22CE2E94"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5ADD9DAF"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66669140" w14:textId="4827B6AB"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07DF2B0E"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178373A8"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28F8B705" w14:textId="77777777" w:rsidR="00C54879" w:rsidRPr="00C54879" w:rsidRDefault="00C54879" w:rsidP="00C54879">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4CEA8001" w14:textId="583D0D9E" w:rsidR="00AE6A89" w:rsidRPr="005E119C" w:rsidRDefault="00AE6A89" w:rsidP="00AE6A89">
      <w:pPr>
        <w:spacing w:before="120" w:line="259" w:lineRule="auto"/>
        <w:rPr>
          <w:rFonts w:ascii="Times New Roman" w:hAnsi="Times New Roman" w:cs="Times New Roman"/>
          <w:szCs w:val="24"/>
        </w:rPr>
      </w:pPr>
      <w:r w:rsidRPr="00AE6A89">
        <w:rPr>
          <w:rFonts w:ascii="Times New Roman" w:hAnsi="Times New Roman" w:cs="Times New Roman"/>
          <w:b/>
          <w:bCs/>
          <w:szCs w:val="24"/>
        </w:rPr>
        <w:t>Reference</w:t>
      </w:r>
      <w:r w:rsidR="005E119C">
        <w:rPr>
          <w:rFonts w:ascii="Times New Roman" w:hAnsi="Times New Roman" w:cs="Times New Roman"/>
          <w:b/>
          <w:bCs/>
          <w:szCs w:val="24"/>
        </w:rPr>
        <w:t>s</w:t>
      </w:r>
    </w:p>
    <w:p w14:paraId="5B3D8080" w14:textId="776DF0F6" w:rsidR="00AE6A89" w:rsidRDefault="00432FE5" w:rsidP="00432FE5">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r w:rsidRPr="00C54879">
        <w:rPr>
          <w:rFonts w:asciiTheme="minorHAnsi" w:eastAsiaTheme="minorEastAsia" w:hAnsiTheme="minorHAnsi"/>
          <w:color w:val="171717" w:themeColor="background2" w:themeShade="1A"/>
          <w:kern w:val="2"/>
          <w:szCs w:val="24"/>
          <w:lang w:eastAsia="en-GB"/>
          <w14:ligatures w14:val="standardContextual"/>
        </w:rPr>
        <w:t>Gibbs, G. (1988). Learning by Doing: A guide to teaching and learning methods. Further Education Unit.</w:t>
      </w:r>
    </w:p>
    <w:p w14:paraId="5F61F04F" w14:textId="77777777" w:rsidR="00432FE5" w:rsidRPr="00432FE5" w:rsidRDefault="00432FE5" w:rsidP="00432FE5">
      <w:pPr>
        <w:spacing w:after="0" w:line="240" w:lineRule="auto"/>
        <w:jc w:val="left"/>
        <w:rPr>
          <w:rFonts w:asciiTheme="minorHAnsi" w:eastAsiaTheme="minorEastAsia" w:hAnsiTheme="minorHAnsi"/>
          <w:color w:val="171717" w:themeColor="background2" w:themeShade="1A"/>
          <w:kern w:val="2"/>
          <w:szCs w:val="24"/>
          <w:lang w:eastAsia="en-GB"/>
          <w14:ligatures w14:val="standardContextual"/>
        </w:rPr>
      </w:pPr>
    </w:p>
    <w:p w14:paraId="61779C0B" w14:textId="308CCEBF" w:rsidR="00AE6A89" w:rsidRDefault="00AE6A89" w:rsidP="00AE6A89">
      <w:pPr>
        <w:spacing w:before="120" w:line="259" w:lineRule="auto"/>
        <w:rPr>
          <w:rFonts w:ascii="Times New Roman" w:hAnsi="Times New Roman" w:cs="Times New Roman"/>
          <w:szCs w:val="24"/>
        </w:rPr>
      </w:pPr>
      <w:r w:rsidRPr="00AE6A89">
        <w:rPr>
          <w:rFonts w:ascii="Times New Roman" w:hAnsi="Times New Roman" w:cs="Times New Roman"/>
          <w:szCs w:val="24"/>
        </w:rPr>
        <w:t xml:space="preserve">Adams, E., </w:t>
      </w:r>
      <w:proofErr w:type="spellStart"/>
      <w:r w:rsidRPr="00AE6A89">
        <w:rPr>
          <w:rFonts w:ascii="Times New Roman" w:hAnsi="Times New Roman" w:cs="Times New Roman"/>
          <w:szCs w:val="24"/>
        </w:rPr>
        <w:t>Eklund</w:t>
      </w:r>
      <w:proofErr w:type="spellEnd"/>
      <w:r w:rsidRPr="00AE6A89">
        <w:rPr>
          <w:rFonts w:ascii="Times New Roman" w:hAnsi="Times New Roman" w:cs="Times New Roman"/>
          <w:szCs w:val="24"/>
        </w:rPr>
        <w:t xml:space="preserve">, M., and Sparks, L. (2010) </w:t>
      </w:r>
      <w:r w:rsidR="005E119C">
        <w:rPr>
          <w:rFonts w:ascii="Times New Roman" w:hAnsi="Times New Roman" w:cs="Times New Roman"/>
          <w:szCs w:val="24"/>
        </w:rPr>
        <w:t>‘</w:t>
      </w:r>
      <w:r w:rsidRPr="00AE6A89">
        <w:rPr>
          <w:rFonts w:ascii="Times New Roman" w:hAnsi="Times New Roman" w:cs="Times New Roman"/>
          <w:szCs w:val="24"/>
        </w:rPr>
        <w:t>Engaging in community change: The making it happen framework</w:t>
      </w:r>
      <w:r w:rsidR="005E119C">
        <w:rPr>
          <w:rFonts w:ascii="Times New Roman" w:hAnsi="Times New Roman" w:cs="Times New Roman"/>
          <w:szCs w:val="24"/>
        </w:rPr>
        <w:t>’,</w:t>
      </w:r>
      <w:r w:rsidRPr="00AE6A89">
        <w:rPr>
          <w:rFonts w:ascii="Times New Roman" w:hAnsi="Times New Roman" w:cs="Times New Roman"/>
          <w:szCs w:val="24"/>
        </w:rPr>
        <w:t xml:space="preserve"> </w:t>
      </w:r>
      <w:r w:rsidRPr="005E119C">
        <w:rPr>
          <w:rFonts w:ascii="Times New Roman" w:hAnsi="Times New Roman" w:cs="Times New Roman"/>
          <w:i/>
          <w:iCs/>
          <w:szCs w:val="24"/>
        </w:rPr>
        <w:t>Journal of Community Engagement and Scholarship</w:t>
      </w:r>
      <w:r w:rsidRPr="00AE6A89">
        <w:rPr>
          <w:rFonts w:ascii="Times New Roman" w:hAnsi="Times New Roman" w:cs="Times New Roman"/>
          <w:szCs w:val="24"/>
        </w:rPr>
        <w:t>, 2(1), 40-47.</w:t>
      </w:r>
      <w:r w:rsidRPr="00AE6A89">
        <w:rPr>
          <w:rFonts w:ascii="Times New Roman" w:hAnsi="Times New Roman" w:cs="Times New Roman"/>
          <w:szCs w:val="24"/>
        </w:rPr>
        <w:tab/>
      </w:r>
    </w:p>
    <w:p w14:paraId="0E105D49" w14:textId="77777777" w:rsidR="005E119C" w:rsidRPr="00AE6A89" w:rsidRDefault="005E119C" w:rsidP="00AE6A89">
      <w:pPr>
        <w:spacing w:before="120" w:line="259" w:lineRule="auto"/>
        <w:rPr>
          <w:rFonts w:ascii="Times New Roman" w:hAnsi="Times New Roman" w:cs="Times New Roman"/>
          <w:szCs w:val="24"/>
        </w:rPr>
      </w:pPr>
    </w:p>
    <w:p w14:paraId="44AA4144" w14:textId="0E4709A6" w:rsidR="00AE6A89" w:rsidRDefault="00AE6A89" w:rsidP="00AE6A89">
      <w:pPr>
        <w:spacing w:before="120" w:line="259" w:lineRule="auto"/>
        <w:rPr>
          <w:rFonts w:ascii="Times New Roman" w:hAnsi="Times New Roman" w:cs="Times New Roman"/>
          <w:szCs w:val="24"/>
        </w:rPr>
      </w:pPr>
      <w:proofErr w:type="spellStart"/>
      <w:r w:rsidRPr="00AE6A89">
        <w:rPr>
          <w:rFonts w:ascii="Times New Roman" w:hAnsi="Times New Roman" w:cs="Times New Roman"/>
          <w:szCs w:val="24"/>
        </w:rPr>
        <w:t>Arnstein</w:t>
      </w:r>
      <w:proofErr w:type="spellEnd"/>
      <w:r w:rsidRPr="00AE6A89">
        <w:rPr>
          <w:rFonts w:ascii="Times New Roman" w:hAnsi="Times New Roman" w:cs="Times New Roman"/>
          <w:szCs w:val="24"/>
        </w:rPr>
        <w:t xml:space="preserve">, S. R. (1969) </w:t>
      </w:r>
      <w:r w:rsidR="005E119C">
        <w:rPr>
          <w:rFonts w:ascii="Times New Roman" w:hAnsi="Times New Roman" w:cs="Times New Roman"/>
          <w:szCs w:val="24"/>
        </w:rPr>
        <w:t>‘</w:t>
      </w:r>
      <w:r w:rsidRPr="00AE6A89">
        <w:rPr>
          <w:rFonts w:ascii="Times New Roman" w:hAnsi="Times New Roman" w:cs="Times New Roman"/>
          <w:szCs w:val="24"/>
        </w:rPr>
        <w:t>A ladder of citizen participation</w:t>
      </w:r>
      <w:r w:rsidR="005E119C">
        <w:rPr>
          <w:rFonts w:ascii="Times New Roman" w:hAnsi="Times New Roman" w:cs="Times New Roman"/>
          <w:szCs w:val="24"/>
        </w:rPr>
        <w:t>’</w:t>
      </w:r>
      <w:r w:rsidRPr="00AE6A89">
        <w:rPr>
          <w:rFonts w:ascii="Times New Roman" w:hAnsi="Times New Roman" w:cs="Times New Roman"/>
          <w:szCs w:val="24"/>
        </w:rPr>
        <w:t xml:space="preserve">. </w:t>
      </w:r>
      <w:r w:rsidRPr="005E119C">
        <w:rPr>
          <w:rFonts w:ascii="Times New Roman" w:hAnsi="Times New Roman" w:cs="Times New Roman"/>
          <w:i/>
          <w:iCs/>
          <w:szCs w:val="24"/>
        </w:rPr>
        <w:t>Journal of the American Institute of Planners</w:t>
      </w:r>
      <w:r w:rsidRPr="00AE6A89">
        <w:rPr>
          <w:rFonts w:ascii="Times New Roman" w:hAnsi="Times New Roman" w:cs="Times New Roman"/>
          <w:szCs w:val="24"/>
        </w:rPr>
        <w:t>, 35(4), 216-224</w:t>
      </w:r>
    </w:p>
    <w:p w14:paraId="784C3AFE" w14:textId="77777777" w:rsidR="005E119C" w:rsidRPr="00AE6A89" w:rsidRDefault="005E119C" w:rsidP="00AE6A89">
      <w:pPr>
        <w:spacing w:before="120" w:line="259" w:lineRule="auto"/>
        <w:rPr>
          <w:rFonts w:ascii="Times New Roman" w:hAnsi="Times New Roman" w:cs="Times New Roman"/>
          <w:szCs w:val="24"/>
        </w:rPr>
      </w:pPr>
    </w:p>
    <w:p w14:paraId="52969D6D" w14:textId="566D2A94" w:rsidR="00AE6A89" w:rsidRDefault="00AE6A89" w:rsidP="00AE6A89">
      <w:pPr>
        <w:spacing w:before="120" w:line="259" w:lineRule="auto"/>
        <w:rPr>
          <w:rFonts w:ascii="Times New Roman" w:hAnsi="Times New Roman" w:cs="Times New Roman"/>
          <w:szCs w:val="24"/>
        </w:rPr>
      </w:pPr>
      <w:proofErr w:type="spellStart"/>
      <w:r w:rsidRPr="00AE6A89">
        <w:rPr>
          <w:rFonts w:ascii="Times New Roman" w:hAnsi="Times New Roman" w:cs="Times New Roman"/>
          <w:szCs w:val="24"/>
        </w:rPr>
        <w:t>Chavis</w:t>
      </w:r>
      <w:proofErr w:type="spellEnd"/>
      <w:r w:rsidRPr="00AE6A89">
        <w:rPr>
          <w:rFonts w:ascii="Times New Roman" w:hAnsi="Times New Roman" w:cs="Times New Roman"/>
          <w:szCs w:val="24"/>
        </w:rPr>
        <w:t xml:space="preserve">, D. M. (2001) </w:t>
      </w:r>
      <w:r w:rsidR="005E119C">
        <w:rPr>
          <w:rFonts w:ascii="Times New Roman" w:hAnsi="Times New Roman" w:cs="Times New Roman"/>
          <w:szCs w:val="24"/>
        </w:rPr>
        <w:t>‘</w:t>
      </w:r>
      <w:r w:rsidRPr="00AE6A89">
        <w:rPr>
          <w:rFonts w:ascii="Times New Roman" w:hAnsi="Times New Roman" w:cs="Times New Roman"/>
          <w:szCs w:val="24"/>
        </w:rPr>
        <w:t>The paradoxes and promise of community coalitions</w:t>
      </w:r>
      <w:r w:rsidR="005E119C">
        <w:rPr>
          <w:rFonts w:ascii="Times New Roman" w:hAnsi="Times New Roman" w:cs="Times New Roman"/>
          <w:szCs w:val="24"/>
        </w:rPr>
        <w:t>’</w:t>
      </w:r>
      <w:r w:rsidRPr="00AE6A89">
        <w:rPr>
          <w:rFonts w:ascii="Times New Roman" w:hAnsi="Times New Roman" w:cs="Times New Roman"/>
          <w:szCs w:val="24"/>
        </w:rPr>
        <w:t xml:space="preserve">. </w:t>
      </w:r>
      <w:r w:rsidRPr="005E119C">
        <w:rPr>
          <w:rFonts w:ascii="Times New Roman" w:hAnsi="Times New Roman" w:cs="Times New Roman"/>
          <w:i/>
          <w:iCs/>
          <w:szCs w:val="24"/>
        </w:rPr>
        <w:t>American Journal of Community Psychology</w:t>
      </w:r>
      <w:r w:rsidRPr="00AE6A89">
        <w:rPr>
          <w:rFonts w:ascii="Times New Roman" w:hAnsi="Times New Roman" w:cs="Times New Roman"/>
          <w:szCs w:val="24"/>
        </w:rPr>
        <w:t>, 29(3), 309-320.</w:t>
      </w:r>
    </w:p>
    <w:p w14:paraId="132D2342" w14:textId="77777777" w:rsidR="005E119C" w:rsidRPr="00AE6A89" w:rsidRDefault="005E119C" w:rsidP="00AE6A89">
      <w:pPr>
        <w:spacing w:before="120" w:line="259" w:lineRule="auto"/>
        <w:rPr>
          <w:rFonts w:ascii="Times New Roman" w:hAnsi="Times New Roman" w:cs="Times New Roman"/>
          <w:szCs w:val="24"/>
        </w:rPr>
      </w:pPr>
    </w:p>
    <w:p w14:paraId="772242A0" w14:textId="35074E67" w:rsidR="00AE6A89" w:rsidRDefault="00AE6A89" w:rsidP="00AE6A89">
      <w:pPr>
        <w:spacing w:before="120" w:line="259" w:lineRule="auto"/>
        <w:rPr>
          <w:rFonts w:ascii="Times New Roman" w:hAnsi="Times New Roman" w:cs="Times New Roman"/>
          <w:szCs w:val="24"/>
        </w:rPr>
      </w:pPr>
      <w:proofErr w:type="spellStart"/>
      <w:r w:rsidRPr="00AE6A89">
        <w:rPr>
          <w:rFonts w:ascii="Times New Roman" w:hAnsi="Times New Roman" w:cs="Times New Roman"/>
          <w:szCs w:val="24"/>
        </w:rPr>
        <w:lastRenderedPageBreak/>
        <w:t>Checkoway</w:t>
      </w:r>
      <w:proofErr w:type="spellEnd"/>
      <w:r w:rsidRPr="00AE6A89">
        <w:rPr>
          <w:rFonts w:ascii="Times New Roman" w:hAnsi="Times New Roman" w:cs="Times New Roman"/>
          <w:szCs w:val="24"/>
        </w:rPr>
        <w:t xml:space="preserve">, B. (2001) </w:t>
      </w:r>
      <w:r w:rsidRPr="005E119C">
        <w:rPr>
          <w:rFonts w:ascii="Times New Roman" w:hAnsi="Times New Roman" w:cs="Times New Roman"/>
          <w:i/>
          <w:iCs/>
          <w:szCs w:val="24"/>
        </w:rPr>
        <w:t>Renewing the civic mission of urban universities and colleges: Engaging communities through youth development</w:t>
      </w:r>
      <w:r w:rsidRPr="00AE6A89">
        <w:rPr>
          <w:rFonts w:ascii="Times New Roman" w:hAnsi="Times New Roman" w:cs="Times New Roman"/>
          <w:szCs w:val="24"/>
        </w:rPr>
        <w:t>. Metropolitan Universities: An International Forum, 12(4), 55-75.</w:t>
      </w:r>
    </w:p>
    <w:p w14:paraId="4C325C3C" w14:textId="77777777" w:rsidR="005E119C" w:rsidRPr="00AE6A89" w:rsidRDefault="005E119C" w:rsidP="00AE6A89">
      <w:pPr>
        <w:spacing w:before="120" w:line="259" w:lineRule="auto"/>
        <w:rPr>
          <w:rFonts w:ascii="Times New Roman" w:hAnsi="Times New Roman" w:cs="Times New Roman"/>
          <w:szCs w:val="24"/>
        </w:rPr>
      </w:pPr>
    </w:p>
    <w:p w14:paraId="7862E0C5" w14:textId="70CA7464" w:rsidR="00AE6A89" w:rsidRDefault="00AE6A89" w:rsidP="00AE6A89">
      <w:pPr>
        <w:spacing w:before="120" w:line="259" w:lineRule="auto"/>
        <w:rPr>
          <w:rFonts w:ascii="Times New Roman" w:hAnsi="Times New Roman" w:cs="Times New Roman"/>
          <w:szCs w:val="24"/>
        </w:rPr>
      </w:pPr>
      <w:proofErr w:type="spellStart"/>
      <w:r w:rsidRPr="00AE6A89">
        <w:rPr>
          <w:rFonts w:ascii="Times New Roman" w:hAnsi="Times New Roman" w:cs="Times New Roman"/>
          <w:szCs w:val="24"/>
        </w:rPr>
        <w:t>Cnaan</w:t>
      </w:r>
      <w:proofErr w:type="spellEnd"/>
      <w:r w:rsidRPr="00AE6A89">
        <w:rPr>
          <w:rFonts w:ascii="Times New Roman" w:hAnsi="Times New Roman" w:cs="Times New Roman"/>
          <w:szCs w:val="24"/>
        </w:rPr>
        <w:t xml:space="preserve">, R. A., </w:t>
      </w:r>
      <w:proofErr w:type="spellStart"/>
      <w:r w:rsidRPr="00AE6A89">
        <w:rPr>
          <w:rFonts w:ascii="Times New Roman" w:hAnsi="Times New Roman" w:cs="Times New Roman"/>
          <w:szCs w:val="24"/>
        </w:rPr>
        <w:t>Kumi</w:t>
      </w:r>
      <w:proofErr w:type="spellEnd"/>
      <w:r w:rsidRPr="00AE6A89">
        <w:rPr>
          <w:rFonts w:ascii="Times New Roman" w:hAnsi="Times New Roman" w:cs="Times New Roman"/>
          <w:szCs w:val="24"/>
        </w:rPr>
        <w:t xml:space="preserve">, D., </w:t>
      </w:r>
      <w:r w:rsidR="005E119C">
        <w:rPr>
          <w:rFonts w:ascii="Times New Roman" w:hAnsi="Times New Roman" w:cs="Times New Roman"/>
          <w:szCs w:val="24"/>
        </w:rPr>
        <w:t>and</w:t>
      </w:r>
      <w:r w:rsidRPr="00AE6A89">
        <w:rPr>
          <w:rFonts w:ascii="Times New Roman" w:hAnsi="Times New Roman" w:cs="Times New Roman"/>
          <w:szCs w:val="24"/>
        </w:rPr>
        <w:t xml:space="preserve"> </w:t>
      </w:r>
      <w:proofErr w:type="spellStart"/>
      <w:r w:rsidRPr="00AE6A89">
        <w:rPr>
          <w:rFonts w:ascii="Times New Roman" w:hAnsi="Times New Roman" w:cs="Times New Roman"/>
          <w:szCs w:val="24"/>
        </w:rPr>
        <w:t>Kang</w:t>
      </w:r>
      <w:proofErr w:type="spellEnd"/>
      <w:r w:rsidRPr="00AE6A89">
        <w:rPr>
          <w:rFonts w:ascii="Times New Roman" w:hAnsi="Times New Roman" w:cs="Times New Roman"/>
          <w:szCs w:val="24"/>
        </w:rPr>
        <w:t xml:space="preserve">, C. (2002) </w:t>
      </w:r>
      <w:r w:rsidR="005E119C">
        <w:rPr>
          <w:rFonts w:ascii="Times New Roman" w:hAnsi="Times New Roman" w:cs="Times New Roman"/>
          <w:szCs w:val="24"/>
        </w:rPr>
        <w:t>‘</w:t>
      </w:r>
      <w:r w:rsidRPr="00AE6A89">
        <w:rPr>
          <w:rFonts w:ascii="Times New Roman" w:hAnsi="Times New Roman" w:cs="Times New Roman"/>
          <w:szCs w:val="24"/>
        </w:rPr>
        <w:t xml:space="preserve">Participants in community </w:t>
      </w:r>
      <w:proofErr w:type="spellStart"/>
      <w:r w:rsidRPr="00AE6A89">
        <w:rPr>
          <w:rFonts w:ascii="Times New Roman" w:hAnsi="Times New Roman" w:cs="Times New Roman"/>
          <w:szCs w:val="24"/>
        </w:rPr>
        <w:t>organizations</w:t>
      </w:r>
      <w:proofErr w:type="spellEnd"/>
      <w:r w:rsidRPr="00AE6A89">
        <w:rPr>
          <w:rFonts w:ascii="Times New Roman" w:hAnsi="Times New Roman" w:cs="Times New Roman"/>
          <w:szCs w:val="24"/>
        </w:rPr>
        <w:t>: Who are they?</w:t>
      </w:r>
      <w:r w:rsidR="005E119C">
        <w:rPr>
          <w:rFonts w:ascii="Times New Roman" w:hAnsi="Times New Roman" w:cs="Times New Roman"/>
          <w:szCs w:val="24"/>
        </w:rPr>
        <w:t xml:space="preserve">’, </w:t>
      </w:r>
      <w:r w:rsidRPr="00AE6A89">
        <w:rPr>
          <w:rFonts w:ascii="Times New Roman" w:hAnsi="Times New Roman" w:cs="Times New Roman"/>
          <w:szCs w:val="24"/>
        </w:rPr>
        <w:t xml:space="preserve"> </w:t>
      </w:r>
      <w:r w:rsidRPr="005E119C">
        <w:rPr>
          <w:rFonts w:ascii="Times New Roman" w:hAnsi="Times New Roman" w:cs="Times New Roman"/>
          <w:i/>
          <w:iCs/>
          <w:szCs w:val="24"/>
        </w:rPr>
        <w:t>Nonprofit and Voluntary Sector Quarterly</w:t>
      </w:r>
      <w:r w:rsidRPr="00AE6A89">
        <w:rPr>
          <w:rFonts w:ascii="Times New Roman" w:hAnsi="Times New Roman" w:cs="Times New Roman"/>
          <w:szCs w:val="24"/>
        </w:rPr>
        <w:t>, 31(2), 300-323</w:t>
      </w:r>
    </w:p>
    <w:p w14:paraId="53C84928" w14:textId="77777777" w:rsidR="005E119C" w:rsidRPr="00AE6A89" w:rsidRDefault="005E119C" w:rsidP="00AE6A89">
      <w:pPr>
        <w:spacing w:before="120" w:line="259" w:lineRule="auto"/>
        <w:rPr>
          <w:rFonts w:ascii="Times New Roman" w:hAnsi="Times New Roman" w:cs="Times New Roman"/>
          <w:szCs w:val="24"/>
        </w:rPr>
      </w:pPr>
    </w:p>
    <w:p w14:paraId="0455CE18" w14:textId="2DE8379B" w:rsidR="00AE6A89" w:rsidRDefault="00AE6A89" w:rsidP="00AE6A89">
      <w:pPr>
        <w:spacing w:before="120" w:line="259" w:lineRule="auto"/>
        <w:rPr>
          <w:rFonts w:ascii="Times New Roman" w:hAnsi="Times New Roman" w:cs="Times New Roman"/>
          <w:szCs w:val="24"/>
        </w:rPr>
      </w:pPr>
      <w:proofErr w:type="spellStart"/>
      <w:r w:rsidRPr="00AE6A89">
        <w:rPr>
          <w:rFonts w:ascii="Times New Roman" w:hAnsi="Times New Roman" w:cs="Times New Roman"/>
          <w:szCs w:val="24"/>
        </w:rPr>
        <w:t>gyc</w:t>
      </w:r>
      <w:proofErr w:type="spellEnd"/>
      <w:r w:rsidRPr="00AE6A89">
        <w:rPr>
          <w:rFonts w:ascii="Times New Roman" w:hAnsi="Times New Roman" w:cs="Times New Roman"/>
          <w:szCs w:val="24"/>
        </w:rPr>
        <w:t xml:space="preserve"> (2021)</w:t>
      </w:r>
      <w:r w:rsidR="005E119C">
        <w:rPr>
          <w:rFonts w:ascii="Times New Roman" w:hAnsi="Times New Roman" w:cs="Times New Roman"/>
          <w:szCs w:val="24"/>
        </w:rPr>
        <w:t xml:space="preserve"> </w:t>
      </w:r>
      <w:r w:rsidRPr="005E119C">
        <w:rPr>
          <w:rFonts w:ascii="Times New Roman" w:hAnsi="Times New Roman" w:cs="Times New Roman"/>
          <w:i/>
          <w:iCs/>
          <w:szCs w:val="24"/>
        </w:rPr>
        <w:t>Totton and Eling Town Council</w:t>
      </w:r>
      <w:r w:rsidRPr="00AE6A89">
        <w:rPr>
          <w:rFonts w:ascii="Times New Roman" w:hAnsi="Times New Roman" w:cs="Times New Roman"/>
          <w:szCs w:val="24"/>
        </w:rPr>
        <w:t>. Available at https://www.tottoneling-tc.gov.uk/Quick_Links/gyc.aspx (Accessed: 30 November 2023).</w:t>
      </w:r>
    </w:p>
    <w:p w14:paraId="5A213792" w14:textId="77777777" w:rsidR="005E119C" w:rsidRPr="00AE6A89" w:rsidRDefault="005E119C" w:rsidP="00AE6A89">
      <w:pPr>
        <w:spacing w:before="120" w:line="259" w:lineRule="auto"/>
        <w:rPr>
          <w:rFonts w:ascii="Times New Roman" w:hAnsi="Times New Roman" w:cs="Times New Roman"/>
          <w:szCs w:val="24"/>
        </w:rPr>
      </w:pPr>
    </w:p>
    <w:p w14:paraId="4FFB8FF8" w14:textId="6BBD38CA" w:rsidR="00AE6A89" w:rsidRDefault="00AE6A89" w:rsidP="00AE6A89">
      <w:pPr>
        <w:spacing w:before="120" w:line="259" w:lineRule="auto"/>
        <w:rPr>
          <w:rFonts w:ascii="Times New Roman" w:hAnsi="Times New Roman" w:cs="Times New Roman"/>
          <w:szCs w:val="24"/>
        </w:rPr>
      </w:pPr>
      <w:r w:rsidRPr="00AE6A89">
        <w:rPr>
          <w:rFonts w:ascii="Times New Roman" w:hAnsi="Times New Roman" w:cs="Times New Roman"/>
          <w:szCs w:val="24"/>
        </w:rPr>
        <w:t>Harrison, D. (2013</w:t>
      </w:r>
      <w:r w:rsidRPr="005E119C">
        <w:rPr>
          <w:rFonts w:ascii="Times New Roman" w:hAnsi="Times New Roman" w:cs="Times New Roman"/>
          <w:i/>
          <w:iCs/>
          <w:szCs w:val="24"/>
        </w:rPr>
        <w:t>) The Garage Youth Club</w:t>
      </w:r>
      <w:r w:rsidRPr="00AE6A89">
        <w:rPr>
          <w:rFonts w:ascii="Times New Roman" w:hAnsi="Times New Roman" w:cs="Times New Roman"/>
          <w:szCs w:val="24"/>
        </w:rPr>
        <w:t>. Available at: https://www.dharrison.org.uk/the-garage-youth-club/ (Accessed: 30</w:t>
      </w:r>
      <w:r w:rsidR="005E119C">
        <w:rPr>
          <w:rFonts w:ascii="Times New Roman" w:hAnsi="Times New Roman" w:cs="Times New Roman"/>
          <w:szCs w:val="24"/>
        </w:rPr>
        <w:t xml:space="preserve"> November </w:t>
      </w:r>
      <w:r w:rsidRPr="00AE6A89">
        <w:rPr>
          <w:rFonts w:ascii="Times New Roman" w:hAnsi="Times New Roman" w:cs="Times New Roman"/>
          <w:szCs w:val="24"/>
        </w:rPr>
        <w:t>2023).</w:t>
      </w:r>
    </w:p>
    <w:p w14:paraId="72E055D8" w14:textId="77777777" w:rsidR="005E119C" w:rsidRPr="00AE6A89" w:rsidRDefault="005E119C" w:rsidP="00AE6A89">
      <w:pPr>
        <w:spacing w:before="120" w:line="259" w:lineRule="auto"/>
        <w:rPr>
          <w:rFonts w:ascii="Times New Roman" w:hAnsi="Times New Roman" w:cs="Times New Roman"/>
          <w:szCs w:val="24"/>
        </w:rPr>
      </w:pPr>
    </w:p>
    <w:p w14:paraId="00CF0A6B" w14:textId="47472BA6" w:rsidR="00AE6A89" w:rsidRDefault="00AE6A89" w:rsidP="00AE6A89">
      <w:pPr>
        <w:spacing w:before="120" w:line="259" w:lineRule="auto"/>
        <w:rPr>
          <w:rFonts w:ascii="Times New Roman" w:hAnsi="Times New Roman" w:cs="Times New Roman"/>
          <w:szCs w:val="24"/>
        </w:rPr>
      </w:pPr>
      <w:r w:rsidRPr="00AE6A89">
        <w:rPr>
          <w:rFonts w:ascii="Times New Roman" w:hAnsi="Times New Roman" w:cs="Times New Roman"/>
          <w:szCs w:val="24"/>
        </w:rPr>
        <w:t xml:space="preserve">Hussey, S. (2022) </w:t>
      </w:r>
      <w:r w:rsidRPr="005E119C">
        <w:rPr>
          <w:rFonts w:ascii="Times New Roman" w:hAnsi="Times New Roman" w:cs="Times New Roman"/>
          <w:i/>
          <w:iCs/>
          <w:szCs w:val="24"/>
        </w:rPr>
        <w:t>Community Engagement 101: Understanding the impact of Public Consultation</w:t>
      </w:r>
      <w:r w:rsidRPr="00AE6A89">
        <w:rPr>
          <w:rFonts w:ascii="Times New Roman" w:hAnsi="Times New Roman" w:cs="Times New Roman"/>
          <w:szCs w:val="24"/>
        </w:rPr>
        <w:t xml:space="preserve">. Available at: https://www.bangthetable.com/wp-content/uploads/2022/02/EngagementHQ-Engagement101.pdf </w:t>
      </w:r>
      <w:r w:rsidR="005E119C" w:rsidRPr="005E119C">
        <w:rPr>
          <w:rFonts w:ascii="Times New Roman" w:hAnsi="Times New Roman" w:cs="Times New Roman"/>
          <w:szCs w:val="24"/>
        </w:rPr>
        <w:t>/ (Accessed: 30 November 2023)</w:t>
      </w:r>
      <w:r w:rsidRPr="00AE6A89">
        <w:rPr>
          <w:rFonts w:ascii="Times New Roman" w:hAnsi="Times New Roman" w:cs="Times New Roman"/>
          <w:szCs w:val="24"/>
        </w:rPr>
        <w:t>.</w:t>
      </w:r>
    </w:p>
    <w:p w14:paraId="71F2613B" w14:textId="77777777" w:rsidR="005E119C" w:rsidRPr="00AE6A89" w:rsidRDefault="005E119C" w:rsidP="00AE6A89">
      <w:pPr>
        <w:spacing w:before="120" w:line="259" w:lineRule="auto"/>
        <w:rPr>
          <w:rFonts w:ascii="Times New Roman" w:hAnsi="Times New Roman" w:cs="Times New Roman"/>
          <w:szCs w:val="24"/>
        </w:rPr>
      </w:pPr>
    </w:p>
    <w:p w14:paraId="21CF5EE0" w14:textId="5B3BD0FF" w:rsidR="00AE6A89" w:rsidRPr="00AE6A89" w:rsidRDefault="00AE6A89" w:rsidP="00AE6A89">
      <w:pPr>
        <w:spacing w:before="120" w:line="259" w:lineRule="auto"/>
        <w:rPr>
          <w:rFonts w:ascii="Times New Roman" w:hAnsi="Times New Roman" w:cs="Times New Roman"/>
          <w:szCs w:val="24"/>
        </w:rPr>
      </w:pPr>
      <w:r w:rsidRPr="00AE6A89">
        <w:rPr>
          <w:rFonts w:ascii="Times New Roman" w:hAnsi="Times New Roman" w:cs="Times New Roman"/>
          <w:szCs w:val="24"/>
        </w:rPr>
        <w:t xml:space="preserve">International Association for Public Participation (IAP2). (2018). </w:t>
      </w:r>
      <w:r w:rsidRPr="005E119C">
        <w:rPr>
          <w:rFonts w:ascii="Times New Roman" w:hAnsi="Times New Roman" w:cs="Times New Roman"/>
          <w:i/>
          <w:iCs/>
          <w:szCs w:val="24"/>
        </w:rPr>
        <w:t>IAP2 Spectrum of Public Participation.</w:t>
      </w:r>
      <w:r w:rsidRPr="00AE6A89">
        <w:rPr>
          <w:rFonts w:ascii="Times New Roman" w:hAnsi="Times New Roman" w:cs="Times New Roman"/>
          <w:szCs w:val="24"/>
        </w:rPr>
        <w:t xml:space="preserve"> </w:t>
      </w:r>
      <w:r w:rsidR="005E119C" w:rsidRPr="005E119C">
        <w:rPr>
          <w:rFonts w:ascii="Times New Roman" w:hAnsi="Times New Roman" w:cs="Times New Roman"/>
          <w:szCs w:val="24"/>
        </w:rPr>
        <w:t>Available at</w:t>
      </w:r>
      <w:r w:rsidR="005E119C">
        <w:rPr>
          <w:rFonts w:ascii="Times New Roman" w:hAnsi="Times New Roman" w:cs="Times New Roman"/>
          <w:szCs w:val="24"/>
        </w:rPr>
        <w:t>:</w:t>
      </w:r>
      <w:r w:rsidR="005E119C" w:rsidRPr="005E119C">
        <w:rPr>
          <w:rFonts w:ascii="Times New Roman" w:hAnsi="Times New Roman" w:cs="Times New Roman"/>
          <w:szCs w:val="24"/>
        </w:rPr>
        <w:t xml:space="preserve"> </w:t>
      </w:r>
      <w:hyperlink r:id="rId9" w:history="1">
        <w:r w:rsidR="005E119C" w:rsidRPr="008653B6">
          <w:rPr>
            <w:rStyle w:val="Hyperlink"/>
            <w:rFonts w:ascii="Times New Roman" w:hAnsi="Times New Roman" w:cs="Times New Roman"/>
            <w:szCs w:val="24"/>
          </w:rPr>
          <w:t>https://cdn.ymaws.com/www.iap2.org/resource/resmgr/foundations_course/IAP2_Spectrum_vertical.pdf</w:t>
        </w:r>
      </w:hyperlink>
      <w:r w:rsidR="005E119C">
        <w:rPr>
          <w:rFonts w:ascii="Times New Roman" w:hAnsi="Times New Roman" w:cs="Times New Roman"/>
          <w:szCs w:val="24"/>
        </w:rPr>
        <w:t xml:space="preserve"> </w:t>
      </w:r>
      <w:r w:rsidR="005E119C" w:rsidRPr="005E119C">
        <w:rPr>
          <w:rFonts w:ascii="Times New Roman" w:hAnsi="Times New Roman" w:cs="Times New Roman"/>
          <w:szCs w:val="24"/>
        </w:rPr>
        <w:t>/ (Accessed: 30 November 2023)</w:t>
      </w:r>
    </w:p>
    <w:p w14:paraId="2B776D1A" w14:textId="77777777" w:rsidR="00AE6A89" w:rsidRPr="00AE6A89" w:rsidRDefault="00AE6A89" w:rsidP="00AE6A89">
      <w:pPr>
        <w:spacing w:before="120" w:line="259" w:lineRule="auto"/>
        <w:rPr>
          <w:rFonts w:ascii="Times New Roman" w:hAnsi="Times New Roman" w:cs="Times New Roman"/>
          <w:szCs w:val="24"/>
        </w:rPr>
      </w:pPr>
    </w:p>
    <w:p w14:paraId="1FA1467E" w14:textId="46E4BB17" w:rsidR="00AE6A89" w:rsidRDefault="00AE6A89" w:rsidP="00AE6A89">
      <w:pPr>
        <w:spacing w:before="120" w:line="259" w:lineRule="auto"/>
        <w:rPr>
          <w:rFonts w:ascii="Times New Roman" w:hAnsi="Times New Roman" w:cs="Times New Roman"/>
          <w:szCs w:val="24"/>
        </w:rPr>
      </w:pPr>
      <w:proofErr w:type="spellStart"/>
      <w:r w:rsidRPr="00AE6A89">
        <w:rPr>
          <w:rFonts w:ascii="Times New Roman" w:hAnsi="Times New Roman" w:cs="Times New Roman"/>
          <w:szCs w:val="24"/>
        </w:rPr>
        <w:t>Kretzmann</w:t>
      </w:r>
      <w:proofErr w:type="spellEnd"/>
      <w:r w:rsidRPr="00AE6A89">
        <w:rPr>
          <w:rFonts w:ascii="Times New Roman" w:hAnsi="Times New Roman" w:cs="Times New Roman"/>
          <w:szCs w:val="24"/>
        </w:rPr>
        <w:t xml:space="preserve">, J. P., </w:t>
      </w:r>
      <w:r w:rsidR="00070AF7">
        <w:rPr>
          <w:rFonts w:ascii="Times New Roman" w:hAnsi="Times New Roman" w:cs="Times New Roman"/>
          <w:szCs w:val="24"/>
        </w:rPr>
        <w:t>and</w:t>
      </w:r>
      <w:r w:rsidRPr="00AE6A89">
        <w:rPr>
          <w:rFonts w:ascii="Times New Roman" w:hAnsi="Times New Roman" w:cs="Times New Roman"/>
          <w:szCs w:val="24"/>
        </w:rPr>
        <w:t xml:space="preserve"> McKnight, J. L. (1993) </w:t>
      </w:r>
      <w:r w:rsidRPr="00070AF7">
        <w:rPr>
          <w:rFonts w:ascii="Times New Roman" w:hAnsi="Times New Roman" w:cs="Times New Roman"/>
          <w:i/>
          <w:iCs/>
          <w:szCs w:val="24"/>
        </w:rPr>
        <w:t xml:space="preserve">Building communities from the inside out: A path toward finding and </w:t>
      </w:r>
      <w:proofErr w:type="spellStart"/>
      <w:r w:rsidRPr="00070AF7">
        <w:rPr>
          <w:rFonts w:ascii="Times New Roman" w:hAnsi="Times New Roman" w:cs="Times New Roman"/>
          <w:i/>
          <w:iCs/>
          <w:szCs w:val="24"/>
        </w:rPr>
        <w:t>mobilizing</w:t>
      </w:r>
      <w:proofErr w:type="spellEnd"/>
      <w:r w:rsidRPr="00070AF7">
        <w:rPr>
          <w:rFonts w:ascii="Times New Roman" w:hAnsi="Times New Roman" w:cs="Times New Roman"/>
          <w:i/>
          <w:iCs/>
          <w:szCs w:val="24"/>
        </w:rPr>
        <w:t xml:space="preserve"> a community's assets</w:t>
      </w:r>
      <w:r w:rsidRPr="00AE6A89">
        <w:rPr>
          <w:rFonts w:ascii="Times New Roman" w:hAnsi="Times New Roman" w:cs="Times New Roman"/>
          <w:szCs w:val="24"/>
        </w:rPr>
        <w:t>. ACTA Publications.</w:t>
      </w:r>
    </w:p>
    <w:p w14:paraId="0C61FF27" w14:textId="77777777" w:rsidR="00070AF7" w:rsidRPr="00AE6A89" w:rsidRDefault="00070AF7" w:rsidP="00AE6A89">
      <w:pPr>
        <w:spacing w:before="120" w:line="259" w:lineRule="auto"/>
        <w:rPr>
          <w:rFonts w:ascii="Times New Roman" w:hAnsi="Times New Roman" w:cs="Times New Roman"/>
          <w:szCs w:val="24"/>
        </w:rPr>
      </w:pPr>
    </w:p>
    <w:p w14:paraId="091A08E9" w14:textId="600EE5B7" w:rsidR="00AE6A89" w:rsidRDefault="00AE6A89" w:rsidP="00AE6A89">
      <w:pPr>
        <w:spacing w:before="120" w:line="259" w:lineRule="auto"/>
        <w:rPr>
          <w:rFonts w:ascii="Times New Roman" w:hAnsi="Times New Roman" w:cs="Times New Roman"/>
          <w:szCs w:val="24"/>
        </w:rPr>
      </w:pPr>
      <w:r w:rsidRPr="00AE6A89">
        <w:rPr>
          <w:rFonts w:ascii="Times New Roman" w:hAnsi="Times New Roman" w:cs="Times New Roman"/>
          <w:szCs w:val="24"/>
        </w:rPr>
        <w:t xml:space="preserve">O'Hara, M. (2000). </w:t>
      </w:r>
      <w:r w:rsidR="00070AF7">
        <w:rPr>
          <w:rFonts w:ascii="Times New Roman" w:hAnsi="Times New Roman" w:cs="Times New Roman"/>
          <w:szCs w:val="24"/>
        </w:rPr>
        <w:t>‘</w:t>
      </w:r>
      <w:r w:rsidRPr="00AE6A89">
        <w:rPr>
          <w:rFonts w:ascii="Times New Roman" w:hAnsi="Times New Roman" w:cs="Times New Roman"/>
          <w:szCs w:val="24"/>
        </w:rPr>
        <w:t>Community engagement: A key to successful development</w:t>
      </w:r>
      <w:r w:rsidR="00070AF7">
        <w:rPr>
          <w:rFonts w:ascii="Times New Roman" w:hAnsi="Times New Roman" w:cs="Times New Roman"/>
          <w:szCs w:val="24"/>
        </w:rPr>
        <w:t>’,</w:t>
      </w:r>
      <w:r w:rsidRPr="00AE6A89">
        <w:rPr>
          <w:rFonts w:ascii="Times New Roman" w:hAnsi="Times New Roman" w:cs="Times New Roman"/>
          <w:szCs w:val="24"/>
        </w:rPr>
        <w:t xml:space="preserve"> </w:t>
      </w:r>
      <w:r w:rsidRPr="00070AF7">
        <w:rPr>
          <w:rFonts w:ascii="Times New Roman" w:hAnsi="Times New Roman" w:cs="Times New Roman"/>
          <w:i/>
          <w:iCs/>
          <w:szCs w:val="24"/>
        </w:rPr>
        <w:t>Canadian Journal of Development Studies,</w:t>
      </w:r>
      <w:r w:rsidRPr="00AE6A89">
        <w:rPr>
          <w:rFonts w:ascii="Times New Roman" w:hAnsi="Times New Roman" w:cs="Times New Roman"/>
          <w:szCs w:val="24"/>
        </w:rPr>
        <w:t xml:space="preserve"> 21(1), 259-279</w:t>
      </w:r>
    </w:p>
    <w:p w14:paraId="06DDD417" w14:textId="77777777" w:rsidR="00070AF7" w:rsidRPr="00AE6A89" w:rsidRDefault="00070AF7" w:rsidP="00AE6A89">
      <w:pPr>
        <w:spacing w:before="120" w:line="259" w:lineRule="auto"/>
        <w:rPr>
          <w:rFonts w:ascii="Times New Roman" w:hAnsi="Times New Roman" w:cs="Times New Roman"/>
          <w:szCs w:val="24"/>
        </w:rPr>
      </w:pPr>
    </w:p>
    <w:p w14:paraId="46D48628" w14:textId="30643817" w:rsidR="00AE6A89" w:rsidRDefault="00AE6A89" w:rsidP="00AE6A89">
      <w:pPr>
        <w:spacing w:before="120" w:line="259" w:lineRule="auto"/>
        <w:rPr>
          <w:rFonts w:ascii="Times New Roman" w:hAnsi="Times New Roman" w:cs="Times New Roman"/>
          <w:szCs w:val="24"/>
        </w:rPr>
      </w:pPr>
      <w:r w:rsidRPr="00AE6A89">
        <w:rPr>
          <w:rFonts w:ascii="Times New Roman" w:hAnsi="Times New Roman" w:cs="Times New Roman"/>
          <w:szCs w:val="24"/>
        </w:rPr>
        <w:t xml:space="preserve">Onyx, J., </w:t>
      </w:r>
      <w:r w:rsidR="00070AF7">
        <w:rPr>
          <w:rFonts w:ascii="Times New Roman" w:hAnsi="Times New Roman" w:cs="Times New Roman"/>
          <w:szCs w:val="24"/>
        </w:rPr>
        <w:t>and</w:t>
      </w:r>
      <w:r w:rsidRPr="00AE6A89">
        <w:rPr>
          <w:rFonts w:ascii="Times New Roman" w:hAnsi="Times New Roman" w:cs="Times New Roman"/>
          <w:szCs w:val="24"/>
        </w:rPr>
        <w:t xml:space="preserve"> </w:t>
      </w:r>
      <w:proofErr w:type="spellStart"/>
      <w:r w:rsidRPr="00AE6A89">
        <w:rPr>
          <w:rFonts w:ascii="Times New Roman" w:hAnsi="Times New Roman" w:cs="Times New Roman"/>
          <w:szCs w:val="24"/>
        </w:rPr>
        <w:t>Bullen</w:t>
      </w:r>
      <w:proofErr w:type="spellEnd"/>
      <w:r w:rsidRPr="00AE6A89">
        <w:rPr>
          <w:rFonts w:ascii="Times New Roman" w:hAnsi="Times New Roman" w:cs="Times New Roman"/>
          <w:szCs w:val="24"/>
        </w:rPr>
        <w:t xml:space="preserve">, P. (2000) </w:t>
      </w:r>
      <w:r w:rsidR="00070AF7">
        <w:rPr>
          <w:rFonts w:ascii="Times New Roman" w:hAnsi="Times New Roman" w:cs="Times New Roman"/>
          <w:szCs w:val="24"/>
        </w:rPr>
        <w:t>‘</w:t>
      </w:r>
      <w:r w:rsidRPr="00AE6A89">
        <w:rPr>
          <w:rFonts w:ascii="Times New Roman" w:hAnsi="Times New Roman" w:cs="Times New Roman"/>
          <w:szCs w:val="24"/>
        </w:rPr>
        <w:t xml:space="preserve">Measuring social capital in five </w:t>
      </w:r>
      <w:r w:rsidR="00070AF7" w:rsidRPr="00AE6A89">
        <w:rPr>
          <w:rFonts w:ascii="Times New Roman" w:hAnsi="Times New Roman" w:cs="Times New Roman"/>
          <w:szCs w:val="24"/>
        </w:rPr>
        <w:t>communities</w:t>
      </w:r>
      <w:r w:rsidR="00070AF7">
        <w:rPr>
          <w:rFonts w:ascii="Times New Roman" w:hAnsi="Times New Roman" w:cs="Times New Roman"/>
          <w:szCs w:val="24"/>
        </w:rPr>
        <w:t>.</w:t>
      </w:r>
      <w:r w:rsidRPr="00AE6A89">
        <w:rPr>
          <w:rFonts w:ascii="Times New Roman" w:hAnsi="Times New Roman" w:cs="Times New Roman"/>
          <w:szCs w:val="24"/>
        </w:rPr>
        <w:t xml:space="preserve"> </w:t>
      </w:r>
      <w:r w:rsidRPr="00070AF7">
        <w:rPr>
          <w:rFonts w:ascii="Times New Roman" w:hAnsi="Times New Roman" w:cs="Times New Roman"/>
          <w:i/>
          <w:iCs/>
          <w:szCs w:val="24"/>
        </w:rPr>
        <w:t xml:space="preserve">The Journal of Applied </w:t>
      </w:r>
      <w:proofErr w:type="spellStart"/>
      <w:r w:rsidRPr="00070AF7">
        <w:rPr>
          <w:rFonts w:ascii="Times New Roman" w:hAnsi="Times New Roman" w:cs="Times New Roman"/>
          <w:i/>
          <w:iCs/>
          <w:szCs w:val="24"/>
        </w:rPr>
        <w:t>Behavioral</w:t>
      </w:r>
      <w:proofErr w:type="spellEnd"/>
      <w:r w:rsidRPr="00070AF7">
        <w:rPr>
          <w:rFonts w:ascii="Times New Roman" w:hAnsi="Times New Roman" w:cs="Times New Roman"/>
          <w:i/>
          <w:iCs/>
          <w:szCs w:val="24"/>
        </w:rPr>
        <w:t xml:space="preserve"> Science</w:t>
      </w:r>
      <w:r w:rsidRPr="00AE6A89">
        <w:rPr>
          <w:rFonts w:ascii="Times New Roman" w:hAnsi="Times New Roman" w:cs="Times New Roman"/>
          <w:szCs w:val="24"/>
        </w:rPr>
        <w:t>, 36(1), 23-42.</w:t>
      </w:r>
    </w:p>
    <w:p w14:paraId="655E8352" w14:textId="77777777" w:rsidR="00070AF7" w:rsidRPr="00AE6A89" w:rsidRDefault="00070AF7" w:rsidP="00AE6A89">
      <w:pPr>
        <w:spacing w:before="120" w:line="259" w:lineRule="auto"/>
        <w:rPr>
          <w:rFonts w:ascii="Times New Roman" w:hAnsi="Times New Roman" w:cs="Times New Roman"/>
          <w:szCs w:val="24"/>
        </w:rPr>
      </w:pPr>
    </w:p>
    <w:p w14:paraId="622B94DE" w14:textId="77777777" w:rsidR="00AE6A89" w:rsidRDefault="00AE6A89" w:rsidP="00AE6A89">
      <w:pPr>
        <w:spacing w:before="120" w:line="259" w:lineRule="auto"/>
        <w:rPr>
          <w:rFonts w:ascii="Times New Roman" w:hAnsi="Times New Roman" w:cs="Times New Roman"/>
          <w:szCs w:val="24"/>
        </w:rPr>
      </w:pPr>
      <w:r w:rsidRPr="00AE6A89">
        <w:rPr>
          <w:rFonts w:ascii="Times New Roman" w:hAnsi="Times New Roman" w:cs="Times New Roman"/>
          <w:szCs w:val="24"/>
        </w:rPr>
        <w:lastRenderedPageBreak/>
        <w:t xml:space="preserve">Peck, Z. (2021) 'Charity Youth Options wins contract for new clubs in Totton', </w:t>
      </w:r>
      <w:r w:rsidRPr="00070AF7">
        <w:rPr>
          <w:rFonts w:ascii="Times New Roman" w:hAnsi="Times New Roman" w:cs="Times New Roman"/>
          <w:i/>
          <w:iCs/>
          <w:szCs w:val="24"/>
        </w:rPr>
        <w:t>Southern Daily Echo</w:t>
      </w:r>
      <w:r w:rsidRPr="00AE6A89">
        <w:rPr>
          <w:rFonts w:ascii="Times New Roman" w:hAnsi="Times New Roman" w:cs="Times New Roman"/>
          <w:szCs w:val="24"/>
        </w:rPr>
        <w:t>, 7th July. Available at: https://www.dailyecho.co.uk/news/19424343.charity-youth-options-wins-contract-new-clubs-totton/ (Accessed: 30 November 2023).</w:t>
      </w:r>
    </w:p>
    <w:p w14:paraId="4DDEE4EB" w14:textId="77777777" w:rsidR="00E6388E" w:rsidRPr="00AE6A89" w:rsidRDefault="00E6388E" w:rsidP="00AE6A89">
      <w:pPr>
        <w:spacing w:before="120" w:line="259" w:lineRule="auto"/>
        <w:rPr>
          <w:rFonts w:ascii="Times New Roman" w:hAnsi="Times New Roman" w:cs="Times New Roman"/>
          <w:szCs w:val="24"/>
        </w:rPr>
      </w:pPr>
    </w:p>
    <w:p w14:paraId="3CFAF332" w14:textId="517F8020" w:rsidR="00AE6A89" w:rsidRDefault="00AE6A89" w:rsidP="00AE6A89">
      <w:pPr>
        <w:spacing w:before="120" w:line="259" w:lineRule="auto"/>
        <w:rPr>
          <w:rFonts w:ascii="Times New Roman" w:hAnsi="Times New Roman" w:cs="Times New Roman"/>
          <w:szCs w:val="24"/>
        </w:rPr>
      </w:pPr>
      <w:r w:rsidRPr="00AE6A89">
        <w:rPr>
          <w:rFonts w:ascii="Times New Roman" w:hAnsi="Times New Roman" w:cs="Times New Roman"/>
          <w:szCs w:val="24"/>
        </w:rPr>
        <w:t>Pretty, J. (1995)</w:t>
      </w:r>
      <w:r w:rsidR="00070AF7">
        <w:rPr>
          <w:rFonts w:ascii="Times New Roman" w:hAnsi="Times New Roman" w:cs="Times New Roman"/>
          <w:szCs w:val="24"/>
        </w:rPr>
        <w:t xml:space="preserve"> ‘</w:t>
      </w:r>
      <w:r w:rsidRPr="00AE6A89">
        <w:rPr>
          <w:rFonts w:ascii="Times New Roman" w:hAnsi="Times New Roman" w:cs="Times New Roman"/>
          <w:szCs w:val="24"/>
        </w:rPr>
        <w:t>Participatory learning for sustainable agriculture.</w:t>
      </w:r>
      <w:r w:rsidR="00070AF7">
        <w:rPr>
          <w:rFonts w:ascii="Times New Roman" w:hAnsi="Times New Roman" w:cs="Times New Roman"/>
          <w:szCs w:val="24"/>
        </w:rPr>
        <w:t>’</w:t>
      </w:r>
      <w:r w:rsidRPr="00AE6A89">
        <w:rPr>
          <w:rFonts w:ascii="Times New Roman" w:hAnsi="Times New Roman" w:cs="Times New Roman"/>
          <w:szCs w:val="24"/>
        </w:rPr>
        <w:t xml:space="preserve"> </w:t>
      </w:r>
      <w:r w:rsidRPr="00070AF7">
        <w:rPr>
          <w:rFonts w:ascii="Times New Roman" w:hAnsi="Times New Roman" w:cs="Times New Roman"/>
          <w:i/>
          <w:iCs/>
          <w:szCs w:val="24"/>
        </w:rPr>
        <w:t>World Development</w:t>
      </w:r>
      <w:r w:rsidRPr="00AE6A89">
        <w:rPr>
          <w:rFonts w:ascii="Times New Roman" w:hAnsi="Times New Roman" w:cs="Times New Roman"/>
          <w:szCs w:val="24"/>
        </w:rPr>
        <w:t>, 23(8), 1247-1263</w:t>
      </w:r>
    </w:p>
    <w:p w14:paraId="6B7A64E4" w14:textId="77777777" w:rsidR="00E6388E" w:rsidRPr="00AE6A89" w:rsidRDefault="00E6388E" w:rsidP="00AE6A89">
      <w:pPr>
        <w:spacing w:before="120" w:line="259" w:lineRule="auto"/>
        <w:rPr>
          <w:rFonts w:ascii="Times New Roman" w:hAnsi="Times New Roman" w:cs="Times New Roman"/>
          <w:szCs w:val="24"/>
        </w:rPr>
      </w:pPr>
    </w:p>
    <w:p w14:paraId="0250AA3F" w14:textId="77777777" w:rsidR="00AE6A89" w:rsidRDefault="00AE6A89" w:rsidP="00AE6A89">
      <w:pPr>
        <w:spacing w:before="120" w:line="259" w:lineRule="auto"/>
        <w:rPr>
          <w:rFonts w:ascii="Times New Roman" w:hAnsi="Times New Roman" w:cs="Times New Roman"/>
          <w:szCs w:val="24"/>
        </w:rPr>
      </w:pPr>
      <w:proofErr w:type="spellStart"/>
      <w:r w:rsidRPr="00AE6A89">
        <w:rPr>
          <w:rFonts w:ascii="Times New Roman" w:hAnsi="Times New Roman" w:cs="Times New Roman"/>
          <w:szCs w:val="24"/>
        </w:rPr>
        <w:t>Salamon</w:t>
      </w:r>
      <w:proofErr w:type="spellEnd"/>
      <w:r w:rsidRPr="00AE6A89">
        <w:rPr>
          <w:rFonts w:ascii="Times New Roman" w:hAnsi="Times New Roman" w:cs="Times New Roman"/>
          <w:szCs w:val="24"/>
        </w:rPr>
        <w:t xml:space="preserve">, L. M. (2021). </w:t>
      </w:r>
      <w:r w:rsidRPr="00070AF7">
        <w:rPr>
          <w:rFonts w:ascii="Times New Roman" w:hAnsi="Times New Roman" w:cs="Times New Roman"/>
          <w:i/>
          <w:iCs/>
          <w:szCs w:val="24"/>
        </w:rPr>
        <w:t>The tools of government in the digital age.</w:t>
      </w:r>
      <w:r w:rsidRPr="00AE6A89">
        <w:rPr>
          <w:rFonts w:ascii="Times New Roman" w:hAnsi="Times New Roman" w:cs="Times New Roman"/>
          <w:szCs w:val="24"/>
        </w:rPr>
        <w:t xml:space="preserve"> Oxford University Press.</w:t>
      </w:r>
    </w:p>
    <w:p w14:paraId="5554351A" w14:textId="77777777" w:rsidR="00E6388E" w:rsidRPr="00AE6A89" w:rsidRDefault="00E6388E" w:rsidP="00AE6A89">
      <w:pPr>
        <w:spacing w:before="120" w:line="259" w:lineRule="auto"/>
        <w:rPr>
          <w:rFonts w:ascii="Times New Roman" w:hAnsi="Times New Roman" w:cs="Times New Roman"/>
          <w:szCs w:val="24"/>
        </w:rPr>
      </w:pPr>
    </w:p>
    <w:p w14:paraId="6B9FE7A2" w14:textId="77777777" w:rsidR="00AE6A89" w:rsidRDefault="00AE6A89" w:rsidP="00AE6A89">
      <w:pPr>
        <w:spacing w:before="120" w:line="259" w:lineRule="auto"/>
        <w:rPr>
          <w:rFonts w:ascii="Times New Roman" w:hAnsi="Times New Roman" w:cs="Times New Roman"/>
          <w:szCs w:val="24"/>
        </w:rPr>
      </w:pPr>
      <w:r w:rsidRPr="00AE6A89">
        <w:rPr>
          <w:rFonts w:ascii="Times New Roman" w:hAnsi="Times New Roman" w:cs="Times New Roman"/>
          <w:szCs w:val="24"/>
        </w:rPr>
        <w:t>The Garage Youth Centre (no date) Available at: https://localgiving.org/charity/thegarageufi/ (Accessed: 30/11/2023).</w:t>
      </w:r>
    </w:p>
    <w:p w14:paraId="23BCCB90" w14:textId="77777777" w:rsidR="00E6388E" w:rsidRPr="00AE6A89" w:rsidRDefault="00E6388E" w:rsidP="00AE6A89">
      <w:pPr>
        <w:spacing w:before="120" w:line="259" w:lineRule="auto"/>
        <w:rPr>
          <w:rFonts w:ascii="Times New Roman" w:hAnsi="Times New Roman" w:cs="Times New Roman"/>
          <w:szCs w:val="24"/>
        </w:rPr>
      </w:pPr>
    </w:p>
    <w:p w14:paraId="389F94A2" w14:textId="70862D42" w:rsidR="00AE6A89" w:rsidRPr="00AE6A89" w:rsidRDefault="00AE6A89" w:rsidP="00AE6A89">
      <w:pPr>
        <w:spacing w:before="120" w:line="259" w:lineRule="auto"/>
        <w:rPr>
          <w:rFonts w:ascii="Times New Roman" w:hAnsi="Times New Roman" w:cs="Times New Roman"/>
          <w:szCs w:val="24"/>
        </w:rPr>
      </w:pPr>
      <w:proofErr w:type="spellStart"/>
      <w:r w:rsidRPr="00AE6A89">
        <w:rPr>
          <w:rFonts w:ascii="Times New Roman" w:hAnsi="Times New Roman" w:cs="Times New Roman"/>
          <w:szCs w:val="24"/>
        </w:rPr>
        <w:t>Wyche</w:t>
      </w:r>
      <w:proofErr w:type="spellEnd"/>
      <w:r w:rsidRPr="00AE6A89">
        <w:rPr>
          <w:rFonts w:ascii="Times New Roman" w:hAnsi="Times New Roman" w:cs="Times New Roman"/>
          <w:szCs w:val="24"/>
        </w:rPr>
        <w:t xml:space="preserve">, S. P. (2020). </w:t>
      </w:r>
      <w:r w:rsidRPr="00070AF7">
        <w:rPr>
          <w:rFonts w:ascii="Times New Roman" w:hAnsi="Times New Roman" w:cs="Times New Roman"/>
          <w:i/>
          <w:iCs/>
          <w:szCs w:val="24"/>
        </w:rPr>
        <w:t>Community engagement: A critical strategy for effective sustainable development</w:t>
      </w:r>
      <w:r w:rsidRPr="00AE6A89">
        <w:rPr>
          <w:rFonts w:ascii="Times New Roman" w:hAnsi="Times New Roman" w:cs="Times New Roman"/>
          <w:szCs w:val="24"/>
        </w:rPr>
        <w:t xml:space="preserve">. In B. R. Rana &amp; A. K. </w:t>
      </w:r>
      <w:proofErr w:type="spellStart"/>
      <w:r w:rsidRPr="00AE6A89">
        <w:rPr>
          <w:rFonts w:ascii="Times New Roman" w:hAnsi="Times New Roman" w:cs="Times New Roman"/>
          <w:szCs w:val="24"/>
        </w:rPr>
        <w:t>Nayak</w:t>
      </w:r>
      <w:proofErr w:type="spellEnd"/>
      <w:r w:rsidRPr="00AE6A89">
        <w:rPr>
          <w:rFonts w:ascii="Times New Roman" w:hAnsi="Times New Roman" w:cs="Times New Roman"/>
          <w:szCs w:val="24"/>
        </w:rPr>
        <w:t xml:space="preserve"> (Eds.), Handbook of Research on Sustainability Policy and Strategy in Business (pp. 101-118). IGI Global.</w:t>
      </w:r>
    </w:p>
    <w:p w14:paraId="113FE8CF" w14:textId="77777777" w:rsidR="0091551E" w:rsidRPr="00AE6A89" w:rsidRDefault="0091551E" w:rsidP="00AE6A89">
      <w:pPr>
        <w:spacing w:before="120" w:line="259" w:lineRule="auto"/>
        <w:rPr>
          <w:rFonts w:ascii="Times New Roman" w:hAnsi="Times New Roman" w:cs="Times New Roman"/>
          <w:szCs w:val="24"/>
        </w:rPr>
      </w:pPr>
    </w:p>
    <w:p w14:paraId="4AAF660F" w14:textId="77777777" w:rsidR="0062595F" w:rsidRPr="00AE6A89" w:rsidRDefault="0062595F" w:rsidP="00AE6A89">
      <w:pPr>
        <w:spacing w:before="120" w:line="259" w:lineRule="auto"/>
        <w:rPr>
          <w:rFonts w:ascii="Times New Roman" w:hAnsi="Times New Roman" w:cs="Times New Roman"/>
          <w:szCs w:val="24"/>
        </w:rPr>
      </w:pPr>
    </w:p>
    <w:p w14:paraId="45EB24BE" w14:textId="77777777" w:rsidR="0062595F" w:rsidRPr="00AE6A89" w:rsidRDefault="0062595F" w:rsidP="00AE6A89">
      <w:pPr>
        <w:spacing w:before="120" w:line="259" w:lineRule="auto"/>
        <w:rPr>
          <w:rFonts w:ascii="Times New Roman" w:hAnsi="Times New Roman" w:cs="Times New Roman"/>
          <w:szCs w:val="24"/>
        </w:rPr>
      </w:pPr>
    </w:p>
    <w:p w14:paraId="68ED57F3" w14:textId="77777777" w:rsidR="0062595F" w:rsidRPr="00AE6A89" w:rsidRDefault="0062595F" w:rsidP="00AE6A89">
      <w:pPr>
        <w:spacing w:before="120" w:line="259" w:lineRule="auto"/>
        <w:rPr>
          <w:rFonts w:ascii="Times New Roman" w:hAnsi="Times New Roman" w:cs="Times New Roman"/>
          <w:szCs w:val="24"/>
        </w:rPr>
      </w:pPr>
    </w:p>
    <w:p w14:paraId="7453F7B1" w14:textId="77777777" w:rsidR="0062595F" w:rsidRPr="00AE6A89" w:rsidRDefault="0062595F" w:rsidP="00AE6A89">
      <w:pPr>
        <w:spacing w:before="120" w:line="259" w:lineRule="auto"/>
        <w:rPr>
          <w:rFonts w:ascii="Times New Roman" w:hAnsi="Times New Roman" w:cs="Times New Roman"/>
          <w:szCs w:val="24"/>
        </w:rPr>
      </w:pPr>
    </w:p>
    <w:p w14:paraId="54522927" w14:textId="77777777" w:rsidR="0062595F" w:rsidRPr="00AE6A89" w:rsidRDefault="0062595F" w:rsidP="00AE6A89">
      <w:pPr>
        <w:spacing w:before="120" w:line="259" w:lineRule="auto"/>
        <w:rPr>
          <w:rFonts w:ascii="Times New Roman" w:hAnsi="Times New Roman" w:cs="Times New Roman"/>
          <w:szCs w:val="24"/>
        </w:rPr>
      </w:pPr>
    </w:p>
    <w:p w14:paraId="6F018DB7" w14:textId="77777777" w:rsidR="0062595F" w:rsidRPr="00AE6A89" w:rsidRDefault="0062595F" w:rsidP="00AE6A89">
      <w:pPr>
        <w:spacing w:before="120" w:line="259" w:lineRule="auto"/>
        <w:rPr>
          <w:rFonts w:ascii="Times New Roman" w:hAnsi="Times New Roman" w:cs="Times New Roman"/>
          <w:szCs w:val="24"/>
        </w:rPr>
      </w:pPr>
    </w:p>
    <w:p w14:paraId="29A68970" w14:textId="77777777" w:rsidR="0062595F" w:rsidRPr="00AE6A89" w:rsidRDefault="0062595F" w:rsidP="00AE6A89">
      <w:pPr>
        <w:spacing w:before="120" w:line="259" w:lineRule="auto"/>
        <w:rPr>
          <w:rFonts w:ascii="Times New Roman" w:hAnsi="Times New Roman" w:cs="Times New Roman"/>
          <w:szCs w:val="24"/>
        </w:rPr>
      </w:pPr>
    </w:p>
    <w:p w14:paraId="7A9E0E70" w14:textId="74F34D26" w:rsidR="00997368" w:rsidRPr="00AE6A89" w:rsidRDefault="00997368" w:rsidP="00AE6A89">
      <w:pPr>
        <w:spacing w:before="120" w:line="259" w:lineRule="auto"/>
        <w:rPr>
          <w:rFonts w:ascii="Times New Roman" w:hAnsi="Times New Roman" w:cs="Times New Roman"/>
          <w:szCs w:val="24"/>
        </w:rPr>
      </w:pPr>
    </w:p>
    <w:sectPr w:rsidR="00997368" w:rsidRPr="00AE6A89" w:rsidSect="00117121">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B2600" w14:textId="77777777" w:rsidR="00E25648" w:rsidRDefault="00E25648" w:rsidP="00117121">
      <w:pPr>
        <w:spacing w:after="0" w:line="240" w:lineRule="auto"/>
      </w:pPr>
      <w:r>
        <w:separator/>
      </w:r>
    </w:p>
  </w:endnote>
  <w:endnote w:type="continuationSeparator" w:id="0">
    <w:p w14:paraId="19615EFC" w14:textId="77777777" w:rsidR="00E25648" w:rsidRDefault="00E25648"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355086"/>
      <w:docPartObj>
        <w:docPartGallery w:val="Page Numbers (Bottom of Page)"/>
        <w:docPartUnique/>
      </w:docPartObj>
    </w:sdtPr>
    <w:sdtEndPr/>
    <w:sdtContent>
      <w:p w14:paraId="2610600A" w14:textId="27A32706" w:rsidR="00117121" w:rsidRDefault="00117121">
        <w:pPr>
          <w:pStyle w:val="Footer"/>
          <w:jc w:val="right"/>
        </w:pPr>
        <w:r>
          <w:fldChar w:fldCharType="begin"/>
        </w:r>
        <w:r>
          <w:instrText>PAGE   \* MERGEFORMAT</w:instrText>
        </w:r>
        <w:r>
          <w:fldChar w:fldCharType="separate"/>
        </w:r>
        <w:r>
          <w:t>2</w:t>
        </w:r>
        <w:r>
          <w:fldChar w:fldCharType="end"/>
        </w:r>
      </w:p>
    </w:sdtContent>
  </w:sdt>
  <w:p w14:paraId="12D596C8" w14:textId="77777777"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6CF71" w14:textId="77777777" w:rsidR="00E25648" w:rsidRDefault="00E25648" w:rsidP="00117121">
      <w:pPr>
        <w:spacing w:after="0" w:line="240" w:lineRule="auto"/>
      </w:pPr>
      <w:r>
        <w:separator/>
      </w:r>
    </w:p>
  </w:footnote>
  <w:footnote w:type="continuationSeparator" w:id="0">
    <w:p w14:paraId="7E0E020E" w14:textId="77777777" w:rsidR="00E25648" w:rsidRDefault="00E25648"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64134"/>
    <w:multiLevelType w:val="hybridMultilevel"/>
    <w:tmpl w:val="5420D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491A9A"/>
    <w:multiLevelType w:val="hybridMultilevel"/>
    <w:tmpl w:val="5EA66E3C"/>
    <w:lvl w:ilvl="0" w:tplc="08090001">
      <w:start w:val="1"/>
      <w:numFmt w:val="bullet"/>
      <w:lvlText w:val=""/>
      <w:lvlJc w:val="left"/>
      <w:pPr>
        <w:ind w:left="720" w:hanging="360"/>
      </w:pPr>
      <w:rPr>
        <w:rFonts w:ascii="Symbol" w:hAnsi="Symbol" w:hint="default"/>
      </w:rPr>
    </w:lvl>
    <w:lvl w:ilvl="1" w:tplc="8FC4FF10">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F143EE"/>
    <w:multiLevelType w:val="hybridMultilevel"/>
    <w:tmpl w:val="6ED8E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120149"/>
    <w:multiLevelType w:val="hybridMultilevel"/>
    <w:tmpl w:val="03C64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3991977">
    <w:abstractNumId w:val="1"/>
  </w:num>
  <w:num w:numId="2" w16cid:durableId="1978100471">
    <w:abstractNumId w:val="3"/>
  </w:num>
  <w:num w:numId="3" w16cid:durableId="756710946">
    <w:abstractNumId w:val="0"/>
  </w:num>
  <w:num w:numId="4" w16cid:durableId="16983825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YbGtQC4E7e9LQAAAA=="/>
  </w:docVars>
  <w:rsids>
    <w:rsidRoot w:val="00C25798"/>
    <w:rsid w:val="00010FE2"/>
    <w:rsid w:val="00015DA6"/>
    <w:rsid w:val="00035039"/>
    <w:rsid w:val="00057574"/>
    <w:rsid w:val="00062292"/>
    <w:rsid w:val="00070AF7"/>
    <w:rsid w:val="00073B4B"/>
    <w:rsid w:val="00073F69"/>
    <w:rsid w:val="0009015E"/>
    <w:rsid w:val="000A1764"/>
    <w:rsid w:val="000B0885"/>
    <w:rsid w:val="000B2D55"/>
    <w:rsid w:val="000C5533"/>
    <w:rsid w:val="000D31BC"/>
    <w:rsid w:val="000E4AC6"/>
    <w:rsid w:val="000F5E48"/>
    <w:rsid w:val="001039FE"/>
    <w:rsid w:val="00117121"/>
    <w:rsid w:val="00117B84"/>
    <w:rsid w:val="00131F92"/>
    <w:rsid w:val="00140868"/>
    <w:rsid w:val="0016398E"/>
    <w:rsid w:val="00164D16"/>
    <w:rsid w:val="00184CD5"/>
    <w:rsid w:val="00192AD5"/>
    <w:rsid w:val="00193464"/>
    <w:rsid w:val="0019355D"/>
    <w:rsid w:val="00193CAE"/>
    <w:rsid w:val="0019612B"/>
    <w:rsid w:val="00196AC9"/>
    <w:rsid w:val="001A10BE"/>
    <w:rsid w:val="001A43F6"/>
    <w:rsid w:val="001A6B94"/>
    <w:rsid w:val="001B39A6"/>
    <w:rsid w:val="001C6B7C"/>
    <w:rsid w:val="001D27A6"/>
    <w:rsid w:val="001D4904"/>
    <w:rsid w:val="001E076C"/>
    <w:rsid w:val="001E426E"/>
    <w:rsid w:val="001E624E"/>
    <w:rsid w:val="001F46CD"/>
    <w:rsid w:val="001F519C"/>
    <w:rsid w:val="002052D6"/>
    <w:rsid w:val="00207850"/>
    <w:rsid w:val="00211A7F"/>
    <w:rsid w:val="00216ACA"/>
    <w:rsid w:val="0022384D"/>
    <w:rsid w:val="002338A6"/>
    <w:rsid w:val="00270CC7"/>
    <w:rsid w:val="002721A4"/>
    <w:rsid w:val="0028404F"/>
    <w:rsid w:val="00291472"/>
    <w:rsid w:val="00295FDE"/>
    <w:rsid w:val="002A7C3B"/>
    <w:rsid w:val="002B5EE9"/>
    <w:rsid w:val="002C6109"/>
    <w:rsid w:val="002F15E5"/>
    <w:rsid w:val="002F3086"/>
    <w:rsid w:val="002F39D0"/>
    <w:rsid w:val="00312FDD"/>
    <w:rsid w:val="003257C0"/>
    <w:rsid w:val="00330680"/>
    <w:rsid w:val="00334634"/>
    <w:rsid w:val="00336CFC"/>
    <w:rsid w:val="00336FD0"/>
    <w:rsid w:val="003400C8"/>
    <w:rsid w:val="00340A11"/>
    <w:rsid w:val="00351BA8"/>
    <w:rsid w:val="0035265A"/>
    <w:rsid w:val="00357ACF"/>
    <w:rsid w:val="0036583F"/>
    <w:rsid w:val="0037168C"/>
    <w:rsid w:val="00373E59"/>
    <w:rsid w:val="0039261E"/>
    <w:rsid w:val="003948AA"/>
    <w:rsid w:val="003A0341"/>
    <w:rsid w:val="003B12C6"/>
    <w:rsid w:val="003C553D"/>
    <w:rsid w:val="003C64F6"/>
    <w:rsid w:val="003D6D5F"/>
    <w:rsid w:val="003E250C"/>
    <w:rsid w:val="003F3356"/>
    <w:rsid w:val="003F617B"/>
    <w:rsid w:val="004236DC"/>
    <w:rsid w:val="0042627C"/>
    <w:rsid w:val="00426BF7"/>
    <w:rsid w:val="00432FE5"/>
    <w:rsid w:val="004359D4"/>
    <w:rsid w:val="00442CC4"/>
    <w:rsid w:val="00447793"/>
    <w:rsid w:val="00451275"/>
    <w:rsid w:val="0047782A"/>
    <w:rsid w:val="00481DAE"/>
    <w:rsid w:val="0048370A"/>
    <w:rsid w:val="0049325D"/>
    <w:rsid w:val="00496C64"/>
    <w:rsid w:val="004A21D5"/>
    <w:rsid w:val="004A6008"/>
    <w:rsid w:val="004B42BF"/>
    <w:rsid w:val="004B4F85"/>
    <w:rsid w:val="004E3206"/>
    <w:rsid w:val="004F5DC4"/>
    <w:rsid w:val="004F632F"/>
    <w:rsid w:val="005176C5"/>
    <w:rsid w:val="00542E8C"/>
    <w:rsid w:val="005637AF"/>
    <w:rsid w:val="00563F1A"/>
    <w:rsid w:val="005703A6"/>
    <w:rsid w:val="005751DA"/>
    <w:rsid w:val="0058189A"/>
    <w:rsid w:val="00584D31"/>
    <w:rsid w:val="0059569E"/>
    <w:rsid w:val="0059600E"/>
    <w:rsid w:val="005A0811"/>
    <w:rsid w:val="005A2D78"/>
    <w:rsid w:val="005A57F7"/>
    <w:rsid w:val="005B2E2F"/>
    <w:rsid w:val="005B4CD2"/>
    <w:rsid w:val="005B4E7C"/>
    <w:rsid w:val="005B6E3A"/>
    <w:rsid w:val="005C33DF"/>
    <w:rsid w:val="005E04DA"/>
    <w:rsid w:val="005E119C"/>
    <w:rsid w:val="005E2379"/>
    <w:rsid w:val="005E3946"/>
    <w:rsid w:val="005E3EA5"/>
    <w:rsid w:val="005E4868"/>
    <w:rsid w:val="005E575A"/>
    <w:rsid w:val="00616207"/>
    <w:rsid w:val="0062045A"/>
    <w:rsid w:val="006220ED"/>
    <w:rsid w:val="0062595F"/>
    <w:rsid w:val="00634032"/>
    <w:rsid w:val="00634F5C"/>
    <w:rsid w:val="00635FBB"/>
    <w:rsid w:val="00637C93"/>
    <w:rsid w:val="00641282"/>
    <w:rsid w:val="00647B78"/>
    <w:rsid w:val="00653149"/>
    <w:rsid w:val="00673E63"/>
    <w:rsid w:val="00683266"/>
    <w:rsid w:val="00683DB0"/>
    <w:rsid w:val="00684516"/>
    <w:rsid w:val="00690798"/>
    <w:rsid w:val="0069170B"/>
    <w:rsid w:val="00692FDC"/>
    <w:rsid w:val="00693899"/>
    <w:rsid w:val="006A641C"/>
    <w:rsid w:val="006A75C2"/>
    <w:rsid w:val="006B28C1"/>
    <w:rsid w:val="006D1B3C"/>
    <w:rsid w:val="006D4796"/>
    <w:rsid w:val="006E567E"/>
    <w:rsid w:val="006E7807"/>
    <w:rsid w:val="006F5F54"/>
    <w:rsid w:val="007006C6"/>
    <w:rsid w:val="00715331"/>
    <w:rsid w:val="007342FC"/>
    <w:rsid w:val="00753D2E"/>
    <w:rsid w:val="007549FF"/>
    <w:rsid w:val="00760388"/>
    <w:rsid w:val="00771AC3"/>
    <w:rsid w:val="007774DA"/>
    <w:rsid w:val="00777832"/>
    <w:rsid w:val="007933BC"/>
    <w:rsid w:val="007A0545"/>
    <w:rsid w:val="007A08F6"/>
    <w:rsid w:val="007A1EA0"/>
    <w:rsid w:val="007A43AF"/>
    <w:rsid w:val="007A5FB4"/>
    <w:rsid w:val="007B22A6"/>
    <w:rsid w:val="007C7E87"/>
    <w:rsid w:val="007D7F54"/>
    <w:rsid w:val="007E1791"/>
    <w:rsid w:val="007E1DAF"/>
    <w:rsid w:val="007E30F8"/>
    <w:rsid w:val="0080292E"/>
    <w:rsid w:val="0080317F"/>
    <w:rsid w:val="00822478"/>
    <w:rsid w:val="00824590"/>
    <w:rsid w:val="00825502"/>
    <w:rsid w:val="00832074"/>
    <w:rsid w:val="008546B2"/>
    <w:rsid w:val="0085628B"/>
    <w:rsid w:val="008619F4"/>
    <w:rsid w:val="00867244"/>
    <w:rsid w:val="00873841"/>
    <w:rsid w:val="008846E9"/>
    <w:rsid w:val="00893AC0"/>
    <w:rsid w:val="008A2B8E"/>
    <w:rsid w:val="008A302E"/>
    <w:rsid w:val="008A6480"/>
    <w:rsid w:val="008B682F"/>
    <w:rsid w:val="008C0D53"/>
    <w:rsid w:val="008C6CAB"/>
    <w:rsid w:val="008C6FA8"/>
    <w:rsid w:val="008C7870"/>
    <w:rsid w:val="008D2CDA"/>
    <w:rsid w:val="008D35A5"/>
    <w:rsid w:val="008D39F4"/>
    <w:rsid w:val="008D551B"/>
    <w:rsid w:val="008E2437"/>
    <w:rsid w:val="008E58C3"/>
    <w:rsid w:val="008F25AD"/>
    <w:rsid w:val="008F5F64"/>
    <w:rsid w:val="00900DBF"/>
    <w:rsid w:val="00902498"/>
    <w:rsid w:val="0091551E"/>
    <w:rsid w:val="009159A6"/>
    <w:rsid w:val="009220DD"/>
    <w:rsid w:val="0092669D"/>
    <w:rsid w:val="00953C0F"/>
    <w:rsid w:val="009618D5"/>
    <w:rsid w:val="0097132C"/>
    <w:rsid w:val="0097341E"/>
    <w:rsid w:val="0097422F"/>
    <w:rsid w:val="00976FF7"/>
    <w:rsid w:val="009906C8"/>
    <w:rsid w:val="00997368"/>
    <w:rsid w:val="009A6152"/>
    <w:rsid w:val="009C2996"/>
    <w:rsid w:val="009D3C94"/>
    <w:rsid w:val="009D5257"/>
    <w:rsid w:val="00A16944"/>
    <w:rsid w:val="00A20791"/>
    <w:rsid w:val="00A208DA"/>
    <w:rsid w:val="00A413DE"/>
    <w:rsid w:val="00A4231F"/>
    <w:rsid w:val="00A4250C"/>
    <w:rsid w:val="00A55901"/>
    <w:rsid w:val="00A62C1E"/>
    <w:rsid w:val="00A74D10"/>
    <w:rsid w:val="00A870EB"/>
    <w:rsid w:val="00A87CA5"/>
    <w:rsid w:val="00A87D4F"/>
    <w:rsid w:val="00A95E7A"/>
    <w:rsid w:val="00A97433"/>
    <w:rsid w:val="00A97AFB"/>
    <w:rsid w:val="00AA0829"/>
    <w:rsid w:val="00AA228B"/>
    <w:rsid w:val="00AB144D"/>
    <w:rsid w:val="00AC15AF"/>
    <w:rsid w:val="00AC4A00"/>
    <w:rsid w:val="00AC6F2B"/>
    <w:rsid w:val="00AD30F3"/>
    <w:rsid w:val="00AD3995"/>
    <w:rsid w:val="00AD7A6A"/>
    <w:rsid w:val="00AE6A89"/>
    <w:rsid w:val="00AF6D00"/>
    <w:rsid w:val="00B00D5A"/>
    <w:rsid w:val="00B057A3"/>
    <w:rsid w:val="00B06707"/>
    <w:rsid w:val="00B16C41"/>
    <w:rsid w:val="00B25FB9"/>
    <w:rsid w:val="00B5437D"/>
    <w:rsid w:val="00B56B90"/>
    <w:rsid w:val="00B61592"/>
    <w:rsid w:val="00B66D62"/>
    <w:rsid w:val="00B77C1A"/>
    <w:rsid w:val="00B93701"/>
    <w:rsid w:val="00BA6FC6"/>
    <w:rsid w:val="00BA7E4A"/>
    <w:rsid w:val="00BB632C"/>
    <w:rsid w:val="00BD68E2"/>
    <w:rsid w:val="00BE339F"/>
    <w:rsid w:val="00BE5DC8"/>
    <w:rsid w:val="00BF5CD9"/>
    <w:rsid w:val="00BF6066"/>
    <w:rsid w:val="00C00CF3"/>
    <w:rsid w:val="00C0126D"/>
    <w:rsid w:val="00C10ACA"/>
    <w:rsid w:val="00C1447E"/>
    <w:rsid w:val="00C14C0B"/>
    <w:rsid w:val="00C16795"/>
    <w:rsid w:val="00C25798"/>
    <w:rsid w:val="00C3461A"/>
    <w:rsid w:val="00C35F66"/>
    <w:rsid w:val="00C42BBC"/>
    <w:rsid w:val="00C47F3E"/>
    <w:rsid w:val="00C52A13"/>
    <w:rsid w:val="00C54879"/>
    <w:rsid w:val="00C56121"/>
    <w:rsid w:val="00C61417"/>
    <w:rsid w:val="00C64687"/>
    <w:rsid w:val="00C73862"/>
    <w:rsid w:val="00C852AA"/>
    <w:rsid w:val="00C90751"/>
    <w:rsid w:val="00CA0853"/>
    <w:rsid w:val="00CA2F02"/>
    <w:rsid w:val="00CC109E"/>
    <w:rsid w:val="00CC3F23"/>
    <w:rsid w:val="00CD4023"/>
    <w:rsid w:val="00CE48B1"/>
    <w:rsid w:val="00CE7F1F"/>
    <w:rsid w:val="00CF5619"/>
    <w:rsid w:val="00D2096D"/>
    <w:rsid w:val="00D56124"/>
    <w:rsid w:val="00D62FFB"/>
    <w:rsid w:val="00D656F6"/>
    <w:rsid w:val="00D7434C"/>
    <w:rsid w:val="00D75176"/>
    <w:rsid w:val="00D931E1"/>
    <w:rsid w:val="00D934E6"/>
    <w:rsid w:val="00D95F84"/>
    <w:rsid w:val="00DA29CF"/>
    <w:rsid w:val="00DA5A7B"/>
    <w:rsid w:val="00DC1999"/>
    <w:rsid w:val="00DD6B2B"/>
    <w:rsid w:val="00DD6F9C"/>
    <w:rsid w:val="00E25648"/>
    <w:rsid w:val="00E26FD6"/>
    <w:rsid w:val="00E40342"/>
    <w:rsid w:val="00E41410"/>
    <w:rsid w:val="00E45419"/>
    <w:rsid w:val="00E46301"/>
    <w:rsid w:val="00E47DC4"/>
    <w:rsid w:val="00E5762D"/>
    <w:rsid w:val="00E6388E"/>
    <w:rsid w:val="00E72925"/>
    <w:rsid w:val="00E8107C"/>
    <w:rsid w:val="00E82CEC"/>
    <w:rsid w:val="00E9287A"/>
    <w:rsid w:val="00E92A62"/>
    <w:rsid w:val="00E931DD"/>
    <w:rsid w:val="00E967CB"/>
    <w:rsid w:val="00E96B12"/>
    <w:rsid w:val="00EA3BD1"/>
    <w:rsid w:val="00EA51E8"/>
    <w:rsid w:val="00EB0DA0"/>
    <w:rsid w:val="00EC68A5"/>
    <w:rsid w:val="00ED16F5"/>
    <w:rsid w:val="00ED4729"/>
    <w:rsid w:val="00EF2C05"/>
    <w:rsid w:val="00EF5487"/>
    <w:rsid w:val="00F042B3"/>
    <w:rsid w:val="00F32E89"/>
    <w:rsid w:val="00F35AA7"/>
    <w:rsid w:val="00F44632"/>
    <w:rsid w:val="00F61FD7"/>
    <w:rsid w:val="00F925D9"/>
    <w:rsid w:val="00FA0D59"/>
    <w:rsid w:val="00FA348F"/>
    <w:rsid w:val="00FA36DD"/>
    <w:rsid w:val="00FC2D04"/>
    <w:rsid w:val="00FD3639"/>
    <w:rsid w:val="00FD4594"/>
    <w:rsid w:val="00FD72F5"/>
    <w:rsid w:val="00FE564B"/>
    <w:rsid w:val="00FF43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379"/>
    <w:pPr>
      <w:spacing w:before="0" w:line="360" w:lineRule="auto"/>
      <w:jc w:val="both"/>
    </w:pPr>
    <w:rPr>
      <w:rFonts w:ascii="Arial" w:hAnsi="Arial"/>
      <w:sz w:val="24"/>
    </w:rPr>
  </w:style>
  <w:style w:type="paragraph" w:styleId="Heading1">
    <w:name w:val="heading 1"/>
    <w:basedOn w:val="Normal"/>
    <w:next w:val="Normal"/>
    <w:link w:val="Heading1Char"/>
    <w:autoRedefine/>
    <w:uiPriority w:val="9"/>
    <w:qFormat/>
    <w:rsid w:val="008F5F64"/>
    <w:pPr>
      <w:keepNext/>
      <w:keepLines/>
      <w:spacing w:after="0" w:line="480" w:lineRule="auto"/>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AD30F3"/>
    <w:pPr>
      <w:keepNext/>
      <w:keepLines/>
      <w:spacing w:before="40" w:after="0" w:line="480" w:lineRule="auto"/>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336CFC"/>
    <w:pPr>
      <w:keepNext/>
      <w:keepLines/>
      <w:spacing w:before="40" w:after="0"/>
      <w:outlineLvl w:val="2"/>
    </w:pPr>
    <w:rPr>
      <w:rFonts w:eastAsiaTheme="majorEastAsia" w:cstheme="majorBidi"/>
      <w:b/>
      <w:color w:val="C45911" w:themeColor="accent2" w:themeShade="BF"/>
      <w:sz w:val="28"/>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F64"/>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AD30F3"/>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36CFC"/>
    <w:rPr>
      <w:rFonts w:ascii="Arial" w:eastAsiaTheme="majorEastAsia" w:hAnsi="Arial" w:cstheme="majorBidi"/>
      <w:b/>
      <w:color w:val="C45911" w:themeColor="accent2" w:themeShade="BF"/>
      <w:sz w:val="28"/>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sz w:val="32"/>
      <w:lang w:eastAsia="en-GB"/>
    </w:rPr>
  </w:style>
  <w:style w:type="paragraph" w:styleId="TOC1">
    <w:name w:val="toc 1"/>
    <w:basedOn w:val="Normal"/>
    <w:next w:val="Normal"/>
    <w:autoRedefine/>
    <w:uiPriority w:val="39"/>
    <w:unhideWhenUsed/>
    <w:rsid w:val="00824590"/>
    <w:pPr>
      <w:tabs>
        <w:tab w:val="right" w:leader="dot" w:pos="9350"/>
      </w:tabs>
      <w:spacing w:after="100"/>
    </w:pPr>
    <w:rPr>
      <w:b/>
      <w:bCs/>
      <w:noProof/>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TOC2">
    <w:name w:val="toc 2"/>
    <w:basedOn w:val="Normal"/>
    <w:next w:val="Normal"/>
    <w:autoRedefine/>
    <w:uiPriority w:val="39"/>
    <w:unhideWhenUsed/>
    <w:rsid w:val="00824590"/>
    <w:pPr>
      <w:spacing w:after="100"/>
      <w:ind w:left="240"/>
    </w:pPr>
  </w:style>
  <w:style w:type="paragraph" w:styleId="ListParagraph">
    <w:name w:val="List Paragraph"/>
    <w:basedOn w:val="Normal"/>
    <w:uiPriority w:val="34"/>
    <w:qFormat/>
    <w:rsid w:val="00E41410"/>
    <w:pPr>
      <w:spacing w:line="259" w:lineRule="auto"/>
      <w:ind w:left="720"/>
      <w:contextualSpacing/>
      <w:jc w:val="left"/>
    </w:pPr>
    <w:rPr>
      <w:rFonts w:asciiTheme="minorHAnsi" w:eastAsiaTheme="minorEastAsia" w:hAnsiTheme="minorHAnsi"/>
      <w:sz w:val="22"/>
      <w:lang w:eastAsia="zh-CN"/>
    </w:rPr>
  </w:style>
  <w:style w:type="paragraph" w:styleId="Caption">
    <w:name w:val="caption"/>
    <w:basedOn w:val="Normal"/>
    <w:next w:val="Normal"/>
    <w:uiPriority w:val="35"/>
    <w:unhideWhenUsed/>
    <w:qFormat/>
    <w:rsid w:val="00E92A62"/>
    <w:pPr>
      <w:spacing w:after="200" w:line="240" w:lineRule="auto"/>
    </w:pPr>
    <w:rPr>
      <w:i/>
      <w:iCs/>
      <w:color w:val="44546A" w:themeColor="text2"/>
      <w:sz w:val="18"/>
      <w:szCs w:val="18"/>
    </w:rPr>
  </w:style>
  <w:style w:type="paragraph" w:styleId="NormalWeb">
    <w:name w:val="Normal (Web)"/>
    <w:basedOn w:val="Normal"/>
    <w:uiPriority w:val="99"/>
    <w:semiHidden/>
    <w:unhideWhenUsed/>
    <w:rsid w:val="000F5E48"/>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ableofFigures">
    <w:name w:val="table of figures"/>
    <w:basedOn w:val="Normal"/>
    <w:next w:val="Normal"/>
    <w:uiPriority w:val="99"/>
    <w:unhideWhenUsed/>
    <w:rsid w:val="00F042B3"/>
    <w:pPr>
      <w:spacing w:after="0"/>
    </w:pPr>
  </w:style>
  <w:style w:type="character" w:styleId="UnresolvedMention">
    <w:name w:val="Unresolved Mention"/>
    <w:basedOn w:val="DefaultParagraphFont"/>
    <w:uiPriority w:val="99"/>
    <w:semiHidden/>
    <w:unhideWhenUsed/>
    <w:rsid w:val="005E11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158">
      <w:bodyDiv w:val="1"/>
      <w:marLeft w:val="0"/>
      <w:marRight w:val="0"/>
      <w:marTop w:val="0"/>
      <w:marBottom w:val="0"/>
      <w:divBdr>
        <w:top w:val="none" w:sz="0" w:space="0" w:color="auto"/>
        <w:left w:val="none" w:sz="0" w:space="0" w:color="auto"/>
        <w:bottom w:val="none" w:sz="0" w:space="0" w:color="auto"/>
        <w:right w:val="none" w:sz="0" w:space="0" w:color="auto"/>
      </w:divBdr>
    </w:div>
    <w:div w:id="48234763">
      <w:bodyDiv w:val="1"/>
      <w:marLeft w:val="0"/>
      <w:marRight w:val="0"/>
      <w:marTop w:val="0"/>
      <w:marBottom w:val="0"/>
      <w:divBdr>
        <w:top w:val="none" w:sz="0" w:space="0" w:color="auto"/>
        <w:left w:val="none" w:sz="0" w:space="0" w:color="auto"/>
        <w:bottom w:val="none" w:sz="0" w:space="0" w:color="auto"/>
        <w:right w:val="none" w:sz="0" w:space="0" w:color="auto"/>
      </w:divBdr>
    </w:div>
    <w:div w:id="372122908">
      <w:bodyDiv w:val="1"/>
      <w:marLeft w:val="0"/>
      <w:marRight w:val="0"/>
      <w:marTop w:val="0"/>
      <w:marBottom w:val="0"/>
      <w:divBdr>
        <w:top w:val="none" w:sz="0" w:space="0" w:color="auto"/>
        <w:left w:val="none" w:sz="0" w:space="0" w:color="auto"/>
        <w:bottom w:val="none" w:sz="0" w:space="0" w:color="auto"/>
        <w:right w:val="none" w:sz="0" w:space="0" w:color="auto"/>
      </w:divBdr>
      <w:divsChild>
        <w:div w:id="1020165376">
          <w:marLeft w:val="0"/>
          <w:marRight w:val="0"/>
          <w:marTop w:val="0"/>
          <w:marBottom w:val="0"/>
          <w:divBdr>
            <w:top w:val="none" w:sz="0" w:space="0" w:color="auto"/>
            <w:left w:val="none" w:sz="0" w:space="0" w:color="auto"/>
            <w:bottom w:val="none" w:sz="0" w:space="0" w:color="auto"/>
            <w:right w:val="none" w:sz="0" w:space="0" w:color="auto"/>
          </w:divBdr>
          <w:divsChild>
            <w:div w:id="606545624">
              <w:marLeft w:val="0"/>
              <w:marRight w:val="0"/>
              <w:marTop w:val="0"/>
              <w:marBottom w:val="0"/>
              <w:divBdr>
                <w:top w:val="none" w:sz="0" w:space="0" w:color="auto"/>
                <w:left w:val="none" w:sz="0" w:space="0" w:color="auto"/>
                <w:bottom w:val="none" w:sz="0" w:space="0" w:color="auto"/>
                <w:right w:val="none" w:sz="0" w:space="0" w:color="auto"/>
              </w:divBdr>
              <w:divsChild>
                <w:div w:id="1598171737">
                  <w:marLeft w:val="0"/>
                  <w:marRight w:val="0"/>
                  <w:marTop w:val="0"/>
                  <w:marBottom w:val="0"/>
                  <w:divBdr>
                    <w:top w:val="none" w:sz="0" w:space="0" w:color="auto"/>
                    <w:left w:val="single" w:sz="12" w:space="0" w:color="auto"/>
                    <w:bottom w:val="none" w:sz="0" w:space="0" w:color="auto"/>
                    <w:right w:val="single" w:sz="12" w:space="0" w:color="auto"/>
                  </w:divBdr>
                  <w:divsChild>
                    <w:div w:id="324550386">
                      <w:marLeft w:val="0"/>
                      <w:marRight w:val="0"/>
                      <w:marTop w:val="0"/>
                      <w:marBottom w:val="0"/>
                      <w:divBdr>
                        <w:top w:val="none" w:sz="0" w:space="0" w:color="auto"/>
                        <w:left w:val="none" w:sz="0" w:space="0" w:color="auto"/>
                        <w:bottom w:val="none" w:sz="0" w:space="0" w:color="auto"/>
                        <w:right w:val="none" w:sz="0" w:space="0" w:color="auto"/>
                      </w:divBdr>
                      <w:divsChild>
                        <w:div w:id="1734621312">
                          <w:marLeft w:val="0"/>
                          <w:marRight w:val="0"/>
                          <w:marTop w:val="0"/>
                          <w:marBottom w:val="0"/>
                          <w:divBdr>
                            <w:top w:val="none" w:sz="0" w:space="0" w:color="auto"/>
                            <w:left w:val="none" w:sz="0" w:space="0" w:color="auto"/>
                            <w:bottom w:val="none" w:sz="0" w:space="0" w:color="auto"/>
                            <w:right w:val="none" w:sz="0" w:space="0" w:color="auto"/>
                          </w:divBdr>
                          <w:divsChild>
                            <w:div w:id="1171145475">
                              <w:marLeft w:val="0"/>
                              <w:marRight w:val="0"/>
                              <w:marTop w:val="0"/>
                              <w:marBottom w:val="0"/>
                              <w:divBdr>
                                <w:top w:val="none" w:sz="0" w:space="0" w:color="auto"/>
                                <w:left w:val="none" w:sz="0" w:space="0" w:color="auto"/>
                                <w:bottom w:val="none" w:sz="0" w:space="0" w:color="auto"/>
                                <w:right w:val="none" w:sz="0" w:space="0" w:color="auto"/>
                              </w:divBdr>
                              <w:divsChild>
                                <w:div w:id="1601327785">
                                  <w:marLeft w:val="0"/>
                                  <w:marRight w:val="0"/>
                                  <w:marTop w:val="0"/>
                                  <w:marBottom w:val="0"/>
                                  <w:divBdr>
                                    <w:top w:val="none" w:sz="0" w:space="0" w:color="auto"/>
                                    <w:left w:val="none" w:sz="0" w:space="0" w:color="auto"/>
                                    <w:bottom w:val="none" w:sz="0" w:space="0" w:color="auto"/>
                                    <w:right w:val="none" w:sz="0" w:space="0" w:color="auto"/>
                                  </w:divBdr>
                                  <w:divsChild>
                                    <w:div w:id="893660372">
                                      <w:marLeft w:val="0"/>
                                      <w:marRight w:val="0"/>
                                      <w:marTop w:val="0"/>
                                      <w:marBottom w:val="0"/>
                                      <w:divBdr>
                                        <w:top w:val="none" w:sz="0" w:space="0" w:color="auto"/>
                                        <w:left w:val="none" w:sz="0" w:space="0" w:color="auto"/>
                                        <w:bottom w:val="none" w:sz="0" w:space="0" w:color="auto"/>
                                        <w:right w:val="none" w:sz="0" w:space="0" w:color="auto"/>
                                      </w:divBdr>
                                      <w:divsChild>
                                        <w:div w:id="672755971">
                                          <w:marLeft w:val="0"/>
                                          <w:marRight w:val="0"/>
                                          <w:marTop w:val="0"/>
                                          <w:marBottom w:val="0"/>
                                          <w:divBdr>
                                            <w:top w:val="none" w:sz="0" w:space="0" w:color="auto"/>
                                            <w:left w:val="none" w:sz="0" w:space="0" w:color="auto"/>
                                            <w:bottom w:val="none" w:sz="0" w:space="0" w:color="auto"/>
                                            <w:right w:val="none" w:sz="0" w:space="0" w:color="auto"/>
                                          </w:divBdr>
                                          <w:divsChild>
                                            <w:div w:id="1478886121">
                                              <w:marLeft w:val="0"/>
                                              <w:marRight w:val="0"/>
                                              <w:marTop w:val="0"/>
                                              <w:marBottom w:val="0"/>
                                              <w:divBdr>
                                                <w:top w:val="none" w:sz="0" w:space="0" w:color="auto"/>
                                                <w:left w:val="none" w:sz="0" w:space="0" w:color="auto"/>
                                                <w:bottom w:val="none" w:sz="0" w:space="0" w:color="auto"/>
                                                <w:right w:val="none" w:sz="0" w:space="0" w:color="auto"/>
                                              </w:divBdr>
                                              <w:divsChild>
                                                <w:div w:id="646712682">
                                                  <w:marLeft w:val="0"/>
                                                  <w:marRight w:val="0"/>
                                                  <w:marTop w:val="0"/>
                                                  <w:marBottom w:val="0"/>
                                                  <w:divBdr>
                                                    <w:top w:val="none" w:sz="0" w:space="0" w:color="auto"/>
                                                    <w:left w:val="none" w:sz="0" w:space="0" w:color="auto"/>
                                                    <w:bottom w:val="none" w:sz="0" w:space="0" w:color="auto"/>
                                                    <w:right w:val="none" w:sz="0" w:space="0" w:color="auto"/>
                                                  </w:divBdr>
                                                  <w:divsChild>
                                                    <w:div w:id="564295613">
                                                      <w:marLeft w:val="0"/>
                                                      <w:marRight w:val="0"/>
                                                      <w:marTop w:val="0"/>
                                                      <w:marBottom w:val="0"/>
                                                      <w:divBdr>
                                                        <w:top w:val="none" w:sz="0" w:space="0" w:color="auto"/>
                                                        <w:left w:val="none" w:sz="0" w:space="0" w:color="auto"/>
                                                        <w:bottom w:val="none" w:sz="0" w:space="0" w:color="auto"/>
                                                        <w:right w:val="none" w:sz="0" w:space="0" w:color="auto"/>
                                                      </w:divBdr>
                                                      <w:divsChild>
                                                        <w:div w:id="184053194">
                                                          <w:marLeft w:val="0"/>
                                                          <w:marRight w:val="0"/>
                                                          <w:marTop w:val="0"/>
                                                          <w:marBottom w:val="0"/>
                                                          <w:divBdr>
                                                            <w:top w:val="none" w:sz="0" w:space="0" w:color="auto"/>
                                                            <w:left w:val="none" w:sz="0" w:space="0" w:color="auto"/>
                                                            <w:bottom w:val="none" w:sz="0" w:space="0" w:color="auto"/>
                                                            <w:right w:val="none" w:sz="0" w:space="0" w:color="auto"/>
                                                          </w:divBdr>
                                                          <w:divsChild>
                                                            <w:div w:id="769934521">
                                                              <w:marLeft w:val="0"/>
                                                              <w:marRight w:val="0"/>
                                                              <w:marTop w:val="0"/>
                                                              <w:marBottom w:val="0"/>
                                                              <w:divBdr>
                                                                <w:top w:val="none" w:sz="0" w:space="0" w:color="auto"/>
                                                                <w:left w:val="none" w:sz="0" w:space="0" w:color="auto"/>
                                                                <w:bottom w:val="none" w:sz="0" w:space="0" w:color="auto"/>
                                                                <w:right w:val="none" w:sz="0" w:space="0" w:color="auto"/>
                                                              </w:divBdr>
                                                              <w:divsChild>
                                                                <w:div w:id="646394084">
                                                                  <w:marLeft w:val="0"/>
                                                                  <w:marRight w:val="0"/>
                                                                  <w:marTop w:val="0"/>
                                                                  <w:marBottom w:val="0"/>
                                                                  <w:divBdr>
                                                                    <w:top w:val="none" w:sz="0" w:space="0" w:color="auto"/>
                                                                    <w:left w:val="none" w:sz="0" w:space="0" w:color="auto"/>
                                                                    <w:bottom w:val="none" w:sz="0" w:space="0" w:color="auto"/>
                                                                    <w:right w:val="none" w:sz="0" w:space="0" w:color="auto"/>
                                                                  </w:divBdr>
                                                                  <w:divsChild>
                                                                    <w:div w:id="1834834284">
                                                                      <w:marLeft w:val="0"/>
                                                                      <w:marRight w:val="0"/>
                                                                      <w:marTop w:val="0"/>
                                                                      <w:marBottom w:val="0"/>
                                                                      <w:divBdr>
                                                                        <w:top w:val="none" w:sz="0" w:space="0" w:color="auto"/>
                                                                        <w:left w:val="none" w:sz="0" w:space="0" w:color="auto"/>
                                                                        <w:bottom w:val="none" w:sz="0" w:space="0" w:color="auto"/>
                                                                        <w:right w:val="none" w:sz="0" w:space="0" w:color="auto"/>
                                                                      </w:divBdr>
                                                                      <w:divsChild>
                                                                        <w:div w:id="602422899">
                                                                          <w:marLeft w:val="0"/>
                                                                          <w:marRight w:val="0"/>
                                                                          <w:marTop w:val="0"/>
                                                                          <w:marBottom w:val="0"/>
                                                                          <w:divBdr>
                                                                            <w:top w:val="none" w:sz="0" w:space="0" w:color="auto"/>
                                                                            <w:left w:val="none" w:sz="0" w:space="0" w:color="auto"/>
                                                                            <w:bottom w:val="none" w:sz="0" w:space="0" w:color="auto"/>
                                                                            <w:right w:val="none" w:sz="0" w:space="0" w:color="auto"/>
                                                                          </w:divBdr>
                                                                          <w:divsChild>
                                                                            <w:div w:id="403603449">
                                                                              <w:marLeft w:val="0"/>
                                                                              <w:marRight w:val="0"/>
                                                                              <w:marTop w:val="0"/>
                                                                              <w:marBottom w:val="0"/>
                                                                              <w:divBdr>
                                                                                <w:top w:val="none" w:sz="0" w:space="0" w:color="auto"/>
                                                                                <w:left w:val="none" w:sz="0" w:space="0" w:color="auto"/>
                                                                                <w:bottom w:val="none" w:sz="0" w:space="0" w:color="auto"/>
                                                                                <w:right w:val="none" w:sz="0" w:space="0" w:color="auto"/>
                                                                              </w:divBdr>
                                                                              <w:divsChild>
                                                                                <w:div w:id="1296326363">
                                                                                  <w:marLeft w:val="0"/>
                                                                                  <w:marRight w:val="0"/>
                                                                                  <w:marTop w:val="0"/>
                                                                                  <w:marBottom w:val="0"/>
                                                                                  <w:divBdr>
                                                                                    <w:top w:val="none" w:sz="0" w:space="0" w:color="auto"/>
                                                                                    <w:left w:val="none" w:sz="0" w:space="0" w:color="auto"/>
                                                                                    <w:bottom w:val="none" w:sz="0" w:space="0" w:color="auto"/>
                                                                                    <w:right w:val="none" w:sz="0" w:space="0" w:color="auto"/>
                                                                                  </w:divBdr>
                                                                                  <w:divsChild>
                                                                                    <w:div w:id="1660957334">
                                                                                      <w:marLeft w:val="0"/>
                                                                                      <w:marRight w:val="0"/>
                                                                                      <w:marTop w:val="0"/>
                                                                                      <w:marBottom w:val="0"/>
                                                                                      <w:divBdr>
                                                                                        <w:top w:val="none" w:sz="0" w:space="0" w:color="auto"/>
                                                                                        <w:left w:val="none" w:sz="0" w:space="0" w:color="auto"/>
                                                                                        <w:bottom w:val="none" w:sz="0" w:space="0" w:color="auto"/>
                                                                                        <w:right w:val="none" w:sz="0" w:space="0" w:color="auto"/>
                                                                                      </w:divBdr>
                                                                                      <w:divsChild>
                                                                                        <w:div w:id="31519012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522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505085">
                                                  <w:marLeft w:val="0"/>
                                                  <w:marRight w:val="0"/>
                                                  <w:marTop w:val="0"/>
                                                  <w:marBottom w:val="0"/>
                                                  <w:divBdr>
                                                    <w:top w:val="none" w:sz="0" w:space="0" w:color="auto"/>
                                                    <w:left w:val="none" w:sz="0" w:space="0" w:color="auto"/>
                                                    <w:bottom w:val="none" w:sz="0" w:space="0" w:color="auto"/>
                                                    <w:right w:val="none" w:sz="0" w:space="0" w:color="auto"/>
                                                  </w:divBdr>
                                                  <w:divsChild>
                                                    <w:div w:id="1990937019">
                                                      <w:marLeft w:val="0"/>
                                                      <w:marRight w:val="0"/>
                                                      <w:marTop w:val="0"/>
                                                      <w:marBottom w:val="0"/>
                                                      <w:divBdr>
                                                        <w:top w:val="single" w:sz="2" w:space="9" w:color="auto"/>
                                                        <w:left w:val="single" w:sz="2" w:space="9" w:color="auto"/>
                                                        <w:bottom w:val="single" w:sz="2" w:space="9" w:color="auto"/>
                                                        <w:right w:val="single" w:sz="2" w:space="9" w:color="auto"/>
                                                      </w:divBdr>
                                                      <w:divsChild>
                                                        <w:div w:id="1812208451">
                                                          <w:marLeft w:val="0"/>
                                                          <w:marRight w:val="0"/>
                                                          <w:marTop w:val="0"/>
                                                          <w:marBottom w:val="0"/>
                                                          <w:divBdr>
                                                            <w:top w:val="none" w:sz="0" w:space="0" w:color="auto"/>
                                                            <w:left w:val="none" w:sz="0" w:space="0" w:color="auto"/>
                                                            <w:bottom w:val="none" w:sz="0" w:space="0" w:color="auto"/>
                                                            <w:right w:val="none" w:sz="0" w:space="0" w:color="auto"/>
                                                          </w:divBdr>
                                                          <w:divsChild>
                                                            <w:div w:id="8007343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72711510">
          <w:marLeft w:val="0"/>
          <w:marRight w:val="0"/>
          <w:marTop w:val="0"/>
          <w:marBottom w:val="0"/>
          <w:divBdr>
            <w:top w:val="none" w:sz="0" w:space="0" w:color="auto"/>
            <w:left w:val="none" w:sz="0" w:space="0" w:color="auto"/>
            <w:bottom w:val="none" w:sz="0" w:space="0" w:color="auto"/>
            <w:right w:val="none" w:sz="0" w:space="0" w:color="auto"/>
          </w:divBdr>
          <w:divsChild>
            <w:div w:id="591620372">
              <w:marLeft w:val="0"/>
              <w:marRight w:val="0"/>
              <w:marTop w:val="0"/>
              <w:marBottom w:val="0"/>
              <w:divBdr>
                <w:top w:val="none" w:sz="0" w:space="0" w:color="auto"/>
                <w:left w:val="none" w:sz="0" w:space="0" w:color="auto"/>
                <w:bottom w:val="none" w:sz="0" w:space="0" w:color="auto"/>
                <w:right w:val="none" w:sz="0" w:space="0" w:color="auto"/>
              </w:divBdr>
              <w:divsChild>
                <w:div w:id="1731658743">
                  <w:marLeft w:val="0"/>
                  <w:marRight w:val="0"/>
                  <w:marTop w:val="0"/>
                  <w:marBottom w:val="0"/>
                  <w:divBdr>
                    <w:top w:val="none" w:sz="0" w:space="0" w:color="auto"/>
                    <w:left w:val="none" w:sz="0" w:space="0" w:color="auto"/>
                    <w:bottom w:val="none" w:sz="0" w:space="0" w:color="auto"/>
                    <w:right w:val="none" w:sz="0" w:space="0" w:color="auto"/>
                  </w:divBdr>
                  <w:divsChild>
                    <w:div w:id="1116027227">
                      <w:marLeft w:val="1500"/>
                      <w:marRight w:val="0"/>
                      <w:marTop w:val="0"/>
                      <w:marBottom w:val="0"/>
                      <w:divBdr>
                        <w:top w:val="none" w:sz="0" w:space="0" w:color="auto"/>
                        <w:left w:val="none" w:sz="0" w:space="0" w:color="auto"/>
                        <w:bottom w:val="none" w:sz="0" w:space="0" w:color="auto"/>
                        <w:right w:val="none" w:sz="0" w:space="0" w:color="auto"/>
                      </w:divBdr>
                      <w:divsChild>
                        <w:div w:id="17308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6691385">
      <w:bodyDiv w:val="1"/>
      <w:marLeft w:val="0"/>
      <w:marRight w:val="0"/>
      <w:marTop w:val="0"/>
      <w:marBottom w:val="0"/>
      <w:divBdr>
        <w:top w:val="none" w:sz="0" w:space="0" w:color="auto"/>
        <w:left w:val="none" w:sz="0" w:space="0" w:color="auto"/>
        <w:bottom w:val="none" w:sz="0" w:space="0" w:color="auto"/>
        <w:right w:val="none" w:sz="0" w:space="0" w:color="auto"/>
      </w:divBdr>
    </w:div>
    <w:div w:id="883374288">
      <w:bodyDiv w:val="1"/>
      <w:marLeft w:val="0"/>
      <w:marRight w:val="0"/>
      <w:marTop w:val="0"/>
      <w:marBottom w:val="0"/>
      <w:divBdr>
        <w:top w:val="none" w:sz="0" w:space="0" w:color="auto"/>
        <w:left w:val="none" w:sz="0" w:space="0" w:color="auto"/>
        <w:bottom w:val="none" w:sz="0" w:space="0" w:color="auto"/>
        <w:right w:val="none" w:sz="0" w:space="0" w:color="auto"/>
      </w:divBdr>
      <w:divsChild>
        <w:div w:id="614598240">
          <w:marLeft w:val="0"/>
          <w:marRight w:val="0"/>
          <w:marTop w:val="0"/>
          <w:marBottom w:val="0"/>
          <w:divBdr>
            <w:top w:val="none" w:sz="0" w:space="0" w:color="auto"/>
            <w:left w:val="none" w:sz="0" w:space="0" w:color="auto"/>
            <w:bottom w:val="none" w:sz="0" w:space="0" w:color="auto"/>
            <w:right w:val="none" w:sz="0" w:space="0" w:color="auto"/>
          </w:divBdr>
          <w:divsChild>
            <w:div w:id="2144688535">
              <w:marLeft w:val="0"/>
              <w:marRight w:val="0"/>
              <w:marTop w:val="0"/>
              <w:marBottom w:val="0"/>
              <w:divBdr>
                <w:top w:val="none" w:sz="0" w:space="0" w:color="auto"/>
                <w:left w:val="none" w:sz="0" w:space="0" w:color="auto"/>
                <w:bottom w:val="none" w:sz="0" w:space="0" w:color="auto"/>
                <w:right w:val="none" w:sz="0" w:space="0" w:color="auto"/>
              </w:divBdr>
              <w:divsChild>
                <w:div w:id="410271224">
                  <w:marLeft w:val="0"/>
                  <w:marRight w:val="0"/>
                  <w:marTop w:val="0"/>
                  <w:marBottom w:val="0"/>
                  <w:divBdr>
                    <w:top w:val="none" w:sz="0" w:space="0" w:color="auto"/>
                    <w:left w:val="single" w:sz="12" w:space="0" w:color="auto"/>
                    <w:bottom w:val="none" w:sz="0" w:space="0" w:color="auto"/>
                    <w:right w:val="single" w:sz="12" w:space="0" w:color="auto"/>
                  </w:divBdr>
                  <w:divsChild>
                    <w:div w:id="369690775">
                      <w:marLeft w:val="0"/>
                      <w:marRight w:val="0"/>
                      <w:marTop w:val="0"/>
                      <w:marBottom w:val="0"/>
                      <w:divBdr>
                        <w:top w:val="none" w:sz="0" w:space="0" w:color="auto"/>
                        <w:left w:val="none" w:sz="0" w:space="0" w:color="auto"/>
                        <w:bottom w:val="none" w:sz="0" w:space="0" w:color="auto"/>
                        <w:right w:val="none" w:sz="0" w:space="0" w:color="auto"/>
                      </w:divBdr>
                      <w:divsChild>
                        <w:div w:id="1440678983">
                          <w:marLeft w:val="0"/>
                          <w:marRight w:val="0"/>
                          <w:marTop w:val="0"/>
                          <w:marBottom w:val="0"/>
                          <w:divBdr>
                            <w:top w:val="none" w:sz="0" w:space="0" w:color="auto"/>
                            <w:left w:val="none" w:sz="0" w:space="0" w:color="auto"/>
                            <w:bottom w:val="none" w:sz="0" w:space="0" w:color="auto"/>
                            <w:right w:val="none" w:sz="0" w:space="0" w:color="auto"/>
                          </w:divBdr>
                          <w:divsChild>
                            <w:div w:id="55708682">
                              <w:marLeft w:val="0"/>
                              <w:marRight w:val="0"/>
                              <w:marTop w:val="0"/>
                              <w:marBottom w:val="0"/>
                              <w:divBdr>
                                <w:top w:val="none" w:sz="0" w:space="0" w:color="auto"/>
                                <w:left w:val="none" w:sz="0" w:space="0" w:color="auto"/>
                                <w:bottom w:val="none" w:sz="0" w:space="0" w:color="auto"/>
                                <w:right w:val="none" w:sz="0" w:space="0" w:color="auto"/>
                              </w:divBdr>
                              <w:divsChild>
                                <w:div w:id="816145201">
                                  <w:marLeft w:val="0"/>
                                  <w:marRight w:val="0"/>
                                  <w:marTop w:val="0"/>
                                  <w:marBottom w:val="0"/>
                                  <w:divBdr>
                                    <w:top w:val="none" w:sz="0" w:space="0" w:color="auto"/>
                                    <w:left w:val="none" w:sz="0" w:space="0" w:color="auto"/>
                                    <w:bottom w:val="none" w:sz="0" w:space="0" w:color="auto"/>
                                    <w:right w:val="none" w:sz="0" w:space="0" w:color="auto"/>
                                  </w:divBdr>
                                  <w:divsChild>
                                    <w:div w:id="2089224417">
                                      <w:marLeft w:val="0"/>
                                      <w:marRight w:val="0"/>
                                      <w:marTop w:val="0"/>
                                      <w:marBottom w:val="0"/>
                                      <w:divBdr>
                                        <w:top w:val="none" w:sz="0" w:space="0" w:color="auto"/>
                                        <w:left w:val="none" w:sz="0" w:space="0" w:color="auto"/>
                                        <w:bottom w:val="none" w:sz="0" w:space="0" w:color="auto"/>
                                        <w:right w:val="none" w:sz="0" w:space="0" w:color="auto"/>
                                      </w:divBdr>
                                      <w:divsChild>
                                        <w:div w:id="2132161082">
                                          <w:marLeft w:val="0"/>
                                          <w:marRight w:val="0"/>
                                          <w:marTop w:val="0"/>
                                          <w:marBottom w:val="0"/>
                                          <w:divBdr>
                                            <w:top w:val="none" w:sz="0" w:space="0" w:color="auto"/>
                                            <w:left w:val="none" w:sz="0" w:space="0" w:color="auto"/>
                                            <w:bottom w:val="none" w:sz="0" w:space="0" w:color="auto"/>
                                            <w:right w:val="none" w:sz="0" w:space="0" w:color="auto"/>
                                          </w:divBdr>
                                          <w:divsChild>
                                            <w:div w:id="1167289158">
                                              <w:marLeft w:val="0"/>
                                              <w:marRight w:val="0"/>
                                              <w:marTop w:val="0"/>
                                              <w:marBottom w:val="0"/>
                                              <w:divBdr>
                                                <w:top w:val="none" w:sz="0" w:space="0" w:color="auto"/>
                                                <w:left w:val="none" w:sz="0" w:space="0" w:color="auto"/>
                                                <w:bottom w:val="none" w:sz="0" w:space="0" w:color="auto"/>
                                                <w:right w:val="none" w:sz="0" w:space="0" w:color="auto"/>
                                              </w:divBdr>
                                              <w:divsChild>
                                                <w:div w:id="286397483">
                                                  <w:marLeft w:val="0"/>
                                                  <w:marRight w:val="0"/>
                                                  <w:marTop w:val="0"/>
                                                  <w:marBottom w:val="0"/>
                                                  <w:divBdr>
                                                    <w:top w:val="none" w:sz="0" w:space="0" w:color="auto"/>
                                                    <w:left w:val="none" w:sz="0" w:space="0" w:color="auto"/>
                                                    <w:bottom w:val="none" w:sz="0" w:space="0" w:color="auto"/>
                                                    <w:right w:val="none" w:sz="0" w:space="0" w:color="auto"/>
                                                  </w:divBdr>
                                                  <w:divsChild>
                                                    <w:div w:id="1736901966">
                                                      <w:marLeft w:val="0"/>
                                                      <w:marRight w:val="0"/>
                                                      <w:marTop w:val="0"/>
                                                      <w:marBottom w:val="0"/>
                                                      <w:divBdr>
                                                        <w:top w:val="none" w:sz="0" w:space="0" w:color="auto"/>
                                                        <w:left w:val="none" w:sz="0" w:space="0" w:color="auto"/>
                                                        <w:bottom w:val="none" w:sz="0" w:space="0" w:color="auto"/>
                                                        <w:right w:val="none" w:sz="0" w:space="0" w:color="auto"/>
                                                      </w:divBdr>
                                                      <w:divsChild>
                                                        <w:div w:id="2058896860">
                                                          <w:marLeft w:val="0"/>
                                                          <w:marRight w:val="0"/>
                                                          <w:marTop w:val="0"/>
                                                          <w:marBottom w:val="0"/>
                                                          <w:divBdr>
                                                            <w:top w:val="none" w:sz="0" w:space="0" w:color="auto"/>
                                                            <w:left w:val="none" w:sz="0" w:space="0" w:color="auto"/>
                                                            <w:bottom w:val="none" w:sz="0" w:space="0" w:color="auto"/>
                                                            <w:right w:val="none" w:sz="0" w:space="0" w:color="auto"/>
                                                          </w:divBdr>
                                                          <w:divsChild>
                                                            <w:div w:id="782505915">
                                                              <w:marLeft w:val="0"/>
                                                              <w:marRight w:val="0"/>
                                                              <w:marTop w:val="0"/>
                                                              <w:marBottom w:val="0"/>
                                                              <w:divBdr>
                                                                <w:top w:val="none" w:sz="0" w:space="0" w:color="auto"/>
                                                                <w:left w:val="none" w:sz="0" w:space="0" w:color="auto"/>
                                                                <w:bottom w:val="none" w:sz="0" w:space="0" w:color="auto"/>
                                                                <w:right w:val="none" w:sz="0" w:space="0" w:color="auto"/>
                                                              </w:divBdr>
                                                              <w:divsChild>
                                                                <w:div w:id="773016579">
                                                                  <w:marLeft w:val="0"/>
                                                                  <w:marRight w:val="0"/>
                                                                  <w:marTop w:val="0"/>
                                                                  <w:marBottom w:val="0"/>
                                                                  <w:divBdr>
                                                                    <w:top w:val="none" w:sz="0" w:space="0" w:color="auto"/>
                                                                    <w:left w:val="none" w:sz="0" w:space="0" w:color="auto"/>
                                                                    <w:bottom w:val="none" w:sz="0" w:space="0" w:color="auto"/>
                                                                    <w:right w:val="none" w:sz="0" w:space="0" w:color="auto"/>
                                                                  </w:divBdr>
                                                                  <w:divsChild>
                                                                    <w:div w:id="1683968711">
                                                                      <w:marLeft w:val="0"/>
                                                                      <w:marRight w:val="0"/>
                                                                      <w:marTop w:val="0"/>
                                                                      <w:marBottom w:val="0"/>
                                                                      <w:divBdr>
                                                                        <w:top w:val="none" w:sz="0" w:space="0" w:color="auto"/>
                                                                        <w:left w:val="none" w:sz="0" w:space="0" w:color="auto"/>
                                                                        <w:bottom w:val="none" w:sz="0" w:space="0" w:color="auto"/>
                                                                        <w:right w:val="none" w:sz="0" w:space="0" w:color="auto"/>
                                                                      </w:divBdr>
                                                                      <w:divsChild>
                                                                        <w:div w:id="1541356871">
                                                                          <w:marLeft w:val="0"/>
                                                                          <w:marRight w:val="0"/>
                                                                          <w:marTop w:val="0"/>
                                                                          <w:marBottom w:val="0"/>
                                                                          <w:divBdr>
                                                                            <w:top w:val="none" w:sz="0" w:space="0" w:color="auto"/>
                                                                            <w:left w:val="none" w:sz="0" w:space="0" w:color="auto"/>
                                                                            <w:bottom w:val="none" w:sz="0" w:space="0" w:color="auto"/>
                                                                            <w:right w:val="none" w:sz="0" w:space="0" w:color="auto"/>
                                                                          </w:divBdr>
                                                                          <w:divsChild>
                                                                            <w:div w:id="328026496">
                                                                              <w:marLeft w:val="0"/>
                                                                              <w:marRight w:val="0"/>
                                                                              <w:marTop w:val="0"/>
                                                                              <w:marBottom w:val="0"/>
                                                                              <w:divBdr>
                                                                                <w:top w:val="none" w:sz="0" w:space="0" w:color="auto"/>
                                                                                <w:left w:val="none" w:sz="0" w:space="0" w:color="auto"/>
                                                                                <w:bottom w:val="none" w:sz="0" w:space="0" w:color="auto"/>
                                                                                <w:right w:val="none" w:sz="0" w:space="0" w:color="auto"/>
                                                                              </w:divBdr>
                                                                              <w:divsChild>
                                                                                <w:div w:id="763500296">
                                                                                  <w:marLeft w:val="0"/>
                                                                                  <w:marRight w:val="0"/>
                                                                                  <w:marTop w:val="0"/>
                                                                                  <w:marBottom w:val="0"/>
                                                                                  <w:divBdr>
                                                                                    <w:top w:val="none" w:sz="0" w:space="0" w:color="auto"/>
                                                                                    <w:left w:val="none" w:sz="0" w:space="0" w:color="auto"/>
                                                                                    <w:bottom w:val="none" w:sz="0" w:space="0" w:color="auto"/>
                                                                                    <w:right w:val="none" w:sz="0" w:space="0" w:color="auto"/>
                                                                                  </w:divBdr>
                                                                                  <w:divsChild>
                                                                                    <w:div w:id="892230980">
                                                                                      <w:marLeft w:val="0"/>
                                                                                      <w:marRight w:val="0"/>
                                                                                      <w:marTop w:val="0"/>
                                                                                      <w:marBottom w:val="0"/>
                                                                                      <w:divBdr>
                                                                                        <w:top w:val="none" w:sz="0" w:space="0" w:color="auto"/>
                                                                                        <w:left w:val="none" w:sz="0" w:space="0" w:color="auto"/>
                                                                                        <w:bottom w:val="none" w:sz="0" w:space="0" w:color="auto"/>
                                                                                        <w:right w:val="none" w:sz="0" w:space="0" w:color="auto"/>
                                                                                      </w:divBdr>
                                                                                      <w:divsChild>
                                                                                        <w:div w:id="117317910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506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236422">
                                                  <w:marLeft w:val="0"/>
                                                  <w:marRight w:val="0"/>
                                                  <w:marTop w:val="0"/>
                                                  <w:marBottom w:val="0"/>
                                                  <w:divBdr>
                                                    <w:top w:val="none" w:sz="0" w:space="0" w:color="auto"/>
                                                    <w:left w:val="none" w:sz="0" w:space="0" w:color="auto"/>
                                                    <w:bottom w:val="none" w:sz="0" w:space="0" w:color="auto"/>
                                                    <w:right w:val="none" w:sz="0" w:space="0" w:color="auto"/>
                                                  </w:divBdr>
                                                  <w:divsChild>
                                                    <w:div w:id="1867021651">
                                                      <w:marLeft w:val="0"/>
                                                      <w:marRight w:val="0"/>
                                                      <w:marTop w:val="0"/>
                                                      <w:marBottom w:val="0"/>
                                                      <w:divBdr>
                                                        <w:top w:val="single" w:sz="2" w:space="9" w:color="auto"/>
                                                        <w:left w:val="single" w:sz="2" w:space="9" w:color="auto"/>
                                                        <w:bottom w:val="single" w:sz="2" w:space="9" w:color="auto"/>
                                                        <w:right w:val="single" w:sz="2" w:space="9" w:color="auto"/>
                                                      </w:divBdr>
                                                      <w:divsChild>
                                                        <w:div w:id="1662007670">
                                                          <w:marLeft w:val="0"/>
                                                          <w:marRight w:val="0"/>
                                                          <w:marTop w:val="0"/>
                                                          <w:marBottom w:val="0"/>
                                                          <w:divBdr>
                                                            <w:top w:val="none" w:sz="0" w:space="0" w:color="auto"/>
                                                            <w:left w:val="none" w:sz="0" w:space="0" w:color="auto"/>
                                                            <w:bottom w:val="none" w:sz="0" w:space="0" w:color="auto"/>
                                                            <w:right w:val="none" w:sz="0" w:space="0" w:color="auto"/>
                                                          </w:divBdr>
                                                          <w:divsChild>
                                                            <w:div w:id="11413851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39677661">
          <w:marLeft w:val="0"/>
          <w:marRight w:val="0"/>
          <w:marTop w:val="0"/>
          <w:marBottom w:val="0"/>
          <w:divBdr>
            <w:top w:val="none" w:sz="0" w:space="0" w:color="auto"/>
            <w:left w:val="none" w:sz="0" w:space="0" w:color="auto"/>
            <w:bottom w:val="none" w:sz="0" w:space="0" w:color="auto"/>
            <w:right w:val="none" w:sz="0" w:space="0" w:color="auto"/>
          </w:divBdr>
          <w:divsChild>
            <w:div w:id="1605723997">
              <w:marLeft w:val="0"/>
              <w:marRight w:val="0"/>
              <w:marTop w:val="0"/>
              <w:marBottom w:val="0"/>
              <w:divBdr>
                <w:top w:val="none" w:sz="0" w:space="0" w:color="auto"/>
                <w:left w:val="none" w:sz="0" w:space="0" w:color="auto"/>
                <w:bottom w:val="none" w:sz="0" w:space="0" w:color="auto"/>
                <w:right w:val="none" w:sz="0" w:space="0" w:color="auto"/>
              </w:divBdr>
              <w:divsChild>
                <w:div w:id="1177773019">
                  <w:marLeft w:val="0"/>
                  <w:marRight w:val="0"/>
                  <w:marTop w:val="0"/>
                  <w:marBottom w:val="0"/>
                  <w:divBdr>
                    <w:top w:val="none" w:sz="0" w:space="0" w:color="auto"/>
                    <w:left w:val="none" w:sz="0" w:space="0" w:color="auto"/>
                    <w:bottom w:val="none" w:sz="0" w:space="0" w:color="auto"/>
                    <w:right w:val="none" w:sz="0" w:space="0" w:color="auto"/>
                  </w:divBdr>
                  <w:divsChild>
                    <w:div w:id="942229641">
                      <w:marLeft w:val="1500"/>
                      <w:marRight w:val="0"/>
                      <w:marTop w:val="0"/>
                      <w:marBottom w:val="0"/>
                      <w:divBdr>
                        <w:top w:val="none" w:sz="0" w:space="0" w:color="auto"/>
                        <w:left w:val="none" w:sz="0" w:space="0" w:color="auto"/>
                        <w:bottom w:val="none" w:sz="0" w:space="0" w:color="auto"/>
                        <w:right w:val="none" w:sz="0" w:space="0" w:color="auto"/>
                      </w:divBdr>
                      <w:divsChild>
                        <w:div w:id="47660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5729391">
      <w:bodyDiv w:val="1"/>
      <w:marLeft w:val="0"/>
      <w:marRight w:val="0"/>
      <w:marTop w:val="0"/>
      <w:marBottom w:val="0"/>
      <w:divBdr>
        <w:top w:val="none" w:sz="0" w:space="0" w:color="auto"/>
        <w:left w:val="none" w:sz="0" w:space="0" w:color="auto"/>
        <w:bottom w:val="none" w:sz="0" w:space="0" w:color="auto"/>
        <w:right w:val="none" w:sz="0" w:space="0" w:color="auto"/>
      </w:divBdr>
    </w:div>
    <w:div w:id="1320646427">
      <w:bodyDiv w:val="1"/>
      <w:marLeft w:val="0"/>
      <w:marRight w:val="0"/>
      <w:marTop w:val="0"/>
      <w:marBottom w:val="0"/>
      <w:divBdr>
        <w:top w:val="none" w:sz="0" w:space="0" w:color="auto"/>
        <w:left w:val="none" w:sz="0" w:space="0" w:color="auto"/>
        <w:bottom w:val="none" w:sz="0" w:space="0" w:color="auto"/>
        <w:right w:val="none" w:sz="0" w:space="0" w:color="auto"/>
      </w:divBdr>
    </w:div>
    <w:div w:id="1422262827">
      <w:bodyDiv w:val="1"/>
      <w:marLeft w:val="0"/>
      <w:marRight w:val="0"/>
      <w:marTop w:val="0"/>
      <w:marBottom w:val="0"/>
      <w:divBdr>
        <w:top w:val="none" w:sz="0" w:space="0" w:color="auto"/>
        <w:left w:val="none" w:sz="0" w:space="0" w:color="auto"/>
        <w:bottom w:val="none" w:sz="0" w:space="0" w:color="auto"/>
        <w:right w:val="none" w:sz="0" w:space="0" w:color="auto"/>
      </w:divBdr>
    </w:div>
    <w:div w:id="1489174846">
      <w:bodyDiv w:val="1"/>
      <w:marLeft w:val="0"/>
      <w:marRight w:val="0"/>
      <w:marTop w:val="0"/>
      <w:marBottom w:val="0"/>
      <w:divBdr>
        <w:top w:val="none" w:sz="0" w:space="0" w:color="auto"/>
        <w:left w:val="none" w:sz="0" w:space="0" w:color="auto"/>
        <w:bottom w:val="none" w:sz="0" w:space="0" w:color="auto"/>
        <w:right w:val="none" w:sz="0" w:space="0" w:color="auto"/>
      </w:divBdr>
      <w:divsChild>
        <w:div w:id="716200298">
          <w:marLeft w:val="0"/>
          <w:marRight w:val="0"/>
          <w:marTop w:val="0"/>
          <w:marBottom w:val="0"/>
          <w:divBdr>
            <w:top w:val="none" w:sz="0" w:space="0" w:color="auto"/>
            <w:left w:val="none" w:sz="0" w:space="0" w:color="auto"/>
            <w:bottom w:val="none" w:sz="0" w:space="0" w:color="auto"/>
            <w:right w:val="none" w:sz="0" w:space="0" w:color="auto"/>
          </w:divBdr>
          <w:divsChild>
            <w:div w:id="1496191135">
              <w:marLeft w:val="0"/>
              <w:marRight w:val="0"/>
              <w:marTop w:val="0"/>
              <w:marBottom w:val="0"/>
              <w:divBdr>
                <w:top w:val="none" w:sz="0" w:space="0" w:color="auto"/>
                <w:left w:val="none" w:sz="0" w:space="0" w:color="auto"/>
                <w:bottom w:val="none" w:sz="0" w:space="0" w:color="auto"/>
                <w:right w:val="none" w:sz="0" w:space="0" w:color="auto"/>
              </w:divBdr>
              <w:divsChild>
                <w:div w:id="453060489">
                  <w:marLeft w:val="0"/>
                  <w:marRight w:val="0"/>
                  <w:marTop w:val="0"/>
                  <w:marBottom w:val="600"/>
                  <w:divBdr>
                    <w:top w:val="none" w:sz="0" w:space="0" w:color="auto"/>
                    <w:left w:val="none" w:sz="0" w:space="0" w:color="auto"/>
                    <w:bottom w:val="none" w:sz="0" w:space="0" w:color="auto"/>
                    <w:right w:val="none" w:sz="0" w:space="0" w:color="auto"/>
                  </w:divBdr>
                  <w:divsChild>
                    <w:div w:id="521751444">
                      <w:marLeft w:val="0"/>
                      <w:marRight w:val="0"/>
                      <w:marTop w:val="0"/>
                      <w:marBottom w:val="0"/>
                      <w:divBdr>
                        <w:top w:val="none" w:sz="0" w:space="0" w:color="auto"/>
                        <w:left w:val="none" w:sz="0" w:space="0" w:color="auto"/>
                        <w:bottom w:val="none" w:sz="0" w:space="0" w:color="auto"/>
                        <w:right w:val="none" w:sz="0" w:space="0" w:color="auto"/>
                      </w:divBdr>
                      <w:divsChild>
                        <w:div w:id="17633168">
                          <w:marLeft w:val="0"/>
                          <w:marRight w:val="0"/>
                          <w:marTop w:val="0"/>
                          <w:marBottom w:val="0"/>
                          <w:divBdr>
                            <w:top w:val="none" w:sz="0" w:space="0" w:color="auto"/>
                            <w:left w:val="none" w:sz="0" w:space="0" w:color="auto"/>
                            <w:bottom w:val="none" w:sz="0" w:space="0" w:color="auto"/>
                            <w:right w:val="none" w:sz="0" w:space="0" w:color="auto"/>
                          </w:divBdr>
                          <w:divsChild>
                            <w:div w:id="364521048">
                              <w:marLeft w:val="0"/>
                              <w:marRight w:val="0"/>
                              <w:marTop w:val="0"/>
                              <w:marBottom w:val="0"/>
                              <w:divBdr>
                                <w:top w:val="none" w:sz="0" w:space="0" w:color="auto"/>
                                <w:left w:val="none" w:sz="0" w:space="0" w:color="auto"/>
                                <w:bottom w:val="none" w:sz="0" w:space="0" w:color="auto"/>
                                <w:right w:val="none" w:sz="0" w:space="0" w:color="auto"/>
                              </w:divBdr>
                              <w:divsChild>
                                <w:div w:id="121771400">
                                  <w:marLeft w:val="0"/>
                                  <w:marRight w:val="0"/>
                                  <w:marTop w:val="0"/>
                                  <w:marBottom w:val="0"/>
                                  <w:divBdr>
                                    <w:top w:val="none" w:sz="0" w:space="0" w:color="auto"/>
                                    <w:left w:val="none" w:sz="0" w:space="0" w:color="auto"/>
                                    <w:bottom w:val="none" w:sz="0" w:space="0" w:color="auto"/>
                                    <w:right w:val="none" w:sz="0" w:space="0" w:color="auto"/>
                                  </w:divBdr>
                                  <w:divsChild>
                                    <w:div w:id="310065583">
                                      <w:marLeft w:val="0"/>
                                      <w:marRight w:val="0"/>
                                      <w:marTop w:val="0"/>
                                      <w:marBottom w:val="0"/>
                                      <w:divBdr>
                                        <w:top w:val="none" w:sz="0" w:space="0" w:color="auto"/>
                                        <w:left w:val="none" w:sz="0" w:space="0" w:color="auto"/>
                                        <w:bottom w:val="none" w:sz="0" w:space="0" w:color="auto"/>
                                        <w:right w:val="none" w:sz="0" w:space="0" w:color="auto"/>
                                      </w:divBdr>
                                      <w:divsChild>
                                        <w:div w:id="1894927252">
                                          <w:marLeft w:val="0"/>
                                          <w:marRight w:val="0"/>
                                          <w:marTop w:val="0"/>
                                          <w:marBottom w:val="0"/>
                                          <w:divBdr>
                                            <w:top w:val="none" w:sz="0" w:space="0" w:color="auto"/>
                                            <w:left w:val="none" w:sz="0" w:space="0" w:color="auto"/>
                                            <w:bottom w:val="none" w:sz="0" w:space="0" w:color="auto"/>
                                            <w:right w:val="none" w:sz="0" w:space="0" w:color="auto"/>
                                          </w:divBdr>
                                          <w:divsChild>
                                            <w:div w:id="204415288">
                                              <w:marLeft w:val="0"/>
                                              <w:marRight w:val="0"/>
                                              <w:marTop w:val="0"/>
                                              <w:marBottom w:val="0"/>
                                              <w:divBdr>
                                                <w:top w:val="none" w:sz="0" w:space="0" w:color="auto"/>
                                                <w:left w:val="none" w:sz="0" w:space="0" w:color="auto"/>
                                                <w:bottom w:val="none" w:sz="0" w:space="0" w:color="auto"/>
                                                <w:right w:val="none" w:sz="0" w:space="0" w:color="auto"/>
                                              </w:divBdr>
                                              <w:divsChild>
                                                <w:div w:id="852647993">
                                                  <w:marLeft w:val="0"/>
                                                  <w:marRight w:val="0"/>
                                                  <w:marTop w:val="0"/>
                                                  <w:marBottom w:val="0"/>
                                                  <w:divBdr>
                                                    <w:top w:val="none" w:sz="0" w:space="0" w:color="auto"/>
                                                    <w:left w:val="none" w:sz="0" w:space="0" w:color="auto"/>
                                                    <w:bottom w:val="none" w:sz="0" w:space="0" w:color="auto"/>
                                                    <w:right w:val="none" w:sz="0" w:space="0" w:color="auto"/>
                                                  </w:divBdr>
                                                  <w:divsChild>
                                                    <w:div w:id="204046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87762727">
      <w:bodyDiv w:val="1"/>
      <w:marLeft w:val="0"/>
      <w:marRight w:val="0"/>
      <w:marTop w:val="0"/>
      <w:marBottom w:val="0"/>
      <w:divBdr>
        <w:top w:val="none" w:sz="0" w:space="0" w:color="auto"/>
        <w:left w:val="none" w:sz="0" w:space="0" w:color="auto"/>
        <w:bottom w:val="none" w:sz="0" w:space="0" w:color="auto"/>
        <w:right w:val="none" w:sz="0" w:space="0" w:color="auto"/>
      </w:divBdr>
    </w:div>
    <w:div w:id="172609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dn.ymaws.com/www.iap2.org/resource/resmgr/foundations_course/IAP2_Spectrum_vertic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2E962-5588-4062-906E-CD6D64B426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2713</Words>
  <Characters>15468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2023-12-22T01:27:00Z</dcterms:created>
  <dcterms:modified xsi:type="dcterms:W3CDTF">2023-12-22T01:31:00Z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dc493f9ccb169e11aa109336a19bd984b8e4ea25c546cf8e526484baf7745f2f</vt:lpwstr>
  </property>
</Properties>
</file>