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B22A0" w14:textId="77777777" w:rsidR="00091F39" w:rsidRDefault="00091F39" w:rsidP="00091F39">
      <w:pPr>
        <w:spacing w:after="0"/>
        <w:rPr>
          <w:b/>
          <w:bCs/>
          <w:sz w:val="40"/>
          <w:szCs w:val="40"/>
        </w:rPr>
      </w:pPr>
    </w:p>
    <w:p w14:paraId="105D7442" w14:textId="77777777" w:rsidR="00EB7E10" w:rsidRDefault="00EB7E10" w:rsidP="00091F39">
      <w:pPr>
        <w:spacing w:after="0"/>
        <w:rPr>
          <w:b/>
          <w:bCs/>
          <w:sz w:val="40"/>
          <w:szCs w:val="40"/>
        </w:rPr>
      </w:pPr>
    </w:p>
    <w:p w14:paraId="5F1F535A" w14:textId="77777777" w:rsidR="00EB7E10" w:rsidRPr="00683BA1" w:rsidRDefault="00EB7E10" w:rsidP="004E3C34">
      <w:pPr>
        <w:jc w:val="center"/>
        <w:rPr>
          <w:b/>
          <w:sz w:val="32"/>
          <w:szCs w:val="32"/>
        </w:rPr>
      </w:pPr>
      <w:r w:rsidRPr="00683BA1">
        <w:rPr>
          <w:b/>
          <w:sz w:val="32"/>
          <w:szCs w:val="32"/>
        </w:rPr>
        <w:t>Programme: Master of Business Administration</w:t>
      </w:r>
    </w:p>
    <w:p w14:paraId="4FCD8673" w14:textId="77777777" w:rsidR="00EB7E10" w:rsidRPr="00683BA1" w:rsidRDefault="00EB7E10" w:rsidP="004E3C34">
      <w:pPr>
        <w:jc w:val="center"/>
        <w:rPr>
          <w:b/>
          <w:sz w:val="32"/>
          <w:szCs w:val="32"/>
        </w:rPr>
      </w:pPr>
      <w:r w:rsidRPr="00683BA1">
        <w:rPr>
          <w:b/>
          <w:sz w:val="32"/>
          <w:szCs w:val="32"/>
        </w:rPr>
        <w:t>Modul</w:t>
      </w:r>
      <w:r>
        <w:rPr>
          <w:b/>
          <w:sz w:val="32"/>
          <w:szCs w:val="32"/>
        </w:rPr>
        <w:t xml:space="preserve">e </w:t>
      </w:r>
      <w:r w:rsidRPr="00683BA1">
        <w:rPr>
          <w:b/>
          <w:sz w:val="32"/>
          <w:szCs w:val="32"/>
        </w:rPr>
        <w:t>: Human Capital Management</w:t>
      </w:r>
      <w:r>
        <w:rPr>
          <w:b/>
          <w:sz w:val="32"/>
          <w:szCs w:val="32"/>
        </w:rPr>
        <w:t xml:space="preserve"> component 1 </w:t>
      </w:r>
    </w:p>
    <w:p w14:paraId="1AABD30E" w14:textId="77777777" w:rsidR="00EB7E10" w:rsidRPr="00683BA1" w:rsidRDefault="00EB7E10" w:rsidP="004E3C34">
      <w:pPr>
        <w:jc w:val="center"/>
        <w:rPr>
          <w:b/>
          <w:sz w:val="32"/>
          <w:szCs w:val="32"/>
        </w:rPr>
      </w:pPr>
      <w:r w:rsidRPr="00683BA1">
        <w:rPr>
          <w:b/>
          <w:sz w:val="32"/>
          <w:szCs w:val="32"/>
        </w:rPr>
        <w:t>Module Code: LCMB7023</w:t>
      </w:r>
    </w:p>
    <w:p w14:paraId="4CCC7B6E" w14:textId="713F0415" w:rsidR="00EB7E10" w:rsidRPr="00683BA1" w:rsidRDefault="00EB7E10" w:rsidP="004E3C34">
      <w:pPr>
        <w:jc w:val="center"/>
        <w:rPr>
          <w:b/>
          <w:sz w:val="32"/>
          <w:szCs w:val="32"/>
        </w:rPr>
      </w:pPr>
      <w:r w:rsidRPr="00683BA1">
        <w:rPr>
          <w:b/>
          <w:sz w:val="32"/>
          <w:szCs w:val="32"/>
        </w:rPr>
        <w:t xml:space="preserve">Student Name: </w:t>
      </w:r>
      <w:r w:rsidR="007C03D4">
        <w:rPr>
          <w:b/>
          <w:sz w:val="32"/>
          <w:szCs w:val="32"/>
        </w:rPr>
        <w:t>JAYBHAI RAJENDRABHAI JOSHI</w:t>
      </w:r>
    </w:p>
    <w:p w14:paraId="5BA7FF67" w14:textId="01FAEDB5" w:rsidR="00EB7E10" w:rsidRPr="00683BA1" w:rsidRDefault="00EB7E10" w:rsidP="004E3C34">
      <w:pPr>
        <w:jc w:val="center"/>
        <w:rPr>
          <w:b/>
          <w:sz w:val="32"/>
          <w:szCs w:val="32"/>
        </w:rPr>
      </w:pPr>
      <w:r w:rsidRPr="00683BA1">
        <w:rPr>
          <w:b/>
          <w:sz w:val="32"/>
          <w:szCs w:val="32"/>
        </w:rPr>
        <w:t xml:space="preserve">ID: </w:t>
      </w:r>
      <w:r w:rsidR="002115B9">
        <w:rPr>
          <w:b/>
          <w:sz w:val="32"/>
          <w:szCs w:val="32"/>
        </w:rPr>
        <w:t>2604116</w:t>
      </w:r>
    </w:p>
    <w:p w14:paraId="56FE0774" w14:textId="77777777" w:rsidR="00EB7E10" w:rsidRPr="00683BA1" w:rsidRDefault="00EB7E10" w:rsidP="004E3C34">
      <w:pPr>
        <w:jc w:val="center"/>
        <w:rPr>
          <w:b/>
          <w:sz w:val="32"/>
          <w:szCs w:val="32"/>
        </w:rPr>
      </w:pPr>
      <w:r w:rsidRPr="00683BA1">
        <w:rPr>
          <w:b/>
          <w:sz w:val="32"/>
          <w:szCs w:val="32"/>
        </w:rPr>
        <w:t>Date of Submission: 15</w:t>
      </w:r>
      <w:r w:rsidRPr="00683BA1">
        <w:rPr>
          <w:b/>
          <w:sz w:val="32"/>
          <w:szCs w:val="32"/>
          <w:vertAlign w:val="superscript"/>
        </w:rPr>
        <w:t>th</w:t>
      </w:r>
      <w:r w:rsidRPr="00683BA1">
        <w:rPr>
          <w:b/>
          <w:sz w:val="32"/>
          <w:szCs w:val="32"/>
        </w:rPr>
        <w:t xml:space="preserve"> October 2026</w:t>
      </w:r>
    </w:p>
    <w:p w14:paraId="2F11F636" w14:textId="77777777" w:rsidR="00EB7E10" w:rsidRDefault="00EB7E10" w:rsidP="00EB7E10">
      <w:pPr>
        <w:spacing w:after="0"/>
        <w:jc w:val="center"/>
        <w:rPr>
          <w:b/>
          <w:bCs/>
          <w:sz w:val="40"/>
          <w:szCs w:val="40"/>
        </w:rPr>
      </w:pPr>
    </w:p>
    <w:p w14:paraId="15F0328B" w14:textId="77777777" w:rsidR="00091F39" w:rsidRDefault="00091F39" w:rsidP="00091F39">
      <w:pPr>
        <w:spacing w:after="0"/>
        <w:rPr>
          <w:b/>
          <w:bCs/>
          <w:sz w:val="40"/>
          <w:szCs w:val="40"/>
        </w:rPr>
      </w:pPr>
    </w:p>
    <w:p w14:paraId="4F5E12EF" w14:textId="77777777" w:rsidR="00091F39" w:rsidRDefault="00091F39" w:rsidP="00091F39">
      <w:pPr>
        <w:spacing w:after="0"/>
        <w:rPr>
          <w:b/>
          <w:bCs/>
          <w:sz w:val="40"/>
          <w:szCs w:val="40"/>
        </w:rPr>
      </w:pPr>
    </w:p>
    <w:p w14:paraId="6A7D89AA" w14:textId="77777777" w:rsidR="00091F39" w:rsidRDefault="00091F39" w:rsidP="00091F39">
      <w:pPr>
        <w:spacing w:after="0"/>
        <w:rPr>
          <w:b/>
          <w:bCs/>
          <w:sz w:val="40"/>
          <w:szCs w:val="40"/>
        </w:rPr>
      </w:pPr>
    </w:p>
    <w:p w14:paraId="2DA98E21" w14:textId="77777777" w:rsidR="00091F39" w:rsidRDefault="00091F39" w:rsidP="00091F39">
      <w:pPr>
        <w:spacing w:after="0"/>
        <w:rPr>
          <w:b/>
          <w:bCs/>
          <w:sz w:val="40"/>
          <w:szCs w:val="40"/>
        </w:rPr>
      </w:pPr>
    </w:p>
    <w:p w14:paraId="0DBEDF12" w14:textId="77777777" w:rsidR="00091F39" w:rsidRDefault="00091F39" w:rsidP="00091F39">
      <w:pPr>
        <w:spacing w:after="0"/>
        <w:rPr>
          <w:b/>
          <w:bCs/>
          <w:sz w:val="40"/>
          <w:szCs w:val="40"/>
        </w:rPr>
      </w:pPr>
    </w:p>
    <w:p w14:paraId="0BB10B21" w14:textId="203C38B8" w:rsidR="00091F39" w:rsidRPr="00091F39" w:rsidRDefault="00091F39" w:rsidP="00217D6C">
      <w:pPr>
        <w:spacing w:after="0"/>
        <w:rPr>
          <w:b/>
          <w:bCs/>
          <w:sz w:val="40"/>
          <w:szCs w:val="40"/>
        </w:rPr>
      </w:pPr>
    </w:p>
    <w:p w14:paraId="26BEBF8F" w14:textId="77777777" w:rsidR="00091F39" w:rsidRDefault="00091F39">
      <w:pPr>
        <w:rPr>
          <w:b/>
          <w:bCs/>
        </w:rPr>
      </w:pPr>
      <w:r>
        <w:rPr>
          <w:b/>
          <w:bCs/>
        </w:rPr>
        <w:br w:type="page"/>
      </w:r>
    </w:p>
    <w:p w14:paraId="40B7928F" w14:textId="2204A1C5" w:rsidR="005E4865" w:rsidRDefault="00097167">
      <w:pPr>
        <w:spacing w:after="0"/>
        <w:jc w:val="center"/>
        <w:rPr>
          <w:b/>
          <w:bCs/>
        </w:rPr>
      </w:pPr>
      <w:r>
        <w:rPr>
          <w:b/>
          <w:bCs/>
        </w:rPr>
        <w:lastRenderedPageBreak/>
        <w:t>Table of Contents</w:t>
      </w:r>
    </w:p>
    <w:sdt>
      <w:sdtPr>
        <w:id w:val="1436046690"/>
        <w:docPartObj>
          <w:docPartGallery w:val="Table of Contents"/>
          <w:docPartUnique/>
        </w:docPartObj>
      </w:sdtPr>
      <w:sdtEndPr/>
      <w:sdtContent>
        <w:p w14:paraId="338F2AD3" w14:textId="60FC1BCE" w:rsidR="00091F39" w:rsidRDefault="005973A6">
          <w:pPr>
            <w:pStyle w:val="TOC1"/>
            <w:tabs>
              <w:tab w:val="right" w:leader="dot" w:pos="9350"/>
            </w:tabs>
            <w:rPr>
              <w:noProof/>
            </w:rPr>
          </w:pPr>
          <w:r>
            <w:fldChar w:fldCharType="begin"/>
          </w:r>
          <w:r w:rsidR="00097167">
            <w:instrText xml:space="preserve"> TOC \h \u \z \t "Heading 1,1,Heading 2,2,Heading 3,3,Heading 4,4,Heading 5,5,Heading 6,6,"</w:instrText>
          </w:r>
          <w:r>
            <w:fldChar w:fldCharType="separate"/>
          </w:r>
          <w:hyperlink w:anchor="_Toc242703323" w:history="1">
            <w:r w:rsidR="00091F39" w:rsidRPr="00170CBB">
              <w:rPr>
                <w:rStyle w:val="Hyperlink"/>
                <w:noProof/>
              </w:rPr>
              <w:t>Introduction</w:t>
            </w:r>
            <w:r w:rsidR="00091F39">
              <w:rPr>
                <w:noProof/>
                <w:webHidden/>
              </w:rPr>
              <w:tab/>
            </w:r>
            <w:r w:rsidR="00091F39">
              <w:rPr>
                <w:noProof/>
                <w:webHidden/>
              </w:rPr>
              <w:fldChar w:fldCharType="begin"/>
            </w:r>
            <w:r w:rsidR="00091F39">
              <w:rPr>
                <w:noProof/>
                <w:webHidden/>
              </w:rPr>
              <w:instrText xml:space="preserve"> PAGEREF _Toc242703323 \h </w:instrText>
            </w:r>
            <w:r w:rsidR="00091F39">
              <w:rPr>
                <w:noProof/>
                <w:webHidden/>
              </w:rPr>
            </w:r>
            <w:r w:rsidR="00091F39">
              <w:rPr>
                <w:noProof/>
                <w:webHidden/>
              </w:rPr>
              <w:fldChar w:fldCharType="separate"/>
            </w:r>
            <w:r w:rsidR="005758A0">
              <w:rPr>
                <w:noProof/>
                <w:webHidden/>
              </w:rPr>
              <w:t>3</w:t>
            </w:r>
            <w:r w:rsidR="00091F39">
              <w:rPr>
                <w:noProof/>
                <w:webHidden/>
              </w:rPr>
              <w:fldChar w:fldCharType="end"/>
            </w:r>
          </w:hyperlink>
        </w:p>
        <w:p w14:paraId="166AAD62" w14:textId="64525155" w:rsidR="00091F39" w:rsidRDefault="00091F39">
          <w:pPr>
            <w:pStyle w:val="TOC1"/>
            <w:tabs>
              <w:tab w:val="right" w:leader="dot" w:pos="9350"/>
            </w:tabs>
            <w:rPr>
              <w:noProof/>
            </w:rPr>
          </w:pPr>
          <w:hyperlink w:anchor="_Toc242703324" w:history="1">
            <w:r w:rsidRPr="00170CBB">
              <w:rPr>
                <w:rStyle w:val="Hyperlink"/>
                <w:noProof/>
              </w:rPr>
              <w:t>Task A: Designing Innovative Working Practices</w:t>
            </w:r>
            <w:r>
              <w:rPr>
                <w:noProof/>
                <w:webHidden/>
              </w:rPr>
              <w:tab/>
            </w:r>
            <w:r>
              <w:rPr>
                <w:noProof/>
                <w:webHidden/>
              </w:rPr>
              <w:fldChar w:fldCharType="begin"/>
            </w:r>
            <w:r>
              <w:rPr>
                <w:noProof/>
                <w:webHidden/>
              </w:rPr>
              <w:instrText xml:space="preserve"> PAGEREF _Toc242703324 \h </w:instrText>
            </w:r>
            <w:r>
              <w:rPr>
                <w:noProof/>
                <w:webHidden/>
              </w:rPr>
            </w:r>
            <w:r>
              <w:rPr>
                <w:noProof/>
                <w:webHidden/>
              </w:rPr>
              <w:fldChar w:fldCharType="separate"/>
            </w:r>
            <w:r w:rsidR="005758A0">
              <w:rPr>
                <w:noProof/>
                <w:webHidden/>
              </w:rPr>
              <w:t>4</w:t>
            </w:r>
            <w:r>
              <w:rPr>
                <w:noProof/>
                <w:webHidden/>
              </w:rPr>
              <w:fldChar w:fldCharType="end"/>
            </w:r>
          </w:hyperlink>
        </w:p>
        <w:p w14:paraId="158A3C15" w14:textId="3E539FE6" w:rsidR="00091F39" w:rsidRDefault="00091F39">
          <w:pPr>
            <w:pStyle w:val="TOC2"/>
            <w:tabs>
              <w:tab w:val="right" w:leader="dot" w:pos="9350"/>
            </w:tabs>
            <w:rPr>
              <w:noProof/>
            </w:rPr>
          </w:pPr>
          <w:hyperlink w:anchor="_Toc242703325" w:history="1">
            <w:r w:rsidRPr="00170CBB">
              <w:rPr>
                <w:rStyle w:val="Hyperlink"/>
                <w:noProof/>
              </w:rPr>
              <w:t>1.1 Critical Evaluation of Traditional Work Design and Contemporary Innovative Working Practices</w:t>
            </w:r>
            <w:r>
              <w:rPr>
                <w:noProof/>
                <w:webHidden/>
              </w:rPr>
              <w:tab/>
            </w:r>
            <w:r>
              <w:rPr>
                <w:noProof/>
                <w:webHidden/>
              </w:rPr>
              <w:fldChar w:fldCharType="begin"/>
            </w:r>
            <w:r>
              <w:rPr>
                <w:noProof/>
                <w:webHidden/>
              </w:rPr>
              <w:instrText xml:space="preserve"> PAGEREF _Toc242703325 \h </w:instrText>
            </w:r>
            <w:r>
              <w:rPr>
                <w:noProof/>
                <w:webHidden/>
              </w:rPr>
            </w:r>
            <w:r>
              <w:rPr>
                <w:noProof/>
                <w:webHidden/>
              </w:rPr>
              <w:fldChar w:fldCharType="separate"/>
            </w:r>
            <w:r w:rsidR="005758A0">
              <w:rPr>
                <w:noProof/>
                <w:webHidden/>
              </w:rPr>
              <w:t>4</w:t>
            </w:r>
            <w:r>
              <w:rPr>
                <w:noProof/>
                <w:webHidden/>
              </w:rPr>
              <w:fldChar w:fldCharType="end"/>
            </w:r>
          </w:hyperlink>
        </w:p>
        <w:p w14:paraId="732F9CEF" w14:textId="4B4C7BAB" w:rsidR="00091F39" w:rsidRDefault="00091F39">
          <w:pPr>
            <w:pStyle w:val="TOC2"/>
            <w:tabs>
              <w:tab w:val="right" w:leader="dot" w:pos="9350"/>
            </w:tabs>
            <w:rPr>
              <w:noProof/>
            </w:rPr>
          </w:pPr>
          <w:hyperlink w:anchor="_Toc242703326" w:history="1">
            <w:r w:rsidRPr="00170CBB">
              <w:rPr>
                <w:rStyle w:val="Hyperlink"/>
                <w:noProof/>
              </w:rPr>
              <w:t>1.2 Recommended Innovative Working Practices for NHSX</w:t>
            </w:r>
            <w:r>
              <w:rPr>
                <w:noProof/>
                <w:webHidden/>
              </w:rPr>
              <w:tab/>
            </w:r>
            <w:r>
              <w:rPr>
                <w:noProof/>
                <w:webHidden/>
              </w:rPr>
              <w:fldChar w:fldCharType="begin"/>
            </w:r>
            <w:r>
              <w:rPr>
                <w:noProof/>
                <w:webHidden/>
              </w:rPr>
              <w:instrText xml:space="preserve"> PAGEREF _Toc242703326 \h </w:instrText>
            </w:r>
            <w:r>
              <w:rPr>
                <w:noProof/>
                <w:webHidden/>
              </w:rPr>
            </w:r>
            <w:r>
              <w:rPr>
                <w:noProof/>
                <w:webHidden/>
              </w:rPr>
              <w:fldChar w:fldCharType="separate"/>
            </w:r>
            <w:r w:rsidR="005758A0">
              <w:rPr>
                <w:noProof/>
                <w:webHidden/>
              </w:rPr>
              <w:t>8</w:t>
            </w:r>
            <w:r>
              <w:rPr>
                <w:noProof/>
                <w:webHidden/>
              </w:rPr>
              <w:fldChar w:fldCharType="end"/>
            </w:r>
          </w:hyperlink>
        </w:p>
        <w:p w14:paraId="04A47C95" w14:textId="0ACC0239" w:rsidR="00091F39" w:rsidRDefault="00091F39">
          <w:pPr>
            <w:pStyle w:val="TOC1"/>
            <w:tabs>
              <w:tab w:val="right" w:leader="dot" w:pos="9350"/>
            </w:tabs>
            <w:rPr>
              <w:noProof/>
            </w:rPr>
          </w:pPr>
          <w:hyperlink w:anchor="_Toc242703327" w:history="1">
            <w:r w:rsidRPr="00170CBB">
              <w:rPr>
                <w:rStyle w:val="Hyperlink"/>
                <w:noProof/>
              </w:rPr>
              <w:t>Task B: Breeding an Environment Where Talent May Grow</w:t>
            </w:r>
            <w:r>
              <w:rPr>
                <w:noProof/>
                <w:webHidden/>
              </w:rPr>
              <w:tab/>
            </w:r>
            <w:r>
              <w:rPr>
                <w:noProof/>
                <w:webHidden/>
              </w:rPr>
              <w:fldChar w:fldCharType="begin"/>
            </w:r>
            <w:r>
              <w:rPr>
                <w:noProof/>
                <w:webHidden/>
              </w:rPr>
              <w:instrText xml:space="preserve"> PAGEREF _Toc242703327 \h </w:instrText>
            </w:r>
            <w:r>
              <w:rPr>
                <w:noProof/>
                <w:webHidden/>
              </w:rPr>
            </w:r>
            <w:r>
              <w:rPr>
                <w:noProof/>
                <w:webHidden/>
              </w:rPr>
              <w:fldChar w:fldCharType="separate"/>
            </w:r>
            <w:r w:rsidR="005758A0">
              <w:rPr>
                <w:noProof/>
                <w:webHidden/>
              </w:rPr>
              <w:t>12</w:t>
            </w:r>
            <w:r>
              <w:rPr>
                <w:noProof/>
                <w:webHidden/>
              </w:rPr>
              <w:fldChar w:fldCharType="end"/>
            </w:r>
          </w:hyperlink>
        </w:p>
        <w:p w14:paraId="354C0811" w14:textId="2CE3A90D" w:rsidR="00091F39" w:rsidRDefault="00091F39">
          <w:pPr>
            <w:pStyle w:val="TOC2"/>
            <w:tabs>
              <w:tab w:val="right" w:leader="dot" w:pos="9350"/>
            </w:tabs>
            <w:rPr>
              <w:noProof/>
            </w:rPr>
          </w:pPr>
          <w:hyperlink w:anchor="_Toc242703328" w:history="1">
            <w:r w:rsidRPr="00170CBB">
              <w:rPr>
                <w:rStyle w:val="Hyperlink"/>
                <w:noProof/>
              </w:rPr>
              <w:t>2.1 Designing a strategic talent ecosystem to enhance the potential of human capital</w:t>
            </w:r>
            <w:r>
              <w:rPr>
                <w:noProof/>
                <w:webHidden/>
              </w:rPr>
              <w:tab/>
            </w:r>
            <w:r>
              <w:rPr>
                <w:noProof/>
                <w:webHidden/>
              </w:rPr>
              <w:fldChar w:fldCharType="begin"/>
            </w:r>
            <w:r>
              <w:rPr>
                <w:noProof/>
                <w:webHidden/>
              </w:rPr>
              <w:instrText xml:space="preserve"> PAGEREF _Toc242703328 \h </w:instrText>
            </w:r>
            <w:r>
              <w:rPr>
                <w:noProof/>
                <w:webHidden/>
              </w:rPr>
            </w:r>
            <w:r>
              <w:rPr>
                <w:noProof/>
                <w:webHidden/>
              </w:rPr>
              <w:fldChar w:fldCharType="separate"/>
            </w:r>
            <w:r w:rsidR="005758A0">
              <w:rPr>
                <w:noProof/>
                <w:webHidden/>
              </w:rPr>
              <w:t>12</w:t>
            </w:r>
            <w:r>
              <w:rPr>
                <w:noProof/>
                <w:webHidden/>
              </w:rPr>
              <w:fldChar w:fldCharType="end"/>
            </w:r>
          </w:hyperlink>
        </w:p>
        <w:p w14:paraId="40DE46E6" w14:textId="0A779CB0" w:rsidR="00091F39" w:rsidRDefault="00091F39">
          <w:pPr>
            <w:pStyle w:val="TOC2"/>
            <w:tabs>
              <w:tab w:val="right" w:leader="dot" w:pos="9350"/>
            </w:tabs>
            <w:rPr>
              <w:noProof/>
            </w:rPr>
          </w:pPr>
          <w:hyperlink w:anchor="_Toc242703329" w:history="1">
            <w:r w:rsidRPr="00170CBB">
              <w:rPr>
                <w:rStyle w:val="Hyperlink"/>
                <w:noProof/>
              </w:rPr>
              <w:t>2.2 Proposed talent growth strategy for NHSX</w:t>
            </w:r>
            <w:r>
              <w:rPr>
                <w:noProof/>
                <w:webHidden/>
              </w:rPr>
              <w:tab/>
            </w:r>
            <w:r>
              <w:rPr>
                <w:noProof/>
                <w:webHidden/>
              </w:rPr>
              <w:fldChar w:fldCharType="begin"/>
            </w:r>
            <w:r>
              <w:rPr>
                <w:noProof/>
                <w:webHidden/>
              </w:rPr>
              <w:instrText xml:space="preserve"> PAGEREF _Toc242703329 \h </w:instrText>
            </w:r>
            <w:r>
              <w:rPr>
                <w:noProof/>
                <w:webHidden/>
              </w:rPr>
            </w:r>
            <w:r>
              <w:rPr>
                <w:noProof/>
                <w:webHidden/>
              </w:rPr>
              <w:fldChar w:fldCharType="separate"/>
            </w:r>
            <w:r w:rsidR="005758A0">
              <w:rPr>
                <w:noProof/>
                <w:webHidden/>
              </w:rPr>
              <w:t>14</w:t>
            </w:r>
            <w:r>
              <w:rPr>
                <w:noProof/>
                <w:webHidden/>
              </w:rPr>
              <w:fldChar w:fldCharType="end"/>
            </w:r>
          </w:hyperlink>
        </w:p>
        <w:p w14:paraId="2A52AD6A" w14:textId="2F783435" w:rsidR="00091F39" w:rsidRDefault="00091F39">
          <w:pPr>
            <w:pStyle w:val="TOC2"/>
            <w:tabs>
              <w:tab w:val="right" w:leader="dot" w:pos="9350"/>
            </w:tabs>
            <w:rPr>
              <w:noProof/>
            </w:rPr>
          </w:pPr>
          <w:hyperlink w:anchor="_Toc242703330" w:history="1">
            <w:r w:rsidRPr="00170CBB">
              <w:rPr>
                <w:rStyle w:val="Hyperlink"/>
                <w:noProof/>
              </w:rPr>
              <w:t>2.3 Implementation, Measurement, and Risks</w:t>
            </w:r>
            <w:r>
              <w:rPr>
                <w:noProof/>
                <w:webHidden/>
              </w:rPr>
              <w:tab/>
            </w:r>
            <w:r>
              <w:rPr>
                <w:noProof/>
                <w:webHidden/>
              </w:rPr>
              <w:fldChar w:fldCharType="begin"/>
            </w:r>
            <w:r>
              <w:rPr>
                <w:noProof/>
                <w:webHidden/>
              </w:rPr>
              <w:instrText xml:space="preserve"> PAGEREF _Toc242703330 \h </w:instrText>
            </w:r>
            <w:r>
              <w:rPr>
                <w:noProof/>
                <w:webHidden/>
              </w:rPr>
            </w:r>
            <w:r>
              <w:rPr>
                <w:noProof/>
                <w:webHidden/>
              </w:rPr>
              <w:fldChar w:fldCharType="separate"/>
            </w:r>
            <w:r w:rsidR="005758A0">
              <w:rPr>
                <w:noProof/>
                <w:webHidden/>
              </w:rPr>
              <w:t>17</w:t>
            </w:r>
            <w:r>
              <w:rPr>
                <w:noProof/>
                <w:webHidden/>
              </w:rPr>
              <w:fldChar w:fldCharType="end"/>
            </w:r>
          </w:hyperlink>
        </w:p>
        <w:p w14:paraId="40D37667" w14:textId="54BEFD55" w:rsidR="00091F39" w:rsidRDefault="00091F39">
          <w:pPr>
            <w:pStyle w:val="TOC1"/>
            <w:tabs>
              <w:tab w:val="right" w:leader="dot" w:pos="9350"/>
            </w:tabs>
            <w:rPr>
              <w:noProof/>
            </w:rPr>
          </w:pPr>
          <w:hyperlink w:anchor="_Toc242703331" w:history="1">
            <w:r w:rsidRPr="00170CBB">
              <w:rPr>
                <w:rStyle w:val="Hyperlink"/>
                <w:noProof/>
              </w:rPr>
              <w:t>Task C: Reflective report</w:t>
            </w:r>
            <w:r>
              <w:rPr>
                <w:noProof/>
                <w:webHidden/>
              </w:rPr>
              <w:tab/>
            </w:r>
            <w:r>
              <w:rPr>
                <w:noProof/>
                <w:webHidden/>
              </w:rPr>
              <w:fldChar w:fldCharType="begin"/>
            </w:r>
            <w:r>
              <w:rPr>
                <w:noProof/>
                <w:webHidden/>
              </w:rPr>
              <w:instrText xml:space="preserve"> PAGEREF _Toc242703331 \h </w:instrText>
            </w:r>
            <w:r>
              <w:rPr>
                <w:noProof/>
                <w:webHidden/>
              </w:rPr>
            </w:r>
            <w:r>
              <w:rPr>
                <w:noProof/>
                <w:webHidden/>
              </w:rPr>
              <w:fldChar w:fldCharType="separate"/>
            </w:r>
            <w:r w:rsidR="005758A0">
              <w:rPr>
                <w:noProof/>
                <w:webHidden/>
              </w:rPr>
              <w:t>20</w:t>
            </w:r>
            <w:r>
              <w:rPr>
                <w:noProof/>
                <w:webHidden/>
              </w:rPr>
              <w:fldChar w:fldCharType="end"/>
            </w:r>
          </w:hyperlink>
        </w:p>
        <w:p w14:paraId="0B721E6B" w14:textId="107504FD" w:rsidR="00091F39" w:rsidRDefault="00091F39">
          <w:pPr>
            <w:pStyle w:val="TOC2"/>
            <w:tabs>
              <w:tab w:val="right" w:leader="dot" w:pos="9350"/>
            </w:tabs>
            <w:rPr>
              <w:noProof/>
            </w:rPr>
          </w:pPr>
          <w:hyperlink w:anchor="_Toc242703332" w:history="1">
            <w:r w:rsidRPr="00170CBB">
              <w:rPr>
                <w:rStyle w:val="Hyperlink"/>
                <w:noProof/>
              </w:rPr>
              <w:t>Description</w:t>
            </w:r>
            <w:r>
              <w:rPr>
                <w:noProof/>
                <w:webHidden/>
              </w:rPr>
              <w:tab/>
            </w:r>
            <w:r>
              <w:rPr>
                <w:noProof/>
                <w:webHidden/>
              </w:rPr>
              <w:fldChar w:fldCharType="begin"/>
            </w:r>
            <w:r>
              <w:rPr>
                <w:noProof/>
                <w:webHidden/>
              </w:rPr>
              <w:instrText xml:space="preserve"> PAGEREF _Toc242703332 \h </w:instrText>
            </w:r>
            <w:r>
              <w:rPr>
                <w:noProof/>
                <w:webHidden/>
              </w:rPr>
            </w:r>
            <w:r>
              <w:rPr>
                <w:noProof/>
                <w:webHidden/>
              </w:rPr>
              <w:fldChar w:fldCharType="separate"/>
            </w:r>
            <w:r w:rsidR="005758A0">
              <w:rPr>
                <w:noProof/>
                <w:webHidden/>
              </w:rPr>
              <w:t>20</w:t>
            </w:r>
            <w:r>
              <w:rPr>
                <w:noProof/>
                <w:webHidden/>
              </w:rPr>
              <w:fldChar w:fldCharType="end"/>
            </w:r>
          </w:hyperlink>
        </w:p>
        <w:p w14:paraId="3405AFE9" w14:textId="4D642055" w:rsidR="00091F39" w:rsidRDefault="00091F39">
          <w:pPr>
            <w:pStyle w:val="TOC2"/>
            <w:tabs>
              <w:tab w:val="right" w:leader="dot" w:pos="9350"/>
            </w:tabs>
            <w:rPr>
              <w:noProof/>
            </w:rPr>
          </w:pPr>
          <w:hyperlink w:anchor="_Toc242703333" w:history="1">
            <w:r w:rsidRPr="00170CBB">
              <w:rPr>
                <w:rStyle w:val="Hyperlink"/>
                <w:noProof/>
              </w:rPr>
              <w:t>Feelings</w:t>
            </w:r>
            <w:r>
              <w:rPr>
                <w:noProof/>
                <w:webHidden/>
              </w:rPr>
              <w:tab/>
            </w:r>
            <w:r>
              <w:rPr>
                <w:noProof/>
                <w:webHidden/>
              </w:rPr>
              <w:fldChar w:fldCharType="begin"/>
            </w:r>
            <w:r>
              <w:rPr>
                <w:noProof/>
                <w:webHidden/>
              </w:rPr>
              <w:instrText xml:space="preserve"> PAGEREF _Toc242703333 \h </w:instrText>
            </w:r>
            <w:r>
              <w:rPr>
                <w:noProof/>
                <w:webHidden/>
              </w:rPr>
            </w:r>
            <w:r>
              <w:rPr>
                <w:noProof/>
                <w:webHidden/>
              </w:rPr>
              <w:fldChar w:fldCharType="separate"/>
            </w:r>
            <w:r w:rsidR="005758A0">
              <w:rPr>
                <w:noProof/>
                <w:webHidden/>
              </w:rPr>
              <w:t>20</w:t>
            </w:r>
            <w:r>
              <w:rPr>
                <w:noProof/>
                <w:webHidden/>
              </w:rPr>
              <w:fldChar w:fldCharType="end"/>
            </w:r>
          </w:hyperlink>
        </w:p>
        <w:p w14:paraId="593A4A98" w14:textId="4FACFA3D" w:rsidR="00091F39" w:rsidRDefault="00091F39">
          <w:pPr>
            <w:pStyle w:val="TOC2"/>
            <w:tabs>
              <w:tab w:val="right" w:leader="dot" w:pos="9350"/>
            </w:tabs>
            <w:rPr>
              <w:noProof/>
            </w:rPr>
          </w:pPr>
          <w:hyperlink w:anchor="_Toc242703334" w:history="1">
            <w:r w:rsidRPr="00170CBB">
              <w:rPr>
                <w:rStyle w:val="Hyperlink"/>
                <w:noProof/>
              </w:rPr>
              <w:t>Evaluation</w:t>
            </w:r>
            <w:r>
              <w:rPr>
                <w:noProof/>
                <w:webHidden/>
              </w:rPr>
              <w:tab/>
            </w:r>
            <w:r>
              <w:rPr>
                <w:noProof/>
                <w:webHidden/>
              </w:rPr>
              <w:fldChar w:fldCharType="begin"/>
            </w:r>
            <w:r>
              <w:rPr>
                <w:noProof/>
                <w:webHidden/>
              </w:rPr>
              <w:instrText xml:space="preserve"> PAGEREF _Toc242703334 \h </w:instrText>
            </w:r>
            <w:r>
              <w:rPr>
                <w:noProof/>
                <w:webHidden/>
              </w:rPr>
            </w:r>
            <w:r>
              <w:rPr>
                <w:noProof/>
                <w:webHidden/>
              </w:rPr>
              <w:fldChar w:fldCharType="separate"/>
            </w:r>
            <w:r w:rsidR="005758A0">
              <w:rPr>
                <w:noProof/>
                <w:webHidden/>
              </w:rPr>
              <w:t>20</w:t>
            </w:r>
            <w:r>
              <w:rPr>
                <w:noProof/>
                <w:webHidden/>
              </w:rPr>
              <w:fldChar w:fldCharType="end"/>
            </w:r>
          </w:hyperlink>
        </w:p>
        <w:p w14:paraId="2C4C97F7" w14:textId="7FC71A2B" w:rsidR="00091F39" w:rsidRDefault="00091F39">
          <w:pPr>
            <w:pStyle w:val="TOC2"/>
            <w:tabs>
              <w:tab w:val="right" w:leader="dot" w:pos="9350"/>
            </w:tabs>
            <w:rPr>
              <w:noProof/>
            </w:rPr>
          </w:pPr>
          <w:hyperlink w:anchor="_Toc242703335" w:history="1">
            <w:r w:rsidRPr="00170CBB">
              <w:rPr>
                <w:rStyle w:val="Hyperlink"/>
                <w:noProof/>
              </w:rPr>
              <w:t>Analysis</w:t>
            </w:r>
            <w:r>
              <w:rPr>
                <w:noProof/>
                <w:webHidden/>
              </w:rPr>
              <w:tab/>
            </w:r>
            <w:r>
              <w:rPr>
                <w:noProof/>
                <w:webHidden/>
              </w:rPr>
              <w:fldChar w:fldCharType="begin"/>
            </w:r>
            <w:r>
              <w:rPr>
                <w:noProof/>
                <w:webHidden/>
              </w:rPr>
              <w:instrText xml:space="preserve"> PAGEREF _Toc242703335 \h </w:instrText>
            </w:r>
            <w:r>
              <w:rPr>
                <w:noProof/>
                <w:webHidden/>
              </w:rPr>
            </w:r>
            <w:r>
              <w:rPr>
                <w:noProof/>
                <w:webHidden/>
              </w:rPr>
              <w:fldChar w:fldCharType="separate"/>
            </w:r>
            <w:r w:rsidR="005758A0">
              <w:rPr>
                <w:noProof/>
                <w:webHidden/>
              </w:rPr>
              <w:t>21</w:t>
            </w:r>
            <w:r>
              <w:rPr>
                <w:noProof/>
                <w:webHidden/>
              </w:rPr>
              <w:fldChar w:fldCharType="end"/>
            </w:r>
          </w:hyperlink>
        </w:p>
        <w:p w14:paraId="116EA40B" w14:textId="0A237770" w:rsidR="00091F39" w:rsidRDefault="00091F39">
          <w:pPr>
            <w:pStyle w:val="TOC2"/>
            <w:tabs>
              <w:tab w:val="right" w:leader="dot" w:pos="9350"/>
            </w:tabs>
            <w:rPr>
              <w:noProof/>
            </w:rPr>
          </w:pPr>
          <w:hyperlink w:anchor="_Toc242703336" w:history="1">
            <w:r w:rsidRPr="00170CBB">
              <w:rPr>
                <w:rStyle w:val="Hyperlink"/>
                <w:noProof/>
              </w:rPr>
              <w:t>Conclusion</w:t>
            </w:r>
            <w:r>
              <w:rPr>
                <w:noProof/>
                <w:webHidden/>
              </w:rPr>
              <w:tab/>
            </w:r>
            <w:r>
              <w:rPr>
                <w:noProof/>
                <w:webHidden/>
              </w:rPr>
              <w:fldChar w:fldCharType="begin"/>
            </w:r>
            <w:r>
              <w:rPr>
                <w:noProof/>
                <w:webHidden/>
              </w:rPr>
              <w:instrText xml:space="preserve"> PAGEREF _Toc242703336 \h </w:instrText>
            </w:r>
            <w:r>
              <w:rPr>
                <w:noProof/>
                <w:webHidden/>
              </w:rPr>
            </w:r>
            <w:r>
              <w:rPr>
                <w:noProof/>
                <w:webHidden/>
              </w:rPr>
              <w:fldChar w:fldCharType="separate"/>
            </w:r>
            <w:r w:rsidR="005758A0">
              <w:rPr>
                <w:noProof/>
                <w:webHidden/>
              </w:rPr>
              <w:t>21</w:t>
            </w:r>
            <w:r>
              <w:rPr>
                <w:noProof/>
                <w:webHidden/>
              </w:rPr>
              <w:fldChar w:fldCharType="end"/>
            </w:r>
          </w:hyperlink>
        </w:p>
        <w:p w14:paraId="5C97EE25" w14:textId="45B61778" w:rsidR="00091F39" w:rsidRDefault="00091F39">
          <w:pPr>
            <w:pStyle w:val="TOC2"/>
            <w:tabs>
              <w:tab w:val="right" w:leader="dot" w:pos="9350"/>
            </w:tabs>
            <w:rPr>
              <w:noProof/>
            </w:rPr>
          </w:pPr>
          <w:hyperlink w:anchor="_Toc242703337" w:history="1">
            <w:r w:rsidRPr="00170CBB">
              <w:rPr>
                <w:rStyle w:val="Hyperlink"/>
                <w:noProof/>
              </w:rPr>
              <w:t>Action plan</w:t>
            </w:r>
            <w:r>
              <w:rPr>
                <w:noProof/>
                <w:webHidden/>
              </w:rPr>
              <w:tab/>
            </w:r>
            <w:r>
              <w:rPr>
                <w:noProof/>
                <w:webHidden/>
              </w:rPr>
              <w:fldChar w:fldCharType="begin"/>
            </w:r>
            <w:r>
              <w:rPr>
                <w:noProof/>
                <w:webHidden/>
              </w:rPr>
              <w:instrText xml:space="preserve"> PAGEREF _Toc242703337 \h </w:instrText>
            </w:r>
            <w:r>
              <w:rPr>
                <w:noProof/>
                <w:webHidden/>
              </w:rPr>
            </w:r>
            <w:r>
              <w:rPr>
                <w:noProof/>
                <w:webHidden/>
              </w:rPr>
              <w:fldChar w:fldCharType="separate"/>
            </w:r>
            <w:r w:rsidR="005758A0">
              <w:rPr>
                <w:noProof/>
                <w:webHidden/>
              </w:rPr>
              <w:t>21</w:t>
            </w:r>
            <w:r>
              <w:rPr>
                <w:noProof/>
                <w:webHidden/>
              </w:rPr>
              <w:fldChar w:fldCharType="end"/>
            </w:r>
          </w:hyperlink>
        </w:p>
        <w:p w14:paraId="4B97EB77" w14:textId="5D074250" w:rsidR="00091F39" w:rsidRDefault="00091F39">
          <w:pPr>
            <w:pStyle w:val="TOC1"/>
            <w:tabs>
              <w:tab w:val="right" w:leader="dot" w:pos="9350"/>
            </w:tabs>
            <w:rPr>
              <w:noProof/>
            </w:rPr>
          </w:pPr>
          <w:hyperlink w:anchor="_Toc242703338" w:history="1">
            <w:r w:rsidRPr="00170CBB">
              <w:rPr>
                <w:rStyle w:val="Hyperlink"/>
                <w:noProof/>
              </w:rPr>
              <w:t>Conclusion</w:t>
            </w:r>
            <w:r>
              <w:rPr>
                <w:noProof/>
                <w:webHidden/>
              </w:rPr>
              <w:tab/>
            </w:r>
            <w:r>
              <w:rPr>
                <w:noProof/>
                <w:webHidden/>
              </w:rPr>
              <w:fldChar w:fldCharType="begin"/>
            </w:r>
            <w:r>
              <w:rPr>
                <w:noProof/>
                <w:webHidden/>
              </w:rPr>
              <w:instrText xml:space="preserve"> PAGEREF _Toc242703338 \h </w:instrText>
            </w:r>
            <w:r>
              <w:rPr>
                <w:noProof/>
                <w:webHidden/>
              </w:rPr>
            </w:r>
            <w:r>
              <w:rPr>
                <w:noProof/>
                <w:webHidden/>
              </w:rPr>
              <w:fldChar w:fldCharType="separate"/>
            </w:r>
            <w:r w:rsidR="005758A0">
              <w:rPr>
                <w:noProof/>
                <w:webHidden/>
              </w:rPr>
              <w:t>22</w:t>
            </w:r>
            <w:r>
              <w:rPr>
                <w:noProof/>
                <w:webHidden/>
              </w:rPr>
              <w:fldChar w:fldCharType="end"/>
            </w:r>
          </w:hyperlink>
        </w:p>
        <w:p w14:paraId="1E310EE5" w14:textId="4ACFD846" w:rsidR="00091F39" w:rsidRDefault="00091F39">
          <w:pPr>
            <w:pStyle w:val="TOC1"/>
            <w:tabs>
              <w:tab w:val="right" w:leader="dot" w:pos="9350"/>
            </w:tabs>
            <w:rPr>
              <w:noProof/>
            </w:rPr>
          </w:pPr>
          <w:hyperlink w:anchor="_Toc242703339" w:history="1">
            <w:r w:rsidRPr="00170CBB">
              <w:rPr>
                <w:rStyle w:val="Hyperlink"/>
                <w:noProof/>
              </w:rPr>
              <w:t>Reference list</w:t>
            </w:r>
            <w:r>
              <w:rPr>
                <w:noProof/>
                <w:webHidden/>
              </w:rPr>
              <w:tab/>
            </w:r>
            <w:r>
              <w:rPr>
                <w:noProof/>
                <w:webHidden/>
              </w:rPr>
              <w:fldChar w:fldCharType="begin"/>
            </w:r>
            <w:r>
              <w:rPr>
                <w:noProof/>
                <w:webHidden/>
              </w:rPr>
              <w:instrText xml:space="preserve"> PAGEREF _Toc242703339 \h </w:instrText>
            </w:r>
            <w:r>
              <w:rPr>
                <w:noProof/>
                <w:webHidden/>
              </w:rPr>
            </w:r>
            <w:r>
              <w:rPr>
                <w:noProof/>
                <w:webHidden/>
              </w:rPr>
              <w:fldChar w:fldCharType="separate"/>
            </w:r>
            <w:r w:rsidR="005758A0">
              <w:rPr>
                <w:noProof/>
                <w:webHidden/>
              </w:rPr>
              <w:t>23</w:t>
            </w:r>
            <w:r>
              <w:rPr>
                <w:noProof/>
                <w:webHidden/>
              </w:rPr>
              <w:fldChar w:fldCharType="end"/>
            </w:r>
          </w:hyperlink>
        </w:p>
        <w:p w14:paraId="29F57F16" w14:textId="5B1538C9" w:rsidR="005E4865" w:rsidRDefault="005973A6">
          <w:pPr>
            <w:widowControl w:val="0"/>
            <w:tabs>
              <w:tab w:val="right" w:pos="9360"/>
            </w:tabs>
            <w:spacing w:after="0"/>
            <w:rPr>
              <w:color w:val="000000"/>
            </w:rPr>
          </w:pPr>
          <w:r>
            <w:fldChar w:fldCharType="end"/>
          </w:r>
        </w:p>
      </w:sdtContent>
    </w:sdt>
    <w:p w14:paraId="4A192CCF" w14:textId="77777777" w:rsidR="005E4865" w:rsidRDefault="00097167">
      <w:pPr>
        <w:spacing w:after="0"/>
        <w:rPr>
          <w:b/>
          <w:bCs/>
        </w:rPr>
      </w:pPr>
      <w:r>
        <w:br w:type="page"/>
      </w:r>
    </w:p>
    <w:p w14:paraId="42D8D56B" w14:textId="77777777" w:rsidR="005E4865" w:rsidRDefault="00097167">
      <w:pPr>
        <w:pStyle w:val="Heading1"/>
      </w:pPr>
      <w:bookmarkStart w:id="0" w:name="_Toc242703323"/>
      <w:r>
        <w:lastRenderedPageBreak/>
        <w:t>Introduction</w:t>
      </w:r>
      <w:bookmarkEnd w:id="0"/>
      <w:r>
        <w:t xml:space="preserve"> </w:t>
      </w:r>
    </w:p>
    <w:p w14:paraId="13804A02" w14:textId="77777777" w:rsidR="005E4865" w:rsidRDefault="00097167">
      <w:pPr>
        <w:spacing w:after="0"/>
      </w:pPr>
      <w:r>
        <w:t xml:space="preserve">Organisational competitiveness is influenced by integral innovative working practices and talent development strategies that shape the changing business environment. NexSpace Health Systems (NHSX) is facing challenges due to traditional hierarchies, limited employee autonomy, fragmented hybrid collaboration, and weak career pathways that limit innovation along with new knowledge sharing and talent retention. </w:t>
      </w:r>
    </w:p>
    <w:p w14:paraId="3BA3E3ED" w14:textId="77777777" w:rsidR="005E4865" w:rsidRDefault="00097167">
      <w:pPr>
        <w:spacing w:after="0"/>
        <w:rPr>
          <w:b/>
          <w:bCs/>
        </w:rPr>
      </w:pPr>
      <w:r>
        <w:br w:type="page"/>
      </w:r>
    </w:p>
    <w:p w14:paraId="196BD397" w14:textId="77777777" w:rsidR="005E4865" w:rsidRDefault="00097167">
      <w:pPr>
        <w:pStyle w:val="Heading1"/>
      </w:pPr>
      <w:bookmarkStart w:id="1" w:name="_Toc242703324"/>
      <w:r>
        <w:lastRenderedPageBreak/>
        <w:t>Task A: Designing Innovative Working Practices</w:t>
      </w:r>
      <w:bookmarkEnd w:id="1"/>
      <w:r>
        <w:t xml:space="preserve"> </w:t>
      </w:r>
    </w:p>
    <w:p w14:paraId="58A10F30" w14:textId="77777777" w:rsidR="005E4865" w:rsidRDefault="00097167">
      <w:pPr>
        <w:pStyle w:val="Heading2"/>
      </w:pPr>
      <w:bookmarkStart w:id="2" w:name="_Toc242703325"/>
      <w:r>
        <w:t>1.1 Critical Evaluation of Traditional Work Design and Contemporary Innovative Working Practices</w:t>
      </w:r>
      <w:bookmarkEnd w:id="2"/>
      <w:r>
        <w:t xml:space="preserve"> </w:t>
      </w:r>
    </w:p>
    <w:p w14:paraId="35D07B48" w14:textId="77777777" w:rsidR="005E4865" w:rsidRDefault="00097167">
      <w:pPr>
        <w:shd w:val="clear" w:color="auto" w:fill="FFFFFF"/>
        <w:spacing w:after="0"/>
      </w:pPr>
      <w:r>
        <w:t xml:space="preserve">Traditional work design shows an integrated hierarchy system with specialisation, control and formal authority unlike content prairie approaches that emphasis on agility, participation, flexibility and employee-technology integration. NHSX faces challenges of hierarchy approach while limited accountability in healthcare technology environments reduce talent management. </w:t>
      </w:r>
    </w:p>
    <w:tbl>
      <w:tblPr>
        <w:tblStyle w:val="a3"/>
        <w:tblW w:w="9359"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780"/>
        <w:gridCol w:w="1953"/>
        <w:gridCol w:w="1851"/>
        <w:gridCol w:w="1938"/>
        <w:gridCol w:w="1837"/>
      </w:tblGrid>
      <w:tr w:rsidR="005E4865" w14:paraId="476E0727" w14:textId="77777777">
        <w:trPr>
          <w:trHeight w:val="1070"/>
          <w:jc w:val="center"/>
        </w:trPr>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1640A4" w14:textId="77777777" w:rsidR="005E4865" w:rsidRDefault="00097167">
            <w:pPr>
              <w:shd w:val="clear" w:color="auto" w:fill="FFFFFF"/>
              <w:spacing w:after="0"/>
            </w:pPr>
            <w:r>
              <w:rPr>
                <w:b/>
                <w:bCs/>
              </w:rPr>
              <w:t>Approach</w:t>
            </w:r>
          </w:p>
        </w:tc>
        <w:tc>
          <w:tcPr>
            <w:tcW w:w="19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A91FE" w14:textId="77777777" w:rsidR="005E4865" w:rsidRDefault="00097167">
            <w:pPr>
              <w:shd w:val="clear" w:color="auto" w:fill="FFFFFF"/>
              <w:spacing w:after="0"/>
            </w:pPr>
            <w:r>
              <w:rPr>
                <w:b/>
                <w:bCs/>
              </w:rPr>
              <w:t>Key principle</w:t>
            </w:r>
          </w:p>
        </w:tc>
        <w:tc>
          <w:tcPr>
            <w:tcW w:w="1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7FA2E1" w14:textId="77777777" w:rsidR="005E4865" w:rsidRDefault="00097167">
            <w:pPr>
              <w:shd w:val="clear" w:color="auto" w:fill="FFFFFF"/>
              <w:spacing w:after="0"/>
            </w:pPr>
            <w:r>
              <w:rPr>
                <w:b/>
                <w:bCs/>
              </w:rPr>
              <w:t>Potential contribution to NHSX</w:t>
            </w:r>
          </w:p>
        </w:tc>
        <w:tc>
          <w:tcPr>
            <w:tcW w:w="19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850E6" w14:textId="77777777" w:rsidR="005E4865" w:rsidRDefault="00097167">
            <w:pPr>
              <w:shd w:val="clear" w:color="auto" w:fill="FFFFFF"/>
              <w:spacing w:after="0"/>
            </w:pPr>
            <w:r>
              <w:rPr>
                <w:b/>
                <w:bCs/>
              </w:rPr>
              <w:t>Critical concern</w:t>
            </w:r>
          </w:p>
        </w:tc>
        <w:tc>
          <w:tcPr>
            <w:tcW w:w="1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648C7A" w14:textId="77777777" w:rsidR="005E4865" w:rsidRDefault="00097167">
            <w:pPr>
              <w:shd w:val="clear" w:color="auto" w:fill="FFFFFF"/>
              <w:spacing w:after="0"/>
            </w:pPr>
            <w:r>
              <w:rPr>
                <w:b/>
                <w:bCs/>
              </w:rPr>
              <w:t>NHSX implication</w:t>
            </w:r>
          </w:p>
        </w:tc>
      </w:tr>
      <w:tr w:rsidR="005E4865" w14:paraId="6D193CEF" w14:textId="77777777">
        <w:trPr>
          <w:trHeight w:val="1625"/>
          <w:jc w:val="center"/>
        </w:trPr>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152D0C" w14:textId="77777777" w:rsidR="005E4865" w:rsidRDefault="00097167">
            <w:pPr>
              <w:shd w:val="clear" w:color="auto" w:fill="FFFFFF"/>
              <w:spacing w:after="0"/>
            </w:pPr>
            <w:r>
              <w:rPr>
                <w:b/>
                <w:bCs/>
              </w:rPr>
              <w:t>Traditional hierarchy</w:t>
            </w:r>
          </w:p>
        </w:tc>
        <w:tc>
          <w:tcPr>
            <w:tcW w:w="19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6E02F2" w14:textId="77777777" w:rsidR="005E4865" w:rsidRDefault="00097167">
            <w:pPr>
              <w:shd w:val="clear" w:color="auto" w:fill="FFFFFF"/>
              <w:spacing w:after="0"/>
            </w:pPr>
            <w:r>
              <w:t xml:space="preserve">Formal control with centralised authority </w:t>
            </w:r>
          </w:p>
        </w:tc>
        <w:tc>
          <w:tcPr>
            <w:tcW w:w="1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3D2BC" w14:textId="77777777" w:rsidR="005E4865" w:rsidRDefault="00097167">
            <w:pPr>
              <w:shd w:val="clear" w:color="auto" w:fill="FFFFFF"/>
              <w:spacing w:after="0"/>
            </w:pPr>
            <w:r>
              <w:t>Consistent governance with accountability</w:t>
            </w:r>
          </w:p>
        </w:tc>
        <w:tc>
          <w:tcPr>
            <w:tcW w:w="19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684172" w14:textId="77777777" w:rsidR="005E4865" w:rsidRDefault="00097167">
            <w:pPr>
              <w:shd w:val="clear" w:color="auto" w:fill="FFFFFF"/>
              <w:spacing w:after="0"/>
            </w:pPr>
            <w:r>
              <w:t>Complex and time-taking decision-making with restricted experimentation</w:t>
            </w:r>
          </w:p>
        </w:tc>
        <w:tc>
          <w:tcPr>
            <w:tcW w:w="1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A3B9BC" w14:textId="77777777" w:rsidR="005E4865" w:rsidRDefault="00097167">
            <w:pPr>
              <w:shd w:val="clear" w:color="auto" w:fill="FFFFFF"/>
              <w:spacing w:after="0"/>
            </w:pPr>
            <w:r>
              <w:t>Keeping strategic control with decentralise operational decisions</w:t>
            </w:r>
          </w:p>
        </w:tc>
      </w:tr>
      <w:tr w:rsidR="005E4865" w14:paraId="0B054151" w14:textId="77777777">
        <w:trPr>
          <w:trHeight w:val="1355"/>
          <w:jc w:val="center"/>
        </w:trPr>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437C48" w14:textId="77777777" w:rsidR="005E4865" w:rsidRDefault="00097167">
            <w:pPr>
              <w:shd w:val="clear" w:color="auto" w:fill="FFFFFF"/>
              <w:spacing w:after="0"/>
            </w:pPr>
            <w:r>
              <w:rPr>
                <w:b/>
                <w:bCs/>
              </w:rPr>
              <w:t>HPWS</w:t>
            </w:r>
          </w:p>
        </w:tc>
        <w:tc>
          <w:tcPr>
            <w:tcW w:w="19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03BFE1" w14:textId="77777777" w:rsidR="005E4865" w:rsidRDefault="00097167">
            <w:pPr>
              <w:shd w:val="clear" w:color="auto" w:fill="FFFFFF"/>
              <w:spacing w:after="0"/>
            </w:pPr>
            <w:r>
              <w:t xml:space="preserve">Opportunistic control to foster ability, and motivation </w:t>
            </w:r>
          </w:p>
        </w:tc>
        <w:tc>
          <w:tcPr>
            <w:tcW w:w="1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E4FFF7" w14:textId="77777777" w:rsidR="005E4865" w:rsidRDefault="00097167">
            <w:pPr>
              <w:shd w:val="clear" w:color="auto" w:fill="FFFFFF"/>
              <w:spacing w:after="0"/>
            </w:pPr>
            <w:r>
              <w:t>Developing workforce capability and performance</w:t>
            </w:r>
          </w:p>
        </w:tc>
        <w:tc>
          <w:tcPr>
            <w:tcW w:w="19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3C8FC8" w14:textId="77777777" w:rsidR="005E4865" w:rsidRDefault="00097167">
            <w:pPr>
              <w:shd w:val="clear" w:color="auto" w:fill="FFFFFF"/>
              <w:spacing w:after="0"/>
            </w:pPr>
            <w:r>
              <w:t xml:space="preserve">Increased work pressure with performance intensity </w:t>
            </w:r>
          </w:p>
        </w:tc>
        <w:tc>
          <w:tcPr>
            <w:tcW w:w="1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64B875" w14:textId="77777777" w:rsidR="005E4865" w:rsidRDefault="00097167">
            <w:pPr>
              <w:shd w:val="clear" w:color="auto" w:fill="FFFFFF"/>
              <w:spacing w:after="0"/>
            </w:pPr>
            <w:r>
              <w:t xml:space="preserve">Performance alignment with development and wellbeing </w:t>
            </w:r>
          </w:p>
        </w:tc>
      </w:tr>
      <w:tr w:rsidR="005E4865" w14:paraId="24FF0935" w14:textId="77777777">
        <w:trPr>
          <w:trHeight w:val="1625"/>
          <w:jc w:val="center"/>
        </w:trPr>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7679D" w14:textId="77777777" w:rsidR="005E4865" w:rsidRDefault="00097167">
            <w:pPr>
              <w:shd w:val="clear" w:color="auto" w:fill="FFFFFF"/>
              <w:spacing w:after="0"/>
            </w:pPr>
            <w:r>
              <w:rPr>
                <w:b/>
                <w:bCs/>
              </w:rPr>
              <w:t>HIWS</w:t>
            </w:r>
          </w:p>
        </w:tc>
        <w:tc>
          <w:tcPr>
            <w:tcW w:w="19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3ECBCD" w14:textId="77777777" w:rsidR="005E4865" w:rsidRDefault="00097167">
            <w:pPr>
              <w:shd w:val="clear" w:color="auto" w:fill="FFFFFF"/>
              <w:spacing w:after="0"/>
            </w:pPr>
            <w:r>
              <w:t>Empowerment with participation, information and acknowledgement</w:t>
            </w:r>
          </w:p>
        </w:tc>
        <w:tc>
          <w:tcPr>
            <w:tcW w:w="1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D422E" w14:textId="77777777" w:rsidR="005E4865" w:rsidRDefault="00097167">
            <w:pPr>
              <w:shd w:val="clear" w:color="auto" w:fill="FFFFFF"/>
              <w:spacing w:after="0"/>
            </w:pPr>
            <w:r>
              <w:t>Increased ownership with utilisation of employee expertise</w:t>
            </w:r>
          </w:p>
        </w:tc>
        <w:tc>
          <w:tcPr>
            <w:tcW w:w="19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8095DB" w14:textId="77777777" w:rsidR="005E4865" w:rsidRDefault="00097167">
            <w:pPr>
              <w:shd w:val="clear" w:color="auto" w:fill="FFFFFF"/>
              <w:spacing w:after="0"/>
            </w:pPr>
            <w:r>
              <w:t xml:space="preserve">Decisional standards with trust mediation </w:t>
            </w:r>
          </w:p>
        </w:tc>
        <w:tc>
          <w:tcPr>
            <w:tcW w:w="1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01E6C6" w14:textId="77777777" w:rsidR="005E4865" w:rsidRDefault="00097167">
            <w:pPr>
              <w:shd w:val="clear" w:color="auto" w:fill="FFFFFF"/>
              <w:spacing w:after="0"/>
            </w:pPr>
            <w:r>
              <w:t>Employee empowerment defined accountability</w:t>
            </w:r>
          </w:p>
        </w:tc>
      </w:tr>
      <w:tr w:rsidR="005E4865" w14:paraId="7FB730B4" w14:textId="77777777">
        <w:trPr>
          <w:trHeight w:val="1355"/>
          <w:jc w:val="center"/>
        </w:trPr>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10F079" w14:textId="77777777" w:rsidR="005E4865" w:rsidRDefault="00097167">
            <w:pPr>
              <w:shd w:val="clear" w:color="auto" w:fill="FFFFFF"/>
              <w:spacing w:after="0"/>
            </w:pPr>
            <w:r>
              <w:rPr>
                <w:b/>
                <w:bCs/>
              </w:rPr>
              <w:lastRenderedPageBreak/>
              <w:t>Agile working</w:t>
            </w:r>
          </w:p>
        </w:tc>
        <w:tc>
          <w:tcPr>
            <w:tcW w:w="19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E630F8" w14:textId="77777777" w:rsidR="005E4865" w:rsidRDefault="00097167">
            <w:pPr>
              <w:shd w:val="clear" w:color="auto" w:fill="FFFFFF"/>
              <w:spacing w:after="0"/>
            </w:pPr>
            <w:r>
              <w:t>Working repetition, experimentation and constructive feedback</w:t>
            </w:r>
          </w:p>
        </w:tc>
        <w:tc>
          <w:tcPr>
            <w:tcW w:w="1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F159DC" w14:textId="77777777" w:rsidR="005E4865" w:rsidRDefault="00097167">
            <w:pPr>
              <w:shd w:val="clear" w:color="auto" w:fill="FFFFFF"/>
              <w:spacing w:after="0"/>
            </w:pPr>
            <w:r>
              <w:t xml:space="preserve">Responsiveness with improved innovation </w:t>
            </w:r>
          </w:p>
        </w:tc>
        <w:tc>
          <w:tcPr>
            <w:tcW w:w="19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111681" w14:textId="77777777" w:rsidR="005E4865" w:rsidRDefault="00097167">
            <w:pPr>
              <w:shd w:val="clear" w:color="auto" w:fill="FFFFFF"/>
              <w:spacing w:after="0"/>
            </w:pPr>
            <w:r>
              <w:t>Ambiguous work practices with uncontrolled autonomy</w:t>
            </w:r>
          </w:p>
        </w:tc>
        <w:tc>
          <w:tcPr>
            <w:tcW w:w="1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991494" w14:textId="77777777" w:rsidR="005E4865" w:rsidRDefault="00097167">
            <w:pPr>
              <w:shd w:val="clear" w:color="auto" w:fill="FFFFFF"/>
              <w:spacing w:after="0"/>
            </w:pPr>
            <w:r>
              <w:t>Objective and governance clarity in agile teams</w:t>
            </w:r>
          </w:p>
        </w:tc>
      </w:tr>
      <w:tr w:rsidR="005E4865" w14:paraId="4A389A2C" w14:textId="77777777">
        <w:trPr>
          <w:trHeight w:val="1355"/>
          <w:jc w:val="center"/>
        </w:trPr>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D45969" w14:textId="77777777" w:rsidR="005E4865" w:rsidRDefault="00097167">
            <w:pPr>
              <w:shd w:val="clear" w:color="auto" w:fill="FFFFFF"/>
              <w:spacing w:after="0"/>
            </w:pPr>
            <w:r>
              <w:rPr>
                <w:b/>
                <w:bCs/>
              </w:rPr>
              <w:t>Hybrid/flexible working</w:t>
            </w:r>
          </w:p>
        </w:tc>
        <w:tc>
          <w:tcPr>
            <w:tcW w:w="19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76D9E7" w14:textId="77777777" w:rsidR="005E4865" w:rsidRDefault="00097167">
            <w:pPr>
              <w:shd w:val="clear" w:color="auto" w:fill="FFFFFF"/>
              <w:spacing w:after="0"/>
            </w:pPr>
            <w:r>
              <w:t xml:space="preserve">Flexible working practices </w:t>
            </w:r>
          </w:p>
        </w:tc>
        <w:tc>
          <w:tcPr>
            <w:tcW w:w="1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9234B4" w14:textId="77777777" w:rsidR="005E4865" w:rsidRDefault="00097167">
            <w:pPr>
              <w:shd w:val="clear" w:color="auto" w:fill="FFFFFF"/>
              <w:spacing w:after="0"/>
            </w:pPr>
            <w:r>
              <w:t xml:space="preserve">Improved employee experience and autonomy </w:t>
            </w:r>
          </w:p>
        </w:tc>
        <w:tc>
          <w:tcPr>
            <w:tcW w:w="19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CC9AA" w14:textId="77777777" w:rsidR="005E4865" w:rsidRDefault="00097167">
            <w:pPr>
              <w:shd w:val="clear" w:color="auto" w:fill="FFFFFF"/>
              <w:spacing w:after="0"/>
            </w:pPr>
            <w:r>
              <w:t>Restricted collaboration and knowledge sharing</w:t>
            </w:r>
          </w:p>
        </w:tc>
        <w:tc>
          <w:tcPr>
            <w:tcW w:w="1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D1445D" w14:textId="77777777" w:rsidR="005E4865" w:rsidRDefault="00097167">
            <w:pPr>
              <w:shd w:val="clear" w:color="auto" w:fill="FFFFFF"/>
              <w:spacing w:after="0"/>
            </w:pPr>
            <w:r>
              <w:t xml:space="preserve">Structural flexibility </w:t>
            </w:r>
          </w:p>
        </w:tc>
      </w:tr>
      <w:tr w:rsidR="005E4865" w14:paraId="4A03E820" w14:textId="77777777">
        <w:trPr>
          <w:trHeight w:val="1355"/>
          <w:jc w:val="center"/>
        </w:trPr>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7F6385" w14:textId="77777777" w:rsidR="005E4865" w:rsidRDefault="00097167">
            <w:pPr>
              <w:shd w:val="clear" w:color="auto" w:fill="FFFFFF"/>
              <w:spacing w:after="0"/>
            </w:pPr>
            <w:r>
              <w:rPr>
                <w:b/>
                <w:bCs/>
              </w:rPr>
              <w:t>Sociotechnical systems</w:t>
            </w:r>
          </w:p>
        </w:tc>
        <w:tc>
          <w:tcPr>
            <w:tcW w:w="19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19E7D7" w14:textId="77777777" w:rsidR="005E4865" w:rsidRDefault="00097167">
            <w:pPr>
              <w:shd w:val="clear" w:color="auto" w:fill="FFFFFF"/>
              <w:spacing w:after="0"/>
            </w:pPr>
            <w:r>
              <w:t xml:space="preserve">Alignment of technology, work, human, and structure </w:t>
            </w:r>
          </w:p>
        </w:tc>
        <w:tc>
          <w:tcPr>
            <w:tcW w:w="1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E00D21" w14:textId="77777777" w:rsidR="005E4865" w:rsidRDefault="00097167">
            <w:pPr>
              <w:shd w:val="clear" w:color="auto" w:fill="FFFFFF"/>
              <w:spacing w:after="0"/>
            </w:pPr>
            <w:r>
              <w:t xml:space="preserve">Integrated technological capabilities with human participation </w:t>
            </w:r>
          </w:p>
        </w:tc>
        <w:tc>
          <w:tcPr>
            <w:tcW w:w="19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485A7" w14:textId="77777777" w:rsidR="005E4865" w:rsidRDefault="00097167">
            <w:pPr>
              <w:shd w:val="clear" w:color="auto" w:fill="FFFFFF"/>
              <w:spacing w:after="0"/>
            </w:pPr>
            <w:r>
              <w:t>Redesigning systemic processes</w:t>
            </w:r>
          </w:p>
        </w:tc>
        <w:tc>
          <w:tcPr>
            <w:tcW w:w="1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82944" w14:textId="77777777" w:rsidR="005E4865" w:rsidRDefault="00097167">
            <w:pPr>
              <w:shd w:val="clear" w:color="auto" w:fill="FFFFFF"/>
              <w:spacing w:after="0"/>
            </w:pPr>
            <w:r>
              <w:t xml:space="preserve">Delivering \overarching design details </w:t>
            </w:r>
          </w:p>
        </w:tc>
      </w:tr>
    </w:tbl>
    <w:p w14:paraId="12ECE5F9" w14:textId="77777777" w:rsidR="005E4865" w:rsidRDefault="00097167">
      <w:pPr>
        <w:shd w:val="clear" w:color="auto" w:fill="FFFFFF"/>
        <w:spacing w:after="0"/>
        <w:jc w:val="center"/>
        <w:rPr>
          <w:b/>
          <w:bCs/>
        </w:rPr>
      </w:pPr>
      <w:r>
        <w:rPr>
          <w:b/>
          <w:bCs/>
        </w:rPr>
        <w:t>Table 1: Comparative evaluation of work-design approaches</w:t>
      </w:r>
    </w:p>
    <w:p w14:paraId="253F4CD6" w14:textId="77777777" w:rsidR="005E4865" w:rsidRDefault="00097167">
      <w:pPr>
        <w:shd w:val="clear" w:color="auto" w:fill="FFFFFF"/>
        <w:spacing w:after="0"/>
        <w:jc w:val="center"/>
      </w:pPr>
      <w:r>
        <w:t xml:space="preserve">(Source: Influenced by Xu </w:t>
      </w:r>
      <w:r>
        <w:rPr>
          <w:i/>
          <w:iCs/>
        </w:rPr>
        <w:t xml:space="preserve">et al., </w:t>
      </w:r>
      <w:r>
        <w:t xml:space="preserve">2023; Kakakhel and Khalil, 2022; Nguyen </w:t>
      </w:r>
      <w:r>
        <w:rPr>
          <w:i/>
          <w:iCs/>
        </w:rPr>
        <w:t xml:space="preserve">et al., </w:t>
      </w:r>
      <w:r>
        <w:t>2024; Mancl and Fraser, 2022)</w:t>
      </w:r>
    </w:p>
    <w:p w14:paraId="08737D3F" w14:textId="77777777" w:rsidR="005E4865" w:rsidRDefault="00097167">
      <w:pPr>
        <w:spacing w:after="0"/>
      </w:pPr>
      <w:r>
        <w:t xml:space="preserve">The comparison showed that replacement of hierarchy at NHSX with complete autonomy can result in structural collapse. Retaining hierarchical structure with clinical accountability, regulatory compliance, and risk management can help foster experimentation as suited for AI-enabled healthcare. In Employer Skills Survey 2024, it is found that 6% of employers suggest HPWS to promote performance infrastructure based on motivation, development, and contribution opportunities, where 63% provided training and 54% conducted training-needs assessments (Scottish Government, 2025). On the other hand, HIWS integrates sharing of information, voice, and distributed decision-making to strengthen employee participative infrastructure.  </w:t>
      </w:r>
    </w:p>
    <w:p w14:paraId="519882A6" w14:textId="77777777" w:rsidR="005E4865" w:rsidRDefault="00097167">
      <w:pPr>
        <w:spacing w:after="0"/>
      </w:pPr>
      <w:r>
        <w:t xml:space="preserve">Agile working practices at NHSX can support rapid response to changing AI and digital-health requirements as depicted in Table 1. Hierarchical delays can be reduced with short developmental cycles, experimentation, and continuous feedback, while accountability is </w:t>
      </w:r>
      <w:r>
        <w:lastRenderedPageBreak/>
        <w:t xml:space="preserve">essential to mitigate issues of fragmented priorities with unclear ownership (Tettey </w:t>
      </w:r>
      <w:r>
        <w:rPr>
          <w:i/>
          <w:iCs/>
        </w:rPr>
        <w:t xml:space="preserve">et al., </w:t>
      </w:r>
      <w:r>
        <w:t xml:space="preserve">2025). Likewise, a hybrid working system with deliberate collaboration provides employee empowerment. </w:t>
      </w:r>
    </w:p>
    <w:p w14:paraId="62D8ECF3" w14:textId="77777777" w:rsidR="005E4865" w:rsidRDefault="00097167" w:rsidP="00D324FA">
      <w:r>
        <w:t xml:space="preserve">Geographically dispersed workforce of NHSX must work to ensure collaboration and support asynchronous knowledge sharing for purposeful in-person interaction. </w:t>
      </w:r>
      <w:r w:rsidRPr="00D324FA">
        <w:t>The ACAS model of disciplinary procedure following the Tuckman’s team development strategies can establish the professional standard with flexible arrangements supported by fair, transparent and consistent processes</w:t>
      </w:r>
      <w:r w:rsidR="00D324FA" w:rsidRPr="00D324FA">
        <w:t xml:space="preserve"> (Aggrawal </w:t>
      </w:r>
      <w:r w:rsidR="00D324FA" w:rsidRPr="00D324FA">
        <w:rPr>
          <w:i/>
          <w:iCs/>
        </w:rPr>
        <w:t xml:space="preserve">et al., </w:t>
      </w:r>
      <w:r w:rsidR="00D324FA" w:rsidRPr="00D324FA">
        <w:t>2024; Bansal and Bose, 2026).</w:t>
      </w:r>
    </w:p>
    <w:p w14:paraId="37070D88" w14:textId="77777777" w:rsidR="005E4865" w:rsidRDefault="00097167">
      <w:pPr>
        <w:spacing w:after="0"/>
        <w:jc w:val="center"/>
      </w:pPr>
      <w:r>
        <w:rPr>
          <w:noProof/>
          <w:lang w:val="en-US" w:eastAsia="en-US"/>
        </w:rPr>
        <w:drawing>
          <wp:inline distT="114300" distB="114300" distL="114300" distR="114300" wp14:anchorId="5361750B" wp14:editId="5CD3FCCA">
            <wp:extent cx="5943600" cy="32385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943600" cy="3238500"/>
                    </a:xfrm>
                    <a:prstGeom prst="rect">
                      <a:avLst/>
                    </a:prstGeom>
                    <a:ln w="12700">
                      <a:solidFill>
                        <a:srgbClr val="000000"/>
                      </a:solidFill>
                      <a:prstDash val="solid"/>
                    </a:ln>
                  </pic:spPr>
                </pic:pic>
              </a:graphicData>
            </a:graphic>
          </wp:inline>
        </w:drawing>
      </w:r>
    </w:p>
    <w:p w14:paraId="249ED96C" w14:textId="77777777" w:rsidR="005E4865" w:rsidRDefault="00097167">
      <w:pPr>
        <w:spacing w:after="0"/>
        <w:jc w:val="center"/>
        <w:rPr>
          <w:b/>
          <w:bCs/>
        </w:rPr>
      </w:pPr>
      <w:r>
        <w:rPr>
          <w:b/>
          <w:bCs/>
        </w:rPr>
        <w:t>Figure 1: Application of Tuckman’s team development framework to NHSX</w:t>
      </w:r>
    </w:p>
    <w:p w14:paraId="7D07D4DB" w14:textId="77777777" w:rsidR="005E4865" w:rsidRDefault="00097167">
      <w:pPr>
        <w:spacing w:after="0"/>
        <w:jc w:val="center"/>
      </w:pPr>
      <w:r>
        <w:t xml:space="preserve">(Source: Influenced by Zirar </w:t>
      </w:r>
      <w:r>
        <w:rPr>
          <w:i/>
          <w:iCs/>
        </w:rPr>
        <w:t xml:space="preserve">et al., </w:t>
      </w:r>
      <w:r>
        <w:t>2025)</w:t>
      </w:r>
    </w:p>
    <w:p w14:paraId="307DC07C" w14:textId="78E907CC" w:rsidR="00C45EA5" w:rsidRDefault="00097167">
      <w:pPr>
        <w:spacing w:after="0"/>
      </w:pPr>
      <w:r>
        <w:t xml:space="preserve">After developing a strong team, the innovative work culture can be supported with the implementation of efficient translation strategies regarding innovative work design following the PERFORM model. Organisational performance and employee-benefit initiatives can be achieved here. </w:t>
      </w:r>
    </w:p>
    <w:p w14:paraId="77EA7720" w14:textId="64F7FE9A" w:rsidR="005E4865" w:rsidRDefault="005E4865" w:rsidP="00217D6C"/>
    <w:p w14:paraId="2C9F6C50" w14:textId="77777777" w:rsidR="00217D6C" w:rsidRDefault="00217D6C" w:rsidP="00217D6C"/>
    <w:tbl>
      <w:tblPr>
        <w:tblStyle w:val="a4"/>
        <w:tblW w:w="919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390"/>
        <w:gridCol w:w="6800"/>
      </w:tblGrid>
      <w:tr w:rsidR="005E4865" w14:paraId="30F930B7" w14:textId="77777777">
        <w:trPr>
          <w:trHeight w:val="785"/>
          <w:jc w:val="center"/>
        </w:trPr>
        <w:tc>
          <w:tcPr>
            <w:tcW w:w="2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4E1050" w14:textId="77777777" w:rsidR="005E4865" w:rsidRDefault="00097167">
            <w:pPr>
              <w:spacing w:after="0"/>
            </w:pPr>
            <w:r>
              <w:rPr>
                <w:b/>
                <w:bCs/>
              </w:rPr>
              <w:lastRenderedPageBreak/>
              <w:t>PERFORM dimension</w:t>
            </w:r>
          </w:p>
        </w:tc>
        <w:tc>
          <w:tcPr>
            <w:tcW w:w="6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D4C0E7" w14:textId="77777777" w:rsidR="005E4865" w:rsidRDefault="00097167">
            <w:pPr>
              <w:spacing w:after="0"/>
            </w:pPr>
            <w:r>
              <w:rPr>
                <w:b/>
                <w:bCs/>
              </w:rPr>
              <w:t>Application to NHSX</w:t>
            </w:r>
          </w:p>
        </w:tc>
      </w:tr>
      <w:tr w:rsidR="005E4865" w14:paraId="557B6F54" w14:textId="77777777">
        <w:trPr>
          <w:trHeight w:val="785"/>
          <w:jc w:val="center"/>
        </w:trPr>
        <w:tc>
          <w:tcPr>
            <w:tcW w:w="2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CEAB4E" w14:textId="77777777" w:rsidR="005E4865" w:rsidRDefault="00097167">
            <w:pPr>
              <w:spacing w:after="0"/>
            </w:pPr>
            <w:r>
              <w:rPr>
                <w:b/>
                <w:bCs/>
              </w:rPr>
              <w:t>Purpose</w:t>
            </w:r>
          </w:p>
        </w:tc>
        <w:tc>
          <w:tcPr>
            <w:tcW w:w="6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8EAC79" w14:textId="77777777" w:rsidR="005E4865" w:rsidRDefault="00097167">
            <w:pPr>
              <w:spacing w:after="0"/>
            </w:pPr>
            <w:r>
              <w:t>Objective transparency for patient-focused and innovation-oriented goals with alignment of cross-functional teams</w:t>
            </w:r>
          </w:p>
        </w:tc>
      </w:tr>
      <w:tr w:rsidR="005E4865" w14:paraId="4FA28BAC" w14:textId="77777777">
        <w:trPr>
          <w:trHeight w:val="515"/>
          <w:jc w:val="center"/>
        </w:trPr>
        <w:tc>
          <w:tcPr>
            <w:tcW w:w="2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6ACD64" w14:textId="77777777" w:rsidR="005E4865" w:rsidRDefault="00097167">
            <w:pPr>
              <w:spacing w:after="0"/>
            </w:pPr>
            <w:r>
              <w:rPr>
                <w:b/>
                <w:bCs/>
              </w:rPr>
              <w:t>Empowerment</w:t>
            </w:r>
          </w:p>
        </w:tc>
        <w:tc>
          <w:tcPr>
            <w:tcW w:w="6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567A67" w14:textId="77777777" w:rsidR="005E4865" w:rsidRDefault="00097167">
            <w:pPr>
              <w:spacing w:after="0"/>
            </w:pPr>
            <w:r>
              <w:t>Employee participation in appropriate operational decisions</w:t>
            </w:r>
          </w:p>
        </w:tc>
      </w:tr>
      <w:tr w:rsidR="005E4865" w14:paraId="4F0AA9B7" w14:textId="77777777">
        <w:trPr>
          <w:trHeight w:val="515"/>
          <w:jc w:val="center"/>
        </w:trPr>
        <w:tc>
          <w:tcPr>
            <w:tcW w:w="2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D51F8D" w14:textId="77777777" w:rsidR="005E4865" w:rsidRDefault="00097167">
            <w:pPr>
              <w:spacing w:after="0"/>
            </w:pPr>
            <w:r>
              <w:rPr>
                <w:b/>
                <w:bCs/>
              </w:rPr>
              <w:t>Relationships</w:t>
            </w:r>
          </w:p>
        </w:tc>
        <w:tc>
          <w:tcPr>
            <w:tcW w:w="6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28246F" w14:textId="77777777" w:rsidR="005E4865" w:rsidRDefault="00097167">
            <w:pPr>
              <w:spacing w:after="0"/>
            </w:pPr>
            <w:r>
              <w:t xml:space="preserve">Strengthened collaboration of UK–India–UAE </w:t>
            </w:r>
          </w:p>
        </w:tc>
      </w:tr>
      <w:tr w:rsidR="005E4865" w14:paraId="5147B190" w14:textId="77777777">
        <w:trPr>
          <w:trHeight w:val="515"/>
          <w:jc w:val="center"/>
        </w:trPr>
        <w:tc>
          <w:tcPr>
            <w:tcW w:w="2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1DA0D4" w14:textId="77777777" w:rsidR="005E4865" w:rsidRDefault="00097167">
            <w:pPr>
              <w:spacing w:after="0"/>
            </w:pPr>
            <w:r>
              <w:rPr>
                <w:b/>
                <w:bCs/>
              </w:rPr>
              <w:t>Flexibility</w:t>
            </w:r>
          </w:p>
        </w:tc>
        <w:tc>
          <w:tcPr>
            <w:tcW w:w="6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AFCC90" w14:textId="77777777" w:rsidR="005E4865" w:rsidRDefault="00097167">
            <w:pPr>
              <w:spacing w:after="0"/>
            </w:pPr>
            <w:r>
              <w:t>Combine Agile and structured hybrid working</w:t>
            </w:r>
          </w:p>
        </w:tc>
      </w:tr>
      <w:tr w:rsidR="005E4865" w14:paraId="37B99AE9" w14:textId="77777777">
        <w:trPr>
          <w:trHeight w:val="515"/>
          <w:jc w:val="center"/>
        </w:trPr>
        <w:tc>
          <w:tcPr>
            <w:tcW w:w="2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73C7E4" w14:textId="77777777" w:rsidR="005E4865" w:rsidRDefault="00097167">
            <w:pPr>
              <w:spacing w:after="0"/>
            </w:pPr>
            <w:r>
              <w:rPr>
                <w:b/>
                <w:bCs/>
              </w:rPr>
              <w:t>Optimisation</w:t>
            </w:r>
          </w:p>
        </w:tc>
        <w:tc>
          <w:tcPr>
            <w:tcW w:w="6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C842DA" w14:textId="77777777" w:rsidR="005E4865" w:rsidRDefault="00097167">
            <w:pPr>
              <w:spacing w:after="0"/>
            </w:pPr>
            <w:r>
              <w:t>Experimentation for continual improvement of workflows</w:t>
            </w:r>
          </w:p>
        </w:tc>
      </w:tr>
      <w:tr w:rsidR="005E4865" w14:paraId="435B4A35" w14:textId="77777777">
        <w:trPr>
          <w:trHeight w:val="515"/>
          <w:jc w:val="center"/>
        </w:trPr>
        <w:tc>
          <w:tcPr>
            <w:tcW w:w="2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789DD5" w14:textId="77777777" w:rsidR="005E4865" w:rsidRDefault="00097167">
            <w:pPr>
              <w:spacing w:after="0"/>
            </w:pPr>
            <w:r>
              <w:rPr>
                <w:b/>
                <w:bCs/>
              </w:rPr>
              <w:t>Recognition</w:t>
            </w:r>
          </w:p>
        </w:tc>
        <w:tc>
          <w:tcPr>
            <w:tcW w:w="6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4BCF44" w14:textId="77777777" w:rsidR="005E4865" w:rsidRDefault="00097167">
            <w:pPr>
              <w:spacing w:after="0"/>
            </w:pPr>
            <w:r>
              <w:t>Acknowledgement for innovation, knowledge sharing and contribution</w:t>
            </w:r>
          </w:p>
        </w:tc>
      </w:tr>
      <w:tr w:rsidR="005E4865" w14:paraId="59FBF995" w14:textId="77777777">
        <w:trPr>
          <w:trHeight w:val="515"/>
          <w:jc w:val="center"/>
        </w:trPr>
        <w:tc>
          <w:tcPr>
            <w:tcW w:w="2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3A9950" w14:textId="77777777" w:rsidR="005E4865" w:rsidRDefault="00097167">
            <w:pPr>
              <w:spacing w:after="0"/>
            </w:pPr>
            <w:r>
              <w:rPr>
                <w:b/>
                <w:bCs/>
              </w:rPr>
              <w:t>Morale</w:t>
            </w:r>
          </w:p>
        </w:tc>
        <w:tc>
          <w:tcPr>
            <w:tcW w:w="6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186589" w14:textId="77777777" w:rsidR="005E4865" w:rsidRDefault="00097167">
            <w:pPr>
              <w:spacing w:after="0"/>
            </w:pPr>
            <w:r>
              <w:t>Employee wellbeing preservation alongside performance expectations</w:t>
            </w:r>
          </w:p>
        </w:tc>
      </w:tr>
    </w:tbl>
    <w:p w14:paraId="32A2A78B" w14:textId="77777777" w:rsidR="005E4865" w:rsidRDefault="00097167">
      <w:pPr>
        <w:spacing w:after="0"/>
        <w:jc w:val="center"/>
        <w:rPr>
          <w:b/>
          <w:bCs/>
        </w:rPr>
      </w:pPr>
      <w:r>
        <w:rPr>
          <w:b/>
          <w:bCs/>
        </w:rPr>
        <w:t>Table 2: Performance management through PERFORM model</w:t>
      </w:r>
    </w:p>
    <w:p w14:paraId="250244E2" w14:textId="77777777" w:rsidR="005E4865" w:rsidRDefault="00097167">
      <w:pPr>
        <w:spacing w:after="0"/>
        <w:jc w:val="center"/>
      </w:pPr>
      <w:r>
        <w:t>(Source: Self-developed)</w:t>
      </w:r>
    </w:p>
    <w:p w14:paraId="63194D38" w14:textId="77777777" w:rsidR="005E4865" w:rsidRDefault="00097167">
      <w:pPr>
        <w:spacing w:after="0"/>
      </w:pPr>
      <w:r>
        <w:t xml:space="preserve">Additionally, Sociotechnical Systems theory provides the oversight to NHSX’s challenges to balance human, technology, and structural components. A digital approach to collaboration and support decision-making while empowering employees can reduce fragmentation issues. </w:t>
      </w:r>
    </w:p>
    <w:p w14:paraId="5CB4433F" w14:textId="77777777" w:rsidR="005E4865" w:rsidRDefault="00097167">
      <w:pPr>
        <w:spacing w:after="0"/>
        <w:jc w:val="center"/>
      </w:pPr>
      <w:r>
        <w:rPr>
          <w:noProof/>
          <w:lang w:val="en-US" w:eastAsia="en-US"/>
        </w:rPr>
        <w:lastRenderedPageBreak/>
        <w:drawing>
          <wp:inline distT="114300" distB="114300" distL="114300" distR="114300" wp14:anchorId="4B95AA66" wp14:editId="47B6DCCD">
            <wp:extent cx="5943600" cy="32385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cstate="print"/>
                    <a:srcRect/>
                    <a:stretch>
                      <a:fillRect/>
                    </a:stretch>
                  </pic:blipFill>
                  <pic:spPr>
                    <a:xfrm>
                      <a:off x="0" y="0"/>
                      <a:ext cx="5943600" cy="3238500"/>
                    </a:xfrm>
                    <a:prstGeom prst="rect">
                      <a:avLst/>
                    </a:prstGeom>
                    <a:ln w="12700">
                      <a:solidFill>
                        <a:srgbClr val="000000"/>
                      </a:solidFill>
                      <a:prstDash val="solid"/>
                    </a:ln>
                  </pic:spPr>
                </pic:pic>
              </a:graphicData>
            </a:graphic>
          </wp:inline>
        </w:drawing>
      </w:r>
    </w:p>
    <w:p w14:paraId="0A84A2EE" w14:textId="77777777" w:rsidR="005E4865" w:rsidRDefault="00097167">
      <w:pPr>
        <w:spacing w:after="0"/>
        <w:jc w:val="center"/>
        <w:rPr>
          <w:b/>
          <w:bCs/>
        </w:rPr>
      </w:pPr>
      <w:r>
        <w:rPr>
          <w:b/>
          <w:bCs/>
        </w:rPr>
        <w:t>Figure 2: Integrated transition model of NHSX</w:t>
      </w:r>
    </w:p>
    <w:p w14:paraId="1D6B2C2D" w14:textId="77777777" w:rsidR="005E4865" w:rsidRDefault="00097167">
      <w:pPr>
        <w:spacing w:after="0"/>
        <w:jc w:val="center"/>
      </w:pPr>
      <w:r>
        <w:t>(Source: Self-developed)</w:t>
      </w:r>
    </w:p>
    <w:p w14:paraId="338A782A" w14:textId="77777777" w:rsidR="005E4865" w:rsidRDefault="00097167">
      <w:pPr>
        <w:spacing w:after="0"/>
      </w:pPr>
      <w:r>
        <w:t>The resulting model is perceived to improve innovation with control while delivering accountability for autonomy and fair flexibility to support working transformation.</w:t>
      </w:r>
    </w:p>
    <w:p w14:paraId="6230B77A" w14:textId="77777777" w:rsidR="005E4865" w:rsidRDefault="00097167">
      <w:pPr>
        <w:pStyle w:val="Heading2"/>
      </w:pPr>
      <w:bookmarkStart w:id="3" w:name="_Toc242703326"/>
      <w:r>
        <w:t>1.2 Recommended Innovative Working Practices for NHSX</w:t>
      </w:r>
      <w:bookmarkEnd w:id="3"/>
      <w:r>
        <w:t xml:space="preserve"> </w:t>
      </w:r>
    </w:p>
    <w:p w14:paraId="01FBA375" w14:textId="77777777" w:rsidR="005E4865" w:rsidRDefault="00097167">
      <w:pPr>
        <w:spacing w:after="0"/>
      </w:pPr>
      <w:r>
        <w:t xml:space="preserve">The implementation of Connected–Empowered–Agile–Digital (CEAD) architecture to redesign work focusing on collaboration, autonomy and experimentation with onward-edge integration can facilitate overcoming challenges successfully. </w:t>
      </w:r>
    </w:p>
    <w:p w14:paraId="2DBA74B4" w14:textId="77777777" w:rsidR="005E4865" w:rsidRDefault="00097167">
      <w:pPr>
        <w:spacing w:after="0"/>
        <w:jc w:val="center"/>
      </w:pPr>
      <w:r>
        <w:rPr>
          <w:noProof/>
          <w:lang w:val="en-US" w:eastAsia="en-US"/>
        </w:rPr>
        <w:lastRenderedPageBreak/>
        <w:drawing>
          <wp:inline distT="114300" distB="114300" distL="114300" distR="114300" wp14:anchorId="4D4184D4" wp14:editId="6591A97B">
            <wp:extent cx="5943600" cy="32385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cstate="print"/>
                    <a:srcRect/>
                    <a:stretch>
                      <a:fillRect/>
                    </a:stretch>
                  </pic:blipFill>
                  <pic:spPr>
                    <a:xfrm>
                      <a:off x="0" y="0"/>
                      <a:ext cx="5943600" cy="3238500"/>
                    </a:xfrm>
                    <a:prstGeom prst="rect">
                      <a:avLst/>
                    </a:prstGeom>
                    <a:ln w="12700">
                      <a:solidFill>
                        <a:srgbClr val="000000"/>
                      </a:solidFill>
                      <a:prstDash val="solid"/>
                    </a:ln>
                  </pic:spPr>
                </pic:pic>
              </a:graphicData>
            </a:graphic>
          </wp:inline>
        </w:drawing>
      </w:r>
    </w:p>
    <w:p w14:paraId="651BF5E2" w14:textId="77777777" w:rsidR="005E4865" w:rsidRDefault="00097167">
      <w:pPr>
        <w:spacing w:after="0"/>
        <w:jc w:val="center"/>
        <w:rPr>
          <w:b/>
          <w:bCs/>
        </w:rPr>
      </w:pPr>
      <w:r>
        <w:rPr>
          <w:b/>
          <w:bCs/>
        </w:rPr>
        <w:t xml:space="preserve">Figure 3: Proposed CEAD architecture </w:t>
      </w:r>
    </w:p>
    <w:p w14:paraId="7CB4BD6F" w14:textId="77777777" w:rsidR="005E4865" w:rsidRDefault="00097167">
      <w:pPr>
        <w:spacing w:after="0"/>
        <w:jc w:val="center"/>
      </w:pPr>
      <w:r>
        <w:t>(Source: Self-developed)</w:t>
      </w:r>
    </w:p>
    <w:p w14:paraId="57D45456" w14:textId="77777777" w:rsidR="00217D6C" w:rsidRDefault="00097167" w:rsidP="00217D6C">
      <w:pPr>
        <w:spacing w:after="0"/>
      </w:pPr>
      <w:r>
        <w:t xml:space="preserve">ACAS model integrated horizontally into operationalisation of this model that highlights safeguarding governance with transparency and consistency into employment practices addressing flexible working and employee relations. Additionally, AI–Clinical–Product squad intervention can reduce the issues of functional data flow disruption and weak international knowledge sharing (Timilsina </w:t>
      </w:r>
      <w:r>
        <w:rPr>
          <w:i/>
          <w:iCs/>
        </w:rPr>
        <w:t xml:space="preserve">et al., </w:t>
      </w:r>
      <w:r>
        <w:t xml:space="preserve">2023). The proposed intervention is planned to combine AI with clinical data and software-product systems to obtain defined outcomes of cybersecurity and UX expertise. </w:t>
      </w:r>
    </w:p>
    <w:p w14:paraId="359380B0" w14:textId="3B9B81EE" w:rsidR="005E4865" w:rsidRDefault="00097167" w:rsidP="00217D6C">
      <w:pPr>
        <w:spacing w:after="0"/>
      </w:pPr>
      <w:r>
        <w:rPr>
          <w:noProof/>
          <w:lang w:val="en-US" w:eastAsia="en-US"/>
        </w:rPr>
        <w:lastRenderedPageBreak/>
        <w:drawing>
          <wp:inline distT="114300" distB="114300" distL="114300" distR="114300" wp14:anchorId="201FC62D" wp14:editId="7E0274CD">
            <wp:extent cx="5943600" cy="3238500"/>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cstate="print"/>
                    <a:srcRect/>
                    <a:stretch>
                      <a:fillRect/>
                    </a:stretch>
                  </pic:blipFill>
                  <pic:spPr>
                    <a:xfrm>
                      <a:off x="0" y="0"/>
                      <a:ext cx="5943600" cy="3238500"/>
                    </a:xfrm>
                    <a:prstGeom prst="rect">
                      <a:avLst/>
                    </a:prstGeom>
                    <a:ln w="12700">
                      <a:solidFill>
                        <a:srgbClr val="000000"/>
                      </a:solidFill>
                      <a:prstDash val="solid"/>
                    </a:ln>
                  </pic:spPr>
                </pic:pic>
              </a:graphicData>
            </a:graphic>
          </wp:inline>
        </w:drawing>
      </w:r>
    </w:p>
    <w:p w14:paraId="76BCAC36" w14:textId="77777777" w:rsidR="005E4865" w:rsidRDefault="00097167">
      <w:pPr>
        <w:spacing w:after="0"/>
        <w:jc w:val="center"/>
        <w:rPr>
          <w:b/>
          <w:bCs/>
        </w:rPr>
      </w:pPr>
      <w:r>
        <w:rPr>
          <w:b/>
          <w:bCs/>
        </w:rPr>
        <w:t>Figure 4: AI–Clinical–Product squad proposal</w:t>
      </w:r>
    </w:p>
    <w:p w14:paraId="3F279060" w14:textId="77777777" w:rsidR="005E4865" w:rsidRDefault="00097167">
      <w:pPr>
        <w:spacing w:after="0"/>
        <w:jc w:val="center"/>
      </w:pPr>
      <w:r>
        <w:t>(Source: Self-developed)</w:t>
      </w:r>
    </w:p>
    <w:p w14:paraId="6BDA76FC" w14:textId="77777777" w:rsidR="005E4865" w:rsidRDefault="00097167">
      <w:pPr>
        <w:spacing w:after="0"/>
      </w:pPr>
      <w:r>
        <w:t>Replacing the sequential departmental hand-offs with multidisciplinary squads supported with HIWS and HPWS can enable employee participation and contribution to improve performance based on innovative capabilities</w:t>
      </w:r>
      <w:r w:rsidR="00D324FA">
        <w:t xml:space="preserve"> (</w:t>
      </w:r>
      <w:r w:rsidR="00D324FA" w:rsidRPr="00D324FA">
        <w:t>Díaz-Leyva and Cascón-Pereira, 202</w:t>
      </w:r>
      <w:r w:rsidR="00D324FA">
        <w:t>6)</w:t>
      </w:r>
      <w:r>
        <w:t>. However, functional diversity has the risk of professional conflict. Implementation of Tuckman's team-development logic and PERFORM's emphasis can support constructive conflict resolution with establishment of shared goals.</w:t>
      </w:r>
    </w:p>
    <w:tbl>
      <w:tblPr>
        <w:tblStyle w:val="a5"/>
        <w:tblW w:w="694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700"/>
        <w:gridCol w:w="5240"/>
      </w:tblGrid>
      <w:tr w:rsidR="005E4865" w14:paraId="01C31860" w14:textId="77777777">
        <w:trPr>
          <w:trHeight w:val="515"/>
          <w:jc w:val="center"/>
        </w:trPr>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137FA8" w14:textId="77777777" w:rsidR="005E4865" w:rsidRDefault="00097167">
            <w:pPr>
              <w:spacing w:after="0"/>
            </w:pPr>
            <w:r>
              <w:rPr>
                <w:b/>
                <w:bCs/>
              </w:rPr>
              <w:t>Dimension</w:t>
            </w:r>
          </w:p>
        </w:tc>
        <w:tc>
          <w:tcPr>
            <w:tcW w:w="5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152F45" w14:textId="77777777" w:rsidR="005E4865" w:rsidRDefault="00097167">
            <w:pPr>
              <w:spacing w:after="0"/>
            </w:pPr>
            <w:r>
              <w:rPr>
                <w:b/>
                <w:bCs/>
              </w:rPr>
              <w:t>NHSX practice</w:t>
            </w:r>
          </w:p>
        </w:tc>
      </w:tr>
      <w:tr w:rsidR="005E4865" w14:paraId="4B83139D" w14:textId="77777777">
        <w:trPr>
          <w:trHeight w:val="515"/>
          <w:jc w:val="center"/>
        </w:trPr>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8AD818" w14:textId="77777777" w:rsidR="005E4865" w:rsidRDefault="00097167">
            <w:pPr>
              <w:spacing w:after="0"/>
            </w:pPr>
            <w:r>
              <w:rPr>
                <w:b/>
                <w:bCs/>
              </w:rPr>
              <w:t>Where</w:t>
            </w:r>
          </w:p>
        </w:tc>
        <w:tc>
          <w:tcPr>
            <w:tcW w:w="5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90EA8D" w14:textId="77777777" w:rsidR="005E4865" w:rsidRDefault="00097167">
            <w:pPr>
              <w:spacing w:after="0"/>
            </w:pPr>
            <w:r>
              <w:t>Role-appropriate flexibility</w:t>
            </w:r>
          </w:p>
        </w:tc>
      </w:tr>
      <w:tr w:rsidR="005E4865" w14:paraId="5A5AFA18" w14:textId="77777777">
        <w:trPr>
          <w:trHeight w:val="515"/>
          <w:jc w:val="center"/>
        </w:trPr>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94598E" w14:textId="77777777" w:rsidR="005E4865" w:rsidRDefault="00097167">
            <w:pPr>
              <w:spacing w:after="0"/>
            </w:pPr>
            <w:r>
              <w:rPr>
                <w:b/>
                <w:bCs/>
              </w:rPr>
              <w:t>When</w:t>
            </w:r>
          </w:p>
        </w:tc>
        <w:tc>
          <w:tcPr>
            <w:tcW w:w="5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3C8F87" w14:textId="77777777" w:rsidR="005E4865" w:rsidRDefault="00097167">
            <w:pPr>
              <w:spacing w:after="0"/>
            </w:pPr>
            <w:r>
              <w:t>Core collaboration for UK–India–UAE</w:t>
            </w:r>
          </w:p>
        </w:tc>
      </w:tr>
      <w:tr w:rsidR="005E4865" w14:paraId="70894DC7" w14:textId="77777777">
        <w:trPr>
          <w:trHeight w:val="515"/>
          <w:jc w:val="center"/>
        </w:trPr>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395291" w14:textId="77777777" w:rsidR="005E4865" w:rsidRDefault="00097167">
            <w:pPr>
              <w:spacing w:after="0"/>
            </w:pPr>
            <w:r>
              <w:rPr>
                <w:b/>
                <w:bCs/>
              </w:rPr>
              <w:t>Together</w:t>
            </w:r>
          </w:p>
        </w:tc>
        <w:tc>
          <w:tcPr>
            <w:tcW w:w="5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217B71" w14:textId="77777777" w:rsidR="005E4865" w:rsidRDefault="00097167">
            <w:pPr>
              <w:spacing w:after="0"/>
            </w:pPr>
            <w:r>
              <w:t>Complex collaboration with planned anchor system</w:t>
            </w:r>
          </w:p>
        </w:tc>
      </w:tr>
      <w:tr w:rsidR="005E4865" w14:paraId="31EAA11A" w14:textId="77777777">
        <w:trPr>
          <w:trHeight w:val="515"/>
          <w:jc w:val="center"/>
        </w:trPr>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79C02E" w14:textId="77777777" w:rsidR="005E4865" w:rsidRDefault="00097167">
            <w:pPr>
              <w:spacing w:after="0"/>
            </w:pPr>
            <w:r>
              <w:rPr>
                <w:b/>
                <w:bCs/>
              </w:rPr>
              <w:t>Asynchronous</w:t>
            </w:r>
          </w:p>
        </w:tc>
        <w:tc>
          <w:tcPr>
            <w:tcW w:w="5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CE8C55" w14:textId="77777777" w:rsidR="005E4865" w:rsidRDefault="00097167">
            <w:pPr>
              <w:spacing w:after="0"/>
            </w:pPr>
            <w:r>
              <w:t>Decision logs and documented project updates</w:t>
            </w:r>
          </w:p>
        </w:tc>
      </w:tr>
      <w:tr w:rsidR="005E4865" w14:paraId="7D1BFA7C" w14:textId="77777777">
        <w:trPr>
          <w:trHeight w:val="515"/>
          <w:jc w:val="center"/>
        </w:trPr>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331E9E" w14:textId="77777777" w:rsidR="005E4865" w:rsidRDefault="00097167">
            <w:pPr>
              <w:spacing w:after="0"/>
            </w:pPr>
            <w:r>
              <w:rPr>
                <w:b/>
                <w:bCs/>
              </w:rPr>
              <w:lastRenderedPageBreak/>
              <w:t>Fairness</w:t>
            </w:r>
          </w:p>
        </w:tc>
        <w:tc>
          <w:tcPr>
            <w:tcW w:w="5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2A4167" w14:textId="77777777" w:rsidR="005E4865" w:rsidRDefault="00097167">
            <w:pPr>
              <w:spacing w:after="0"/>
            </w:pPr>
            <w:r>
              <w:t>Transparent criteria with consistent access</w:t>
            </w:r>
          </w:p>
        </w:tc>
      </w:tr>
    </w:tbl>
    <w:p w14:paraId="356560CE" w14:textId="77777777" w:rsidR="005E4865" w:rsidRDefault="00097167">
      <w:pPr>
        <w:spacing w:after="0"/>
        <w:jc w:val="center"/>
        <w:rPr>
          <w:b/>
          <w:bCs/>
        </w:rPr>
      </w:pPr>
      <w:r>
        <w:rPr>
          <w:b/>
          <w:bCs/>
        </w:rPr>
        <w:t>Table 3: Hybrid contract system</w:t>
      </w:r>
    </w:p>
    <w:p w14:paraId="0D3F9F1F" w14:textId="77777777" w:rsidR="005E4865" w:rsidRDefault="00097167">
      <w:pPr>
        <w:spacing w:after="0"/>
        <w:jc w:val="center"/>
      </w:pPr>
      <w:r>
        <w:t xml:space="preserve">(Source: Influenced by Mayer </w:t>
      </w:r>
      <w:r>
        <w:rPr>
          <w:i/>
          <w:iCs/>
        </w:rPr>
        <w:t xml:space="preserve">et al., </w:t>
      </w:r>
      <w:r>
        <w:t>2022)</w:t>
      </w:r>
    </w:p>
    <w:p w14:paraId="5CC82B65" w14:textId="77777777" w:rsidR="005E4865" w:rsidRDefault="00097167">
      <w:pPr>
        <w:spacing w:after="0"/>
      </w:pPr>
      <w:r>
        <w:t xml:space="preserve">Considering flexibility, unrestricted remote work will increase work complexities and increase collaboration problems. Hence, a structured model supported by Sociotechnical Systems Theory, as depicted in the figure above, can link the social and technological dimensions with employee perseverance, while HIWS can support employee participation in the designed effective working arrangements. </w:t>
      </w:r>
    </w:p>
    <w:tbl>
      <w:tblPr>
        <w:tblStyle w:val="a6"/>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85"/>
        <w:gridCol w:w="4755"/>
        <w:gridCol w:w="3120"/>
      </w:tblGrid>
      <w:tr w:rsidR="005E4865" w14:paraId="5A4BD31E" w14:textId="77777777">
        <w:tc>
          <w:tcPr>
            <w:tcW w:w="1485" w:type="dxa"/>
            <w:tcMar>
              <w:top w:w="100" w:type="dxa"/>
              <w:left w:w="100" w:type="dxa"/>
              <w:bottom w:w="100" w:type="dxa"/>
              <w:right w:w="100" w:type="dxa"/>
            </w:tcMar>
          </w:tcPr>
          <w:p w14:paraId="0635B84F" w14:textId="77777777" w:rsidR="005E4865" w:rsidRDefault="00097167">
            <w:pPr>
              <w:widowControl w:val="0"/>
              <w:pBdr>
                <w:top w:val="nil"/>
                <w:left w:val="nil"/>
                <w:bottom w:val="nil"/>
                <w:right w:val="nil"/>
                <w:between w:val="nil"/>
              </w:pBdr>
              <w:spacing w:after="0"/>
              <w:rPr>
                <w:b/>
                <w:bCs/>
              </w:rPr>
            </w:pPr>
            <w:r>
              <w:rPr>
                <w:b/>
                <w:bCs/>
              </w:rPr>
              <w:t xml:space="preserve">Element </w:t>
            </w:r>
          </w:p>
        </w:tc>
        <w:tc>
          <w:tcPr>
            <w:tcW w:w="4755" w:type="dxa"/>
            <w:tcMar>
              <w:top w:w="100" w:type="dxa"/>
              <w:left w:w="100" w:type="dxa"/>
              <w:bottom w:w="100" w:type="dxa"/>
              <w:right w:w="100" w:type="dxa"/>
            </w:tcMar>
          </w:tcPr>
          <w:p w14:paraId="55EC506A" w14:textId="77777777" w:rsidR="005E4865" w:rsidRDefault="00097167">
            <w:pPr>
              <w:widowControl w:val="0"/>
              <w:pBdr>
                <w:top w:val="nil"/>
                <w:left w:val="nil"/>
                <w:bottom w:val="nil"/>
                <w:right w:val="nil"/>
                <w:between w:val="nil"/>
              </w:pBdr>
              <w:spacing w:after="0"/>
              <w:rPr>
                <w:b/>
                <w:bCs/>
              </w:rPr>
            </w:pPr>
            <w:r>
              <w:rPr>
                <w:b/>
                <w:bCs/>
              </w:rPr>
              <w:t xml:space="preserve">NHSX intervention </w:t>
            </w:r>
          </w:p>
        </w:tc>
        <w:tc>
          <w:tcPr>
            <w:tcW w:w="3120" w:type="dxa"/>
            <w:tcMar>
              <w:top w:w="100" w:type="dxa"/>
              <w:left w:w="100" w:type="dxa"/>
              <w:bottom w:w="100" w:type="dxa"/>
              <w:right w:w="100" w:type="dxa"/>
            </w:tcMar>
          </w:tcPr>
          <w:p w14:paraId="65D5E8AB" w14:textId="77777777" w:rsidR="005E4865" w:rsidRDefault="00097167">
            <w:pPr>
              <w:widowControl w:val="0"/>
              <w:pBdr>
                <w:top w:val="nil"/>
                <w:left w:val="nil"/>
                <w:bottom w:val="nil"/>
                <w:right w:val="nil"/>
                <w:between w:val="nil"/>
              </w:pBdr>
              <w:spacing w:after="0"/>
              <w:rPr>
                <w:b/>
                <w:bCs/>
              </w:rPr>
            </w:pPr>
            <w:r>
              <w:rPr>
                <w:b/>
                <w:bCs/>
              </w:rPr>
              <w:t>Strategic contribution</w:t>
            </w:r>
          </w:p>
        </w:tc>
      </w:tr>
      <w:tr w:rsidR="005E4865" w14:paraId="0AD84A0A" w14:textId="77777777">
        <w:tc>
          <w:tcPr>
            <w:tcW w:w="1485" w:type="dxa"/>
            <w:tcMar>
              <w:top w:w="100" w:type="dxa"/>
              <w:left w:w="100" w:type="dxa"/>
              <w:bottom w:w="100" w:type="dxa"/>
              <w:right w:w="100" w:type="dxa"/>
            </w:tcMar>
          </w:tcPr>
          <w:p w14:paraId="29EF0E6D" w14:textId="77777777" w:rsidR="005E4865" w:rsidRDefault="00097167">
            <w:pPr>
              <w:widowControl w:val="0"/>
              <w:pBdr>
                <w:top w:val="nil"/>
                <w:left w:val="nil"/>
                <w:bottom w:val="nil"/>
                <w:right w:val="nil"/>
                <w:between w:val="nil"/>
              </w:pBdr>
              <w:spacing w:after="0"/>
            </w:pPr>
            <w:r>
              <w:t>Empowered</w:t>
            </w:r>
          </w:p>
        </w:tc>
        <w:tc>
          <w:tcPr>
            <w:tcW w:w="4755" w:type="dxa"/>
            <w:tcMar>
              <w:top w:w="100" w:type="dxa"/>
              <w:left w:w="100" w:type="dxa"/>
              <w:bottom w:w="100" w:type="dxa"/>
              <w:right w:w="100" w:type="dxa"/>
            </w:tcMar>
          </w:tcPr>
          <w:p w14:paraId="53092DFC" w14:textId="77777777" w:rsidR="005E4865" w:rsidRDefault="00097167">
            <w:pPr>
              <w:widowControl w:val="0"/>
              <w:pBdr>
                <w:top w:val="nil"/>
                <w:left w:val="nil"/>
                <w:bottom w:val="nil"/>
                <w:right w:val="nil"/>
                <w:between w:val="nil"/>
              </w:pBdr>
              <w:spacing w:after="0"/>
            </w:pPr>
            <w:r>
              <w:t>Autonomy for the workforce with set boundaries for clinical practices and data security</w:t>
            </w:r>
          </w:p>
        </w:tc>
        <w:tc>
          <w:tcPr>
            <w:tcW w:w="3120" w:type="dxa"/>
            <w:tcMar>
              <w:top w:w="100" w:type="dxa"/>
              <w:left w:w="100" w:type="dxa"/>
              <w:bottom w:w="100" w:type="dxa"/>
              <w:right w:w="100" w:type="dxa"/>
            </w:tcMar>
          </w:tcPr>
          <w:p w14:paraId="2235F3D7" w14:textId="77777777" w:rsidR="005E4865" w:rsidRDefault="00097167">
            <w:pPr>
              <w:widowControl w:val="0"/>
              <w:pBdr>
                <w:top w:val="nil"/>
                <w:left w:val="nil"/>
                <w:bottom w:val="nil"/>
                <w:right w:val="nil"/>
                <w:between w:val="nil"/>
              </w:pBdr>
              <w:spacing w:after="0"/>
            </w:pPr>
            <w:r>
              <w:t>Rapid decision-making with accountability</w:t>
            </w:r>
          </w:p>
        </w:tc>
      </w:tr>
      <w:tr w:rsidR="005E4865" w14:paraId="26F6DFEA" w14:textId="77777777">
        <w:tc>
          <w:tcPr>
            <w:tcW w:w="1485" w:type="dxa"/>
            <w:tcMar>
              <w:top w:w="100" w:type="dxa"/>
              <w:left w:w="100" w:type="dxa"/>
              <w:bottom w:w="100" w:type="dxa"/>
              <w:right w:w="100" w:type="dxa"/>
            </w:tcMar>
          </w:tcPr>
          <w:p w14:paraId="269D0753" w14:textId="77777777" w:rsidR="005E4865" w:rsidRDefault="00097167">
            <w:pPr>
              <w:widowControl w:val="0"/>
              <w:pBdr>
                <w:top w:val="nil"/>
                <w:left w:val="nil"/>
                <w:bottom w:val="nil"/>
                <w:right w:val="nil"/>
                <w:between w:val="nil"/>
              </w:pBdr>
              <w:spacing w:after="0"/>
            </w:pPr>
            <w:r>
              <w:t>Agile</w:t>
            </w:r>
          </w:p>
        </w:tc>
        <w:tc>
          <w:tcPr>
            <w:tcW w:w="4755" w:type="dxa"/>
            <w:tcMar>
              <w:top w:w="100" w:type="dxa"/>
              <w:left w:w="100" w:type="dxa"/>
              <w:bottom w:w="100" w:type="dxa"/>
              <w:right w:w="100" w:type="dxa"/>
            </w:tcMar>
          </w:tcPr>
          <w:p w14:paraId="712EBCA3" w14:textId="77777777" w:rsidR="005E4865" w:rsidRDefault="00097167">
            <w:pPr>
              <w:widowControl w:val="0"/>
              <w:pBdr>
                <w:top w:val="nil"/>
                <w:left w:val="nil"/>
                <w:bottom w:val="nil"/>
                <w:right w:val="nil"/>
                <w:between w:val="nil"/>
              </w:pBdr>
              <w:spacing w:after="0"/>
            </w:pPr>
            <w:r>
              <w:t>Sprint lead to prototype and clinical feedback with retrospective</w:t>
            </w:r>
          </w:p>
        </w:tc>
        <w:tc>
          <w:tcPr>
            <w:tcW w:w="3120" w:type="dxa"/>
            <w:tcMar>
              <w:top w:w="100" w:type="dxa"/>
              <w:left w:w="100" w:type="dxa"/>
              <w:bottom w:w="100" w:type="dxa"/>
              <w:right w:w="100" w:type="dxa"/>
            </w:tcMar>
          </w:tcPr>
          <w:p w14:paraId="2907AFFA" w14:textId="77777777" w:rsidR="005E4865" w:rsidRDefault="00097167">
            <w:pPr>
              <w:widowControl w:val="0"/>
              <w:pBdr>
                <w:top w:val="nil"/>
                <w:left w:val="nil"/>
                <w:bottom w:val="nil"/>
                <w:right w:val="nil"/>
                <w:between w:val="nil"/>
              </w:pBdr>
              <w:spacing w:after="0"/>
            </w:pPr>
            <w:r>
              <w:t>Spontaneous experimentation and adaptation</w:t>
            </w:r>
          </w:p>
        </w:tc>
      </w:tr>
      <w:tr w:rsidR="005E4865" w14:paraId="1BB31A39" w14:textId="77777777">
        <w:tc>
          <w:tcPr>
            <w:tcW w:w="1485" w:type="dxa"/>
            <w:tcMar>
              <w:top w:w="100" w:type="dxa"/>
              <w:left w:w="100" w:type="dxa"/>
              <w:bottom w:w="100" w:type="dxa"/>
              <w:right w:w="100" w:type="dxa"/>
            </w:tcMar>
          </w:tcPr>
          <w:p w14:paraId="67F8E288" w14:textId="77777777" w:rsidR="005E4865" w:rsidRDefault="00097167">
            <w:pPr>
              <w:widowControl w:val="0"/>
              <w:pBdr>
                <w:top w:val="nil"/>
                <w:left w:val="nil"/>
                <w:bottom w:val="nil"/>
                <w:right w:val="nil"/>
                <w:between w:val="nil"/>
              </w:pBdr>
              <w:spacing w:after="0"/>
            </w:pPr>
            <w:r>
              <w:t xml:space="preserve">Digital </w:t>
            </w:r>
          </w:p>
        </w:tc>
        <w:tc>
          <w:tcPr>
            <w:tcW w:w="4755" w:type="dxa"/>
            <w:tcMar>
              <w:top w:w="100" w:type="dxa"/>
              <w:left w:w="100" w:type="dxa"/>
              <w:bottom w:w="100" w:type="dxa"/>
              <w:right w:w="100" w:type="dxa"/>
            </w:tcMar>
          </w:tcPr>
          <w:p w14:paraId="52176308" w14:textId="77777777" w:rsidR="005E4865" w:rsidRDefault="00097167">
            <w:pPr>
              <w:widowControl w:val="0"/>
              <w:pBdr>
                <w:top w:val="nil"/>
                <w:left w:val="nil"/>
                <w:bottom w:val="nil"/>
                <w:right w:val="nil"/>
                <w:between w:val="nil"/>
              </w:pBdr>
              <w:spacing w:after="0"/>
            </w:pPr>
            <w:r>
              <w:t>Shared workspace fostering AI retrieval and decision logs</w:t>
            </w:r>
          </w:p>
        </w:tc>
        <w:tc>
          <w:tcPr>
            <w:tcW w:w="3120" w:type="dxa"/>
            <w:tcMar>
              <w:top w:w="100" w:type="dxa"/>
              <w:left w:w="100" w:type="dxa"/>
              <w:bottom w:w="100" w:type="dxa"/>
              <w:right w:w="100" w:type="dxa"/>
            </w:tcMar>
          </w:tcPr>
          <w:p w14:paraId="663F0BC3" w14:textId="77777777" w:rsidR="005E4865" w:rsidRDefault="00097167">
            <w:pPr>
              <w:widowControl w:val="0"/>
              <w:pBdr>
                <w:top w:val="nil"/>
                <w:left w:val="nil"/>
                <w:bottom w:val="nil"/>
                <w:right w:val="nil"/>
                <w:between w:val="nil"/>
              </w:pBdr>
              <w:spacing w:after="0"/>
            </w:pPr>
            <w:r>
              <w:t xml:space="preserve">Knowledge dissemination </w:t>
            </w:r>
          </w:p>
        </w:tc>
      </w:tr>
      <w:tr w:rsidR="005E4865" w14:paraId="1A02A7F8" w14:textId="77777777">
        <w:tc>
          <w:tcPr>
            <w:tcW w:w="1485" w:type="dxa"/>
            <w:tcMar>
              <w:top w:w="100" w:type="dxa"/>
              <w:left w:w="100" w:type="dxa"/>
              <w:bottom w:w="100" w:type="dxa"/>
              <w:right w:w="100" w:type="dxa"/>
            </w:tcMar>
          </w:tcPr>
          <w:p w14:paraId="4101C324" w14:textId="77777777" w:rsidR="005E4865" w:rsidRDefault="00097167">
            <w:pPr>
              <w:widowControl w:val="0"/>
              <w:pBdr>
                <w:top w:val="nil"/>
                <w:left w:val="nil"/>
                <w:bottom w:val="nil"/>
                <w:right w:val="nil"/>
                <w:between w:val="nil"/>
              </w:pBdr>
              <w:spacing w:after="0"/>
            </w:pPr>
            <w:r>
              <w:t>PERFORM</w:t>
            </w:r>
          </w:p>
        </w:tc>
        <w:tc>
          <w:tcPr>
            <w:tcW w:w="4755" w:type="dxa"/>
            <w:tcMar>
              <w:top w:w="100" w:type="dxa"/>
              <w:left w:w="100" w:type="dxa"/>
              <w:bottom w:w="100" w:type="dxa"/>
              <w:right w:w="100" w:type="dxa"/>
            </w:tcMar>
          </w:tcPr>
          <w:p w14:paraId="7BA80C06" w14:textId="77777777" w:rsidR="005E4865" w:rsidRDefault="00097167">
            <w:pPr>
              <w:widowControl w:val="0"/>
              <w:pBdr>
                <w:top w:val="nil"/>
                <w:left w:val="nil"/>
                <w:bottom w:val="nil"/>
                <w:right w:val="nil"/>
                <w:between w:val="nil"/>
              </w:pBdr>
              <w:spacing w:after="0"/>
            </w:pPr>
            <w:r>
              <w:t>Facilitates purpose, empowerment, flexibility, relationships, optimisation, recognition and morale</w:t>
            </w:r>
          </w:p>
        </w:tc>
        <w:tc>
          <w:tcPr>
            <w:tcW w:w="3120" w:type="dxa"/>
            <w:tcMar>
              <w:top w:w="100" w:type="dxa"/>
              <w:left w:w="100" w:type="dxa"/>
              <w:bottom w:w="100" w:type="dxa"/>
              <w:right w:w="100" w:type="dxa"/>
            </w:tcMar>
          </w:tcPr>
          <w:p w14:paraId="78E23B1C" w14:textId="77777777" w:rsidR="005E4865" w:rsidRDefault="00097167">
            <w:pPr>
              <w:widowControl w:val="0"/>
              <w:pBdr>
                <w:top w:val="nil"/>
                <w:left w:val="nil"/>
                <w:bottom w:val="nil"/>
                <w:right w:val="nil"/>
                <w:between w:val="nil"/>
              </w:pBdr>
              <w:spacing w:after="0"/>
            </w:pPr>
            <w:r>
              <w:t>Performance evaluation with engagement and retention</w:t>
            </w:r>
          </w:p>
        </w:tc>
      </w:tr>
    </w:tbl>
    <w:p w14:paraId="72F2A63D" w14:textId="77777777" w:rsidR="005E4865" w:rsidRDefault="00097167">
      <w:pPr>
        <w:spacing w:after="0"/>
        <w:jc w:val="center"/>
        <w:rPr>
          <w:b/>
          <w:bCs/>
        </w:rPr>
      </w:pPr>
      <w:r>
        <w:rPr>
          <w:b/>
          <w:bCs/>
        </w:rPr>
        <w:t>Table 4: CEAD implementation and NHSX intervention</w:t>
      </w:r>
    </w:p>
    <w:p w14:paraId="61E0677F" w14:textId="77777777" w:rsidR="005E4865" w:rsidRDefault="00097167">
      <w:pPr>
        <w:spacing w:after="0"/>
        <w:jc w:val="center"/>
      </w:pPr>
      <w:r>
        <w:t xml:space="preserve">(Source: Influenced by Kanellopoulou </w:t>
      </w:r>
      <w:r>
        <w:rPr>
          <w:i/>
          <w:iCs/>
        </w:rPr>
        <w:t xml:space="preserve">et al., </w:t>
      </w:r>
      <w:r>
        <w:t>2025)</w:t>
      </w:r>
    </w:p>
    <w:p w14:paraId="78EF5E5B" w14:textId="77777777" w:rsidR="005E4865" w:rsidRDefault="00097167">
      <w:pPr>
        <w:spacing w:after="0"/>
      </w:pPr>
      <w:r>
        <w:t xml:space="preserve">The CEAD implementation flows from empowerment to agile, digital and PERFORM to develop innovative, collaborative and agile work environments leading to retention. Nonetheless, clear ownership and capability planning are essential here. </w:t>
      </w:r>
    </w:p>
    <w:p w14:paraId="1203C67E" w14:textId="77777777" w:rsidR="005E4865" w:rsidRDefault="00097167">
      <w:r>
        <w:br w:type="page"/>
      </w:r>
    </w:p>
    <w:p w14:paraId="35E285F3" w14:textId="77777777" w:rsidR="005E4865" w:rsidRDefault="00097167">
      <w:pPr>
        <w:pStyle w:val="Heading1"/>
      </w:pPr>
      <w:bookmarkStart w:id="4" w:name="_Toc242703327"/>
      <w:r>
        <w:lastRenderedPageBreak/>
        <w:t>Task B: Breeding an Environment Where Talent May Grow</w:t>
      </w:r>
      <w:bookmarkEnd w:id="4"/>
    </w:p>
    <w:p w14:paraId="4E397B44" w14:textId="77777777" w:rsidR="005E4865" w:rsidRDefault="00097167">
      <w:pPr>
        <w:pStyle w:val="Heading2"/>
      </w:pPr>
      <w:bookmarkStart w:id="5" w:name="_Toc242703328"/>
      <w:r>
        <w:t>2.1 Designing a strategic talent ecosystem to enhance the potential of human capital</w:t>
      </w:r>
      <w:bookmarkEnd w:id="5"/>
      <w:r>
        <w:t xml:space="preserve">  </w:t>
      </w:r>
    </w:p>
    <w:p w14:paraId="0E3ABE31" w14:textId="77777777" w:rsidR="005E4865" w:rsidRDefault="00097167">
      <w:pPr>
        <w:pBdr>
          <w:top w:val="nil"/>
          <w:left w:val="nil"/>
          <w:bottom w:val="nil"/>
          <w:right w:val="nil"/>
          <w:between w:val="nil"/>
        </w:pBdr>
        <w:spacing w:after="0"/>
        <w:rPr>
          <w:color w:val="000000"/>
        </w:rPr>
      </w:pPr>
      <w:r>
        <w:rPr>
          <w:color w:val="000000"/>
        </w:rPr>
        <w:t xml:space="preserve">The construction of a strategic talent ecosystem is depicted below, where 600 employees of NHSX can continuously develop and perform at their highest potential. </w:t>
      </w:r>
    </w:p>
    <w:p w14:paraId="7E9F1325" w14:textId="77777777" w:rsidR="005E4865" w:rsidRDefault="00097167">
      <w:pPr>
        <w:pBdr>
          <w:top w:val="nil"/>
          <w:left w:val="nil"/>
          <w:bottom w:val="nil"/>
          <w:right w:val="nil"/>
          <w:between w:val="nil"/>
        </w:pBdr>
        <w:spacing w:after="0"/>
        <w:rPr>
          <w:b/>
          <w:bCs/>
          <w:i/>
          <w:iCs/>
          <w:color w:val="000000"/>
          <w:u w:val="single"/>
        </w:rPr>
      </w:pPr>
      <w:r>
        <w:rPr>
          <w:b/>
          <w:bCs/>
          <w:i/>
          <w:iCs/>
          <w:color w:val="000000"/>
          <w:u w:val="single"/>
        </w:rPr>
        <w:t>Continuous capability development and learning</w:t>
      </w:r>
    </w:p>
    <w:p w14:paraId="37AE7F3C" w14:textId="77777777" w:rsidR="005E4865" w:rsidRDefault="00097167">
      <w:pPr>
        <w:pBdr>
          <w:top w:val="nil"/>
          <w:left w:val="nil"/>
          <w:bottom w:val="nil"/>
          <w:right w:val="nil"/>
          <w:between w:val="nil"/>
        </w:pBdr>
        <w:spacing w:after="0"/>
        <w:rPr>
          <w:color w:val="000000"/>
        </w:rPr>
      </w:pPr>
      <w:r>
        <w:rPr>
          <w:color w:val="000000"/>
        </w:rPr>
        <w:t>Creating a talent management ecosystem combining Senge’s Learning Organisation and Dweck’s Growth Mindset creates a blueprint for accelerating innovativeness for NHSX.</w:t>
      </w:r>
    </w:p>
    <w:p w14:paraId="3C53DFF6" w14:textId="77777777" w:rsidR="005E4865" w:rsidRDefault="00097167">
      <w:pPr>
        <w:numPr>
          <w:ilvl w:val="0"/>
          <w:numId w:val="2"/>
        </w:numPr>
        <w:pBdr>
          <w:top w:val="nil"/>
          <w:left w:val="nil"/>
          <w:bottom w:val="nil"/>
          <w:right w:val="nil"/>
          <w:between w:val="nil"/>
        </w:pBdr>
        <w:spacing w:after="0"/>
        <w:rPr>
          <w:b/>
          <w:bCs/>
          <w:i/>
          <w:iCs/>
          <w:color w:val="000000"/>
        </w:rPr>
      </w:pPr>
      <w:r>
        <w:rPr>
          <w:b/>
          <w:bCs/>
          <w:i/>
          <w:iCs/>
          <w:color w:val="000000"/>
        </w:rPr>
        <w:t>Systems thinking and addressing employee wellbeing</w:t>
      </w:r>
    </w:p>
    <w:p w14:paraId="78C3BEEC" w14:textId="77777777" w:rsidR="005E4865" w:rsidRDefault="00097167">
      <w:pPr>
        <w:pBdr>
          <w:top w:val="nil"/>
          <w:left w:val="nil"/>
          <w:bottom w:val="nil"/>
          <w:right w:val="nil"/>
          <w:between w:val="nil"/>
        </w:pBdr>
        <w:spacing w:after="0"/>
        <w:rPr>
          <w:color w:val="000000"/>
        </w:rPr>
      </w:pPr>
      <w:r>
        <w:rPr>
          <w:color w:val="000000"/>
        </w:rPr>
        <w:t>Combining systems thinking with growth mindset philosophy will allow NHSX to equally prioritise high efficiency and employee wellbeing by integrating systematic KPIs to track project execution pace and employee burnout simultaneously</w:t>
      </w:r>
      <w:r w:rsidR="009003E7">
        <w:rPr>
          <w:color w:val="000000"/>
        </w:rPr>
        <w:t xml:space="preserve"> (</w:t>
      </w:r>
      <w:r w:rsidR="009003E7" w:rsidRPr="00233CAA">
        <w:t>Bagherian</w:t>
      </w:r>
      <w:r w:rsidR="009003E7">
        <w:t xml:space="preserve"> </w:t>
      </w:r>
      <w:r w:rsidR="009003E7" w:rsidRPr="009003E7">
        <w:rPr>
          <w:i/>
        </w:rPr>
        <w:t>et al.</w:t>
      </w:r>
      <w:r w:rsidR="009003E7">
        <w:t xml:space="preserve"> 2023</w:t>
      </w:r>
      <w:r w:rsidR="009003E7">
        <w:rPr>
          <w:color w:val="000000"/>
        </w:rPr>
        <w:t>)</w:t>
      </w:r>
      <w:r>
        <w:rPr>
          <w:color w:val="000000"/>
        </w:rPr>
        <w:t xml:space="preserve">. </w:t>
      </w:r>
    </w:p>
    <w:p w14:paraId="08806CC8" w14:textId="77777777" w:rsidR="005E4865" w:rsidRDefault="00097167">
      <w:pPr>
        <w:numPr>
          <w:ilvl w:val="0"/>
          <w:numId w:val="7"/>
        </w:numPr>
        <w:pBdr>
          <w:top w:val="nil"/>
          <w:left w:val="nil"/>
          <w:bottom w:val="nil"/>
          <w:right w:val="nil"/>
          <w:between w:val="nil"/>
        </w:pBdr>
        <w:spacing w:after="0"/>
        <w:rPr>
          <w:b/>
          <w:bCs/>
          <w:i/>
          <w:iCs/>
          <w:color w:val="000000"/>
        </w:rPr>
      </w:pPr>
      <w:r>
        <w:rPr>
          <w:b/>
          <w:bCs/>
          <w:i/>
          <w:iCs/>
          <w:color w:val="000000"/>
        </w:rPr>
        <w:t>Personal mastery and growth mindset for retention</w:t>
      </w:r>
    </w:p>
    <w:p w14:paraId="41D9F0AD" w14:textId="77777777" w:rsidR="005E4865" w:rsidRDefault="00097167">
      <w:pPr>
        <w:pBdr>
          <w:top w:val="nil"/>
          <w:left w:val="nil"/>
          <w:bottom w:val="nil"/>
          <w:right w:val="nil"/>
          <w:between w:val="nil"/>
        </w:pBdr>
        <w:spacing w:after="0"/>
        <w:rPr>
          <w:color w:val="000000"/>
        </w:rPr>
      </w:pPr>
      <w:r>
        <w:rPr>
          <w:color w:val="000000"/>
        </w:rPr>
        <w:t xml:space="preserve">Discarding linear career progression paths, employees at NHSX will be given opportunities to execute daily tasks with evolving AI tools and digital technologies. Creating customised career progression opportunities helps high-performing employees to overcome deeply held assumptions about perceived career advancement limitations and increase employee retention (Havens, 2025). </w:t>
      </w:r>
    </w:p>
    <w:p w14:paraId="60F2E347" w14:textId="77777777" w:rsidR="005E4865" w:rsidRDefault="00097167">
      <w:pPr>
        <w:numPr>
          <w:ilvl w:val="0"/>
          <w:numId w:val="6"/>
        </w:numPr>
        <w:pBdr>
          <w:top w:val="nil"/>
          <w:left w:val="nil"/>
          <w:bottom w:val="nil"/>
          <w:right w:val="nil"/>
          <w:between w:val="nil"/>
        </w:pBdr>
        <w:spacing w:after="0"/>
        <w:rPr>
          <w:b/>
          <w:bCs/>
          <w:i/>
          <w:iCs/>
          <w:color w:val="000000"/>
        </w:rPr>
      </w:pPr>
      <w:r>
        <w:rPr>
          <w:b/>
          <w:bCs/>
          <w:i/>
          <w:iCs/>
          <w:color w:val="000000"/>
        </w:rPr>
        <w:t>Team learning and cross-border collaboration</w:t>
      </w:r>
    </w:p>
    <w:p w14:paraId="6106111A" w14:textId="77777777" w:rsidR="005E4865" w:rsidRDefault="00097167">
      <w:pPr>
        <w:pBdr>
          <w:top w:val="nil"/>
          <w:left w:val="nil"/>
          <w:bottom w:val="nil"/>
          <w:right w:val="nil"/>
          <w:between w:val="nil"/>
        </w:pBdr>
        <w:spacing w:after="0"/>
        <w:rPr>
          <w:color w:val="000000"/>
        </w:rPr>
      </w:pPr>
      <w:r>
        <w:rPr>
          <w:color w:val="000000"/>
        </w:rPr>
        <w:t xml:space="preserve">To address weak knowledge sharing, NHSX may develop cross-border high-potential groups where international team members collaboratively solve digital health platform problems. Developing collective intelligence capacities sparks creativity and cross-functional collaboration (Khalifa and Anwar, 2024). </w:t>
      </w:r>
    </w:p>
    <w:p w14:paraId="40CB0B61" w14:textId="77777777" w:rsidR="005E4865" w:rsidRDefault="00097167">
      <w:pPr>
        <w:numPr>
          <w:ilvl w:val="0"/>
          <w:numId w:val="3"/>
        </w:numPr>
        <w:pBdr>
          <w:top w:val="nil"/>
          <w:left w:val="nil"/>
          <w:bottom w:val="nil"/>
          <w:right w:val="nil"/>
          <w:between w:val="nil"/>
        </w:pBdr>
        <w:spacing w:after="0"/>
        <w:rPr>
          <w:b/>
          <w:bCs/>
          <w:i/>
          <w:iCs/>
          <w:color w:val="000000"/>
        </w:rPr>
      </w:pPr>
      <w:r>
        <w:rPr>
          <w:b/>
          <w:bCs/>
          <w:i/>
          <w:iCs/>
          <w:color w:val="000000"/>
        </w:rPr>
        <w:t>Mental models</w:t>
      </w:r>
    </w:p>
    <w:p w14:paraId="48806885" w14:textId="77777777" w:rsidR="005E4865" w:rsidRDefault="00097167">
      <w:pPr>
        <w:pBdr>
          <w:top w:val="nil"/>
          <w:left w:val="nil"/>
          <w:bottom w:val="nil"/>
          <w:right w:val="nil"/>
          <w:between w:val="nil"/>
        </w:pBdr>
        <w:spacing w:after="0"/>
        <w:rPr>
          <w:color w:val="000000"/>
        </w:rPr>
      </w:pPr>
      <w:r>
        <w:rPr>
          <w:color w:val="000000"/>
        </w:rPr>
        <w:t xml:space="preserve">NHSX must reduce internal organisational pressure by decoupling performance evaluation metrics from innovative capabilities, launching an isolated AI sandbox for employees to experiment with creative clinical decision-making tools, and encouraging them to learn from setbacks. </w:t>
      </w:r>
    </w:p>
    <w:p w14:paraId="01369FD2" w14:textId="77777777" w:rsidR="005E4865" w:rsidRDefault="00097167">
      <w:pPr>
        <w:pBdr>
          <w:top w:val="nil"/>
          <w:left w:val="nil"/>
          <w:bottom w:val="nil"/>
          <w:right w:val="nil"/>
          <w:between w:val="nil"/>
        </w:pBdr>
        <w:spacing w:after="0"/>
        <w:rPr>
          <w:color w:val="000000"/>
        </w:rPr>
      </w:pPr>
      <w:r>
        <w:rPr>
          <w:noProof/>
          <w:color w:val="000000"/>
          <w:lang w:val="en-US" w:eastAsia="en-US"/>
        </w:rPr>
        <w:lastRenderedPageBreak/>
        <w:drawing>
          <wp:inline distT="114300" distB="114300" distL="114300" distR="114300" wp14:anchorId="3F47CF1D" wp14:editId="146B8BB6">
            <wp:extent cx="6144260" cy="3553460"/>
            <wp:effectExtent l="19050" t="19050" r="8890" b="889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cstate="print"/>
                    <a:srcRect/>
                    <a:stretch>
                      <a:fillRect/>
                    </a:stretch>
                  </pic:blipFill>
                  <pic:spPr>
                    <a:xfrm>
                      <a:off x="0" y="0"/>
                      <a:ext cx="6144260" cy="3553460"/>
                    </a:xfrm>
                    <a:prstGeom prst="rect">
                      <a:avLst/>
                    </a:prstGeom>
                    <a:ln w="12700">
                      <a:solidFill>
                        <a:srgbClr val="000000"/>
                      </a:solidFill>
                      <a:prstDash val="solid"/>
                    </a:ln>
                  </pic:spPr>
                </pic:pic>
              </a:graphicData>
            </a:graphic>
          </wp:inline>
        </w:drawing>
      </w:r>
    </w:p>
    <w:p w14:paraId="279DE52D" w14:textId="77777777" w:rsidR="005E4865" w:rsidRDefault="00097167">
      <w:pPr>
        <w:pBdr>
          <w:top w:val="nil"/>
          <w:left w:val="nil"/>
          <w:bottom w:val="nil"/>
          <w:right w:val="nil"/>
          <w:between w:val="nil"/>
        </w:pBdr>
        <w:spacing w:after="0"/>
        <w:jc w:val="center"/>
        <w:rPr>
          <w:b/>
          <w:bCs/>
          <w:color w:val="000000"/>
        </w:rPr>
      </w:pPr>
      <w:r>
        <w:rPr>
          <w:b/>
          <w:bCs/>
          <w:color w:val="000000"/>
        </w:rPr>
        <w:t>Figure 5: Integrating learning organisation and growth mindset to enhance talent ecosystem</w:t>
      </w:r>
    </w:p>
    <w:p w14:paraId="6F6DB76D" w14:textId="77777777" w:rsidR="005E4865" w:rsidRDefault="00097167">
      <w:pPr>
        <w:pBdr>
          <w:top w:val="nil"/>
          <w:left w:val="nil"/>
          <w:bottom w:val="nil"/>
          <w:right w:val="nil"/>
          <w:between w:val="nil"/>
        </w:pBdr>
        <w:spacing w:after="0"/>
        <w:jc w:val="center"/>
        <w:rPr>
          <w:color w:val="000000"/>
        </w:rPr>
      </w:pPr>
      <w:r>
        <w:rPr>
          <w:color w:val="000000"/>
        </w:rPr>
        <w:t>(Source: Self-developed)</w:t>
      </w:r>
    </w:p>
    <w:p w14:paraId="5F22D242" w14:textId="77777777" w:rsidR="005E4865" w:rsidRDefault="00097167">
      <w:pPr>
        <w:pBdr>
          <w:top w:val="nil"/>
          <w:left w:val="nil"/>
          <w:bottom w:val="nil"/>
          <w:right w:val="nil"/>
          <w:between w:val="nil"/>
        </w:pBdr>
        <w:spacing w:after="0"/>
        <w:rPr>
          <w:b/>
          <w:bCs/>
          <w:i/>
          <w:iCs/>
          <w:color w:val="000000"/>
          <w:u w:val="single"/>
        </w:rPr>
      </w:pPr>
      <w:r>
        <w:rPr>
          <w:b/>
          <w:bCs/>
          <w:i/>
          <w:iCs/>
          <w:color w:val="000000"/>
          <w:u w:val="single"/>
        </w:rPr>
        <w:t xml:space="preserve">Combining Psychological Safety (Edmondson) with Talent Management Frameworks </w:t>
      </w:r>
    </w:p>
    <w:p w14:paraId="55E927BC" w14:textId="77777777" w:rsidR="005E4865" w:rsidRDefault="00097167">
      <w:pPr>
        <w:pBdr>
          <w:top w:val="nil"/>
          <w:left w:val="nil"/>
          <w:bottom w:val="nil"/>
          <w:right w:val="nil"/>
          <w:between w:val="nil"/>
        </w:pBdr>
        <w:spacing w:after="0"/>
        <w:rPr>
          <w:color w:val="000000"/>
        </w:rPr>
      </w:pPr>
      <w:r>
        <w:rPr>
          <w:color w:val="000000"/>
        </w:rPr>
        <w:t xml:space="preserve">Embedding psychological safety into talent management cycles can be an effective strategic direction for talent management at NHSX. Talent management teams at NHSX should develop agile cross-border interdisciplinary teams with decentralised decision-making authority, which will facilitate willingness to take risks and engage in creative experimentation, hence fostering talent deployment through safe autonomy (Chinyuku and Qutieshat, 2025). To encourage talent development, organisational culture should be modified by normalising mistakes and treating them as a source of learning data.  </w:t>
      </w:r>
    </w:p>
    <w:p w14:paraId="15FB13CA" w14:textId="77777777" w:rsidR="008C3061" w:rsidRDefault="008C3061">
      <w:pPr>
        <w:rPr>
          <w:b/>
          <w:bCs/>
          <w:i/>
          <w:iCs/>
          <w:color w:val="000000"/>
          <w:u w:val="single"/>
        </w:rPr>
      </w:pPr>
      <w:r>
        <w:rPr>
          <w:b/>
          <w:bCs/>
          <w:i/>
          <w:iCs/>
          <w:color w:val="000000"/>
          <w:u w:val="single"/>
        </w:rPr>
        <w:br w:type="page"/>
      </w:r>
    </w:p>
    <w:p w14:paraId="6CA63781" w14:textId="7DA3F501" w:rsidR="005E4865" w:rsidRDefault="00097167">
      <w:pPr>
        <w:pBdr>
          <w:top w:val="nil"/>
          <w:left w:val="nil"/>
          <w:bottom w:val="nil"/>
          <w:right w:val="nil"/>
          <w:between w:val="nil"/>
        </w:pBdr>
        <w:spacing w:after="0"/>
        <w:rPr>
          <w:b/>
          <w:bCs/>
          <w:i/>
          <w:iCs/>
          <w:color w:val="000000"/>
          <w:u w:val="single"/>
        </w:rPr>
      </w:pPr>
      <w:r>
        <w:rPr>
          <w:b/>
          <w:bCs/>
          <w:i/>
          <w:iCs/>
          <w:color w:val="000000"/>
          <w:u w:val="single"/>
        </w:rPr>
        <w:lastRenderedPageBreak/>
        <w:t xml:space="preserve">Blending Job Crafting Theory (SDT) with Self-Determination Theory to Employee Experience (EX) </w:t>
      </w:r>
    </w:p>
    <w:p w14:paraId="3FAC3265" w14:textId="77777777" w:rsidR="005E4865" w:rsidRDefault="00097167">
      <w:pPr>
        <w:pBdr>
          <w:top w:val="nil"/>
          <w:left w:val="nil"/>
          <w:bottom w:val="nil"/>
          <w:right w:val="nil"/>
          <w:between w:val="nil"/>
        </w:pBdr>
        <w:spacing w:after="0"/>
        <w:rPr>
          <w:color w:val="000000"/>
        </w:rPr>
      </w:pPr>
      <w:r>
        <w:rPr>
          <w:color w:val="000000"/>
        </w:rPr>
        <w:t xml:space="preserve">SDT and job crafting foster employee wellbeing and high-performing capability by modernising employee experience.   </w:t>
      </w:r>
    </w:p>
    <w:tbl>
      <w:tblPr>
        <w:tblStyle w:val="a7"/>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E4865" w14:paraId="5557ADA8" w14:textId="77777777">
        <w:trPr>
          <w:jc w:val="center"/>
        </w:trPr>
        <w:tc>
          <w:tcPr>
            <w:tcW w:w="3120" w:type="dxa"/>
            <w:tcMar>
              <w:top w:w="100" w:type="dxa"/>
              <w:left w:w="100" w:type="dxa"/>
              <w:bottom w:w="100" w:type="dxa"/>
              <w:right w:w="100" w:type="dxa"/>
            </w:tcMar>
          </w:tcPr>
          <w:p w14:paraId="4C162123" w14:textId="77777777" w:rsidR="005E4865" w:rsidRDefault="00097167">
            <w:pPr>
              <w:widowControl w:val="0"/>
              <w:pBdr>
                <w:top w:val="nil"/>
                <w:left w:val="nil"/>
                <w:bottom w:val="nil"/>
                <w:right w:val="nil"/>
                <w:between w:val="nil"/>
              </w:pBdr>
              <w:spacing w:after="0"/>
              <w:rPr>
                <w:b/>
                <w:bCs/>
                <w:color w:val="000000"/>
              </w:rPr>
            </w:pPr>
            <w:r>
              <w:rPr>
                <w:b/>
                <w:bCs/>
                <w:color w:val="000000"/>
              </w:rPr>
              <w:t xml:space="preserve">Self-determination theory core aspects </w:t>
            </w:r>
          </w:p>
        </w:tc>
        <w:tc>
          <w:tcPr>
            <w:tcW w:w="3120" w:type="dxa"/>
            <w:tcMar>
              <w:top w:w="100" w:type="dxa"/>
              <w:left w:w="100" w:type="dxa"/>
              <w:bottom w:w="100" w:type="dxa"/>
              <w:right w:w="100" w:type="dxa"/>
            </w:tcMar>
          </w:tcPr>
          <w:p w14:paraId="08020A65" w14:textId="77777777" w:rsidR="005E4865" w:rsidRDefault="00097167">
            <w:pPr>
              <w:widowControl w:val="0"/>
              <w:pBdr>
                <w:top w:val="nil"/>
                <w:left w:val="nil"/>
                <w:bottom w:val="nil"/>
                <w:right w:val="nil"/>
                <w:between w:val="nil"/>
              </w:pBdr>
              <w:spacing w:after="0"/>
              <w:rPr>
                <w:b/>
                <w:bCs/>
                <w:color w:val="000000"/>
              </w:rPr>
            </w:pPr>
            <w:r>
              <w:rPr>
                <w:b/>
                <w:bCs/>
                <w:color w:val="000000"/>
              </w:rPr>
              <w:t>Job drafting elements</w:t>
            </w:r>
          </w:p>
        </w:tc>
        <w:tc>
          <w:tcPr>
            <w:tcW w:w="3120" w:type="dxa"/>
            <w:tcMar>
              <w:top w:w="100" w:type="dxa"/>
              <w:left w:w="100" w:type="dxa"/>
              <w:bottom w:w="100" w:type="dxa"/>
              <w:right w:w="100" w:type="dxa"/>
            </w:tcMar>
          </w:tcPr>
          <w:p w14:paraId="51556D87" w14:textId="77777777" w:rsidR="005E4865" w:rsidRDefault="00097167">
            <w:pPr>
              <w:widowControl w:val="0"/>
              <w:pBdr>
                <w:top w:val="nil"/>
                <w:left w:val="nil"/>
                <w:bottom w:val="nil"/>
                <w:right w:val="nil"/>
                <w:between w:val="nil"/>
              </w:pBdr>
              <w:spacing w:after="0"/>
              <w:rPr>
                <w:b/>
                <w:bCs/>
                <w:color w:val="000000"/>
              </w:rPr>
            </w:pPr>
            <w:r>
              <w:rPr>
                <w:b/>
                <w:bCs/>
                <w:color w:val="000000"/>
              </w:rPr>
              <w:t>Enabling Employee experience</w:t>
            </w:r>
          </w:p>
        </w:tc>
      </w:tr>
      <w:tr w:rsidR="005E4865" w14:paraId="5D3CAC2C" w14:textId="77777777">
        <w:trPr>
          <w:jc w:val="center"/>
        </w:trPr>
        <w:tc>
          <w:tcPr>
            <w:tcW w:w="3120" w:type="dxa"/>
            <w:tcMar>
              <w:top w:w="100" w:type="dxa"/>
              <w:left w:w="100" w:type="dxa"/>
              <w:bottom w:w="100" w:type="dxa"/>
              <w:right w:w="100" w:type="dxa"/>
            </w:tcMar>
          </w:tcPr>
          <w:p w14:paraId="1FADE92A" w14:textId="77777777" w:rsidR="005E4865" w:rsidRDefault="00097167">
            <w:pPr>
              <w:widowControl w:val="0"/>
              <w:pBdr>
                <w:top w:val="nil"/>
                <w:left w:val="nil"/>
                <w:bottom w:val="nil"/>
                <w:right w:val="nil"/>
                <w:between w:val="nil"/>
              </w:pBdr>
              <w:spacing w:after="0"/>
              <w:rPr>
                <w:color w:val="000000"/>
              </w:rPr>
            </w:pPr>
            <w:r>
              <w:rPr>
                <w:color w:val="000000"/>
              </w:rPr>
              <w:t xml:space="preserve">Autonomy-control over decision-making </w:t>
            </w:r>
          </w:p>
        </w:tc>
        <w:tc>
          <w:tcPr>
            <w:tcW w:w="3120" w:type="dxa"/>
            <w:tcMar>
              <w:top w:w="100" w:type="dxa"/>
              <w:left w:w="100" w:type="dxa"/>
              <w:bottom w:w="100" w:type="dxa"/>
              <w:right w:w="100" w:type="dxa"/>
            </w:tcMar>
          </w:tcPr>
          <w:p w14:paraId="6DD6AFA5" w14:textId="77777777" w:rsidR="005E4865" w:rsidRDefault="00097167">
            <w:pPr>
              <w:widowControl w:val="0"/>
              <w:pBdr>
                <w:top w:val="nil"/>
                <w:left w:val="nil"/>
                <w:bottom w:val="nil"/>
                <w:right w:val="nil"/>
                <w:between w:val="nil"/>
              </w:pBdr>
              <w:spacing w:after="0"/>
              <w:rPr>
                <w:color w:val="000000"/>
              </w:rPr>
            </w:pPr>
            <w:r>
              <w:rPr>
                <w:color w:val="000000"/>
              </w:rPr>
              <w:t>Task crafting-ability to alter scope, form, and number of daily activities</w:t>
            </w:r>
          </w:p>
        </w:tc>
        <w:tc>
          <w:tcPr>
            <w:tcW w:w="3120" w:type="dxa"/>
            <w:tcMar>
              <w:top w:w="100" w:type="dxa"/>
              <w:left w:w="100" w:type="dxa"/>
              <w:bottom w:w="100" w:type="dxa"/>
              <w:right w:w="100" w:type="dxa"/>
            </w:tcMar>
          </w:tcPr>
          <w:p w14:paraId="601D4067" w14:textId="77777777" w:rsidR="005E4865" w:rsidRDefault="00097167">
            <w:pPr>
              <w:widowControl w:val="0"/>
              <w:pBdr>
                <w:top w:val="nil"/>
                <w:left w:val="nil"/>
                <w:bottom w:val="nil"/>
                <w:right w:val="nil"/>
                <w:between w:val="nil"/>
              </w:pBdr>
              <w:spacing w:after="0"/>
              <w:rPr>
                <w:color w:val="000000"/>
              </w:rPr>
            </w:pPr>
            <w:r>
              <w:rPr>
                <w:color w:val="000000"/>
              </w:rPr>
              <w:t>Employees are allowed autonomy to decide how and when they develop AI architecture within given project deliverables</w:t>
            </w:r>
          </w:p>
        </w:tc>
      </w:tr>
      <w:tr w:rsidR="005E4865" w14:paraId="2404D568" w14:textId="77777777">
        <w:trPr>
          <w:jc w:val="center"/>
        </w:trPr>
        <w:tc>
          <w:tcPr>
            <w:tcW w:w="3120" w:type="dxa"/>
            <w:tcMar>
              <w:top w:w="100" w:type="dxa"/>
              <w:left w:w="100" w:type="dxa"/>
              <w:bottom w:w="100" w:type="dxa"/>
              <w:right w:w="100" w:type="dxa"/>
            </w:tcMar>
          </w:tcPr>
          <w:p w14:paraId="7BA5FE61" w14:textId="77777777" w:rsidR="005E4865" w:rsidRDefault="00097167">
            <w:pPr>
              <w:widowControl w:val="0"/>
              <w:pBdr>
                <w:top w:val="nil"/>
                <w:left w:val="nil"/>
                <w:bottom w:val="nil"/>
                <w:right w:val="nil"/>
                <w:between w:val="nil"/>
              </w:pBdr>
              <w:spacing w:after="0"/>
              <w:rPr>
                <w:color w:val="000000"/>
              </w:rPr>
            </w:pPr>
            <w:r>
              <w:rPr>
                <w:color w:val="000000"/>
              </w:rPr>
              <w:t>Competence- intrinsic motivation to gain new skills</w:t>
            </w:r>
          </w:p>
        </w:tc>
        <w:tc>
          <w:tcPr>
            <w:tcW w:w="3120" w:type="dxa"/>
            <w:tcMar>
              <w:top w:w="100" w:type="dxa"/>
              <w:left w:w="100" w:type="dxa"/>
              <w:bottom w:w="100" w:type="dxa"/>
              <w:right w:w="100" w:type="dxa"/>
            </w:tcMar>
          </w:tcPr>
          <w:p w14:paraId="2A1CCCBF" w14:textId="77777777" w:rsidR="005E4865" w:rsidRDefault="00097167">
            <w:pPr>
              <w:widowControl w:val="0"/>
              <w:pBdr>
                <w:top w:val="nil"/>
                <w:left w:val="nil"/>
                <w:bottom w:val="nil"/>
                <w:right w:val="nil"/>
                <w:between w:val="nil"/>
              </w:pBdr>
              <w:spacing w:after="0"/>
              <w:rPr>
                <w:color w:val="000000"/>
              </w:rPr>
            </w:pPr>
            <w:r>
              <w:rPr>
                <w:color w:val="000000"/>
              </w:rPr>
              <w:t>Cognitive crafting- unlocking underlying value and purpose of one’s job</w:t>
            </w:r>
          </w:p>
        </w:tc>
        <w:tc>
          <w:tcPr>
            <w:tcW w:w="3120" w:type="dxa"/>
            <w:tcMar>
              <w:top w:w="100" w:type="dxa"/>
              <w:left w:w="100" w:type="dxa"/>
              <w:bottom w:w="100" w:type="dxa"/>
              <w:right w:w="100" w:type="dxa"/>
            </w:tcMar>
          </w:tcPr>
          <w:p w14:paraId="2DE77874" w14:textId="77777777" w:rsidR="005E4865" w:rsidRDefault="00097167">
            <w:pPr>
              <w:widowControl w:val="0"/>
              <w:pBdr>
                <w:top w:val="nil"/>
                <w:left w:val="nil"/>
                <w:bottom w:val="nil"/>
                <w:right w:val="nil"/>
                <w:between w:val="nil"/>
              </w:pBdr>
              <w:spacing w:after="0"/>
              <w:rPr>
                <w:color w:val="000000"/>
              </w:rPr>
            </w:pPr>
            <w:r>
              <w:rPr>
                <w:color w:val="000000"/>
              </w:rPr>
              <w:t>Gaining autonomy to allocate 10% of work hours  dedicated to self-directed learning, upskilling, and gaining access to experience with AI-enabled clinical platform solutions</w:t>
            </w:r>
          </w:p>
        </w:tc>
      </w:tr>
      <w:tr w:rsidR="005E4865" w14:paraId="7C5F57B3" w14:textId="77777777">
        <w:trPr>
          <w:jc w:val="center"/>
        </w:trPr>
        <w:tc>
          <w:tcPr>
            <w:tcW w:w="3120" w:type="dxa"/>
            <w:tcMar>
              <w:top w:w="100" w:type="dxa"/>
              <w:left w:w="100" w:type="dxa"/>
              <w:bottom w:w="100" w:type="dxa"/>
              <w:right w:w="100" w:type="dxa"/>
            </w:tcMar>
          </w:tcPr>
          <w:p w14:paraId="687BB365" w14:textId="77777777" w:rsidR="005E4865" w:rsidRDefault="00097167">
            <w:pPr>
              <w:widowControl w:val="0"/>
              <w:pBdr>
                <w:top w:val="nil"/>
                <w:left w:val="nil"/>
                <w:bottom w:val="nil"/>
                <w:right w:val="nil"/>
                <w:between w:val="nil"/>
              </w:pBdr>
              <w:spacing w:after="0"/>
              <w:rPr>
                <w:color w:val="000000"/>
              </w:rPr>
            </w:pPr>
            <w:r>
              <w:rPr>
                <w:color w:val="000000"/>
              </w:rPr>
              <w:t>Relatedness- intrinsic motivation to take part in team collaboration</w:t>
            </w:r>
          </w:p>
        </w:tc>
        <w:tc>
          <w:tcPr>
            <w:tcW w:w="3120" w:type="dxa"/>
            <w:tcMar>
              <w:top w:w="100" w:type="dxa"/>
              <w:left w:w="100" w:type="dxa"/>
              <w:bottom w:w="100" w:type="dxa"/>
              <w:right w:w="100" w:type="dxa"/>
            </w:tcMar>
          </w:tcPr>
          <w:p w14:paraId="6C9E27DE" w14:textId="77777777" w:rsidR="005E4865" w:rsidRDefault="00097167">
            <w:pPr>
              <w:widowControl w:val="0"/>
              <w:pBdr>
                <w:top w:val="nil"/>
                <w:left w:val="nil"/>
                <w:bottom w:val="nil"/>
                <w:right w:val="nil"/>
                <w:between w:val="nil"/>
              </w:pBdr>
              <w:spacing w:after="0"/>
              <w:rPr>
                <w:color w:val="000000"/>
              </w:rPr>
            </w:pPr>
            <w:r>
              <w:rPr>
                <w:color w:val="000000"/>
              </w:rPr>
              <w:t>Relational crafting- modifying the frequency and nature of workplace interaction</w:t>
            </w:r>
          </w:p>
        </w:tc>
        <w:tc>
          <w:tcPr>
            <w:tcW w:w="3120" w:type="dxa"/>
            <w:tcMar>
              <w:top w:w="100" w:type="dxa"/>
              <w:left w:w="100" w:type="dxa"/>
              <w:bottom w:w="100" w:type="dxa"/>
              <w:right w:w="100" w:type="dxa"/>
            </w:tcMar>
          </w:tcPr>
          <w:p w14:paraId="0A6C6B5C" w14:textId="77777777" w:rsidR="005E4865" w:rsidRDefault="00097167">
            <w:pPr>
              <w:widowControl w:val="0"/>
              <w:pBdr>
                <w:top w:val="nil"/>
                <w:left w:val="nil"/>
                <w:bottom w:val="nil"/>
                <w:right w:val="nil"/>
                <w:between w:val="nil"/>
              </w:pBdr>
              <w:spacing w:after="0"/>
              <w:rPr>
                <w:color w:val="000000"/>
              </w:rPr>
            </w:pPr>
            <w:r>
              <w:rPr>
                <w:color w:val="000000"/>
              </w:rPr>
              <w:t>Eradicating the need for hierarchical approval to collaborate with cross-functional team members</w:t>
            </w:r>
          </w:p>
        </w:tc>
      </w:tr>
    </w:tbl>
    <w:p w14:paraId="70B45F77" w14:textId="77777777" w:rsidR="005E4865" w:rsidRDefault="00097167">
      <w:pPr>
        <w:pBdr>
          <w:top w:val="nil"/>
          <w:left w:val="nil"/>
          <w:bottom w:val="nil"/>
          <w:right w:val="nil"/>
          <w:between w:val="nil"/>
        </w:pBdr>
        <w:spacing w:after="0"/>
        <w:jc w:val="center"/>
        <w:rPr>
          <w:b/>
          <w:bCs/>
          <w:color w:val="000000"/>
        </w:rPr>
      </w:pPr>
      <w:r>
        <w:rPr>
          <w:b/>
          <w:bCs/>
          <w:color w:val="000000"/>
        </w:rPr>
        <w:t>Table 5: Creating a strategic ecosystem for enhanced EX combining SDT and Job crafting theory</w:t>
      </w:r>
    </w:p>
    <w:p w14:paraId="52BF58BB" w14:textId="77777777" w:rsidR="005E4865" w:rsidRDefault="00097167">
      <w:pPr>
        <w:pBdr>
          <w:top w:val="nil"/>
          <w:left w:val="nil"/>
          <w:bottom w:val="nil"/>
          <w:right w:val="nil"/>
          <w:between w:val="nil"/>
        </w:pBdr>
        <w:spacing w:after="0"/>
        <w:jc w:val="center"/>
        <w:rPr>
          <w:color w:val="000000"/>
        </w:rPr>
      </w:pPr>
      <w:r>
        <w:rPr>
          <w:color w:val="000000"/>
        </w:rPr>
        <w:t xml:space="preserve">(Source: Adapted from Olafsen </w:t>
      </w:r>
      <w:r>
        <w:rPr>
          <w:i/>
          <w:iCs/>
          <w:color w:val="000000"/>
        </w:rPr>
        <w:t>et al.</w:t>
      </w:r>
      <w:r>
        <w:rPr>
          <w:color w:val="000000"/>
        </w:rPr>
        <w:t xml:space="preserve"> 2025</w:t>
      </w:r>
      <w:r w:rsidR="008E4CE4">
        <w:rPr>
          <w:color w:val="000000"/>
        </w:rPr>
        <w:t xml:space="preserve">; </w:t>
      </w:r>
      <w:r w:rsidR="008E4CE4" w:rsidRPr="007E3E80">
        <w:t>Hrnjić</w:t>
      </w:r>
      <w:r w:rsidR="008E4CE4">
        <w:t xml:space="preserve"> </w:t>
      </w:r>
      <w:r w:rsidR="008E4CE4" w:rsidRPr="008E4CE4">
        <w:rPr>
          <w:i/>
        </w:rPr>
        <w:t>et al.</w:t>
      </w:r>
      <w:r w:rsidR="008E4CE4">
        <w:t xml:space="preserve"> 2024</w:t>
      </w:r>
      <w:r>
        <w:rPr>
          <w:color w:val="000000"/>
        </w:rPr>
        <w:t>)</w:t>
      </w:r>
    </w:p>
    <w:p w14:paraId="11BBEB8F" w14:textId="77777777" w:rsidR="005E4865" w:rsidRDefault="00097167">
      <w:pPr>
        <w:pStyle w:val="Heading2"/>
      </w:pPr>
      <w:bookmarkStart w:id="6" w:name="_Toc242703329"/>
      <w:r>
        <w:t>2.2 Proposed talent growth strategy for NHSX</w:t>
      </w:r>
      <w:bookmarkEnd w:id="6"/>
    </w:p>
    <w:p w14:paraId="71487675" w14:textId="77777777" w:rsidR="005E4865" w:rsidRDefault="00097167">
      <w:pPr>
        <w:pBdr>
          <w:top w:val="nil"/>
          <w:left w:val="nil"/>
          <w:bottom w:val="nil"/>
          <w:right w:val="nil"/>
          <w:between w:val="nil"/>
        </w:pBdr>
        <w:spacing w:after="0"/>
        <w:rPr>
          <w:color w:val="000000"/>
        </w:rPr>
      </w:pPr>
      <w:r>
        <w:rPr>
          <w:color w:val="000000"/>
        </w:rPr>
        <w:t xml:space="preserve">NHSX can implement the following human capital management strategy to address the identified challenges. </w:t>
      </w:r>
    </w:p>
    <w:tbl>
      <w:tblPr>
        <w:tblStyle w:val="a8"/>
        <w:tblW w:w="1049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3256"/>
        <w:gridCol w:w="2554"/>
      </w:tblGrid>
      <w:tr w:rsidR="005E4865" w14:paraId="590C73A2" w14:textId="77777777" w:rsidTr="00410D51">
        <w:trPr>
          <w:jc w:val="center"/>
        </w:trPr>
        <w:tc>
          <w:tcPr>
            <w:tcW w:w="2340" w:type="dxa"/>
            <w:tcMar>
              <w:top w:w="100" w:type="dxa"/>
              <w:left w:w="100" w:type="dxa"/>
              <w:bottom w:w="100" w:type="dxa"/>
              <w:right w:w="100" w:type="dxa"/>
            </w:tcMar>
          </w:tcPr>
          <w:p w14:paraId="03F55879" w14:textId="77777777" w:rsidR="005E4865" w:rsidRDefault="00097167">
            <w:pPr>
              <w:widowControl w:val="0"/>
              <w:pBdr>
                <w:top w:val="nil"/>
                <w:left w:val="nil"/>
                <w:bottom w:val="nil"/>
                <w:right w:val="nil"/>
                <w:between w:val="nil"/>
              </w:pBdr>
              <w:spacing w:after="0"/>
              <w:rPr>
                <w:b/>
                <w:bCs/>
                <w:color w:val="000000"/>
              </w:rPr>
            </w:pPr>
            <w:r>
              <w:rPr>
                <w:b/>
                <w:bCs/>
                <w:color w:val="000000"/>
              </w:rPr>
              <w:lastRenderedPageBreak/>
              <w:t>Strategic pillars</w:t>
            </w:r>
          </w:p>
        </w:tc>
        <w:tc>
          <w:tcPr>
            <w:tcW w:w="2340" w:type="dxa"/>
            <w:tcMar>
              <w:top w:w="100" w:type="dxa"/>
              <w:left w:w="100" w:type="dxa"/>
              <w:bottom w:w="100" w:type="dxa"/>
              <w:right w:w="100" w:type="dxa"/>
            </w:tcMar>
          </w:tcPr>
          <w:p w14:paraId="764FD812" w14:textId="77777777" w:rsidR="005E4865" w:rsidRDefault="00097167">
            <w:pPr>
              <w:widowControl w:val="0"/>
              <w:pBdr>
                <w:top w:val="nil"/>
                <w:left w:val="nil"/>
                <w:bottom w:val="nil"/>
                <w:right w:val="nil"/>
                <w:between w:val="nil"/>
              </w:pBdr>
              <w:spacing w:after="0"/>
              <w:rPr>
                <w:b/>
                <w:bCs/>
                <w:color w:val="000000"/>
              </w:rPr>
            </w:pPr>
            <w:r>
              <w:rPr>
                <w:b/>
                <w:bCs/>
                <w:color w:val="000000"/>
              </w:rPr>
              <w:t>Addressing problems</w:t>
            </w:r>
          </w:p>
        </w:tc>
        <w:tc>
          <w:tcPr>
            <w:tcW w:w="3256" w:type="dxa"/>
            <w:tcMar>
              <w:top w:w="100" w:type="dxa"/>
              <w:left w:w="100" w:type="dxa"/>
              <w:bottom w:w="100" w:type="dxa"/>
              <w:right w:w="100" w:type="dxa"/>
            </w:tcMar>
          </w:tcPr>
          <w:p w14:paraId="70211AA1" w14:textId="77777777" w:rsidR="005E4865" w:rsidRDefault="00097167">
            <w:pPr>
              <w:widowControl w:val="0"/>
              <w:pBdr>
                <w:top w:val="nil"/>
                <w:left w:val="nil"/>
                <w:bottom w:val="nil"/>
                <w:right w:val="nil"/>
                <w:between w:val="nil"/>
              </w:pBdr>
              <w:spacing w:after="0"/>
              <w:rPr>
                <w:b/>
                <w:bCs/>
                <w:color w:val="000000"/>
              </w:rPr>
            </w:pPr>
            <w:r>
              <w:rPr>
                <w:b/>
                <w:bCs/>
                <w:color w:val="000000"/>
              </w:rPr>
              <w:t xml:space="preserve">Proposed intervention </w:t>
            </w:r>
          </w:p>
        </w:tc>
        <w:tc>
          <w:tcPr>
            <w:tcW w:w="2554" w:type="dxa"/>
            <w:tcMar>
              <w:top w:w="100" w:type="dxa"/>
              <w:left w:w="100" w:type="dxa"/>
              <w:bottom w:w="100" w:type="dxa"/>
              <w:right w:w="100" w:type="dxa"/>
            </w:tcMar>
          </w:tcPr>
          <w:p w14:paraId="41078880" w14:textId="77777777" w:rsidR="005E4865" w:rsidRDefault="00097167">
            <w:pPr>
              <w:widowControl w:val="0"/>
              <w:pBdr>
                <w:top w:val="nil"/>
                <w:left w:val="nil"/>
                <w:bottom w:val="nil"/>
                <w:right w:val="nil"/>
                <w:between w:val="nil"/>
              </w:pBdr>
              <w:spacing w:after="0"/>
              <w:rPr>
                <w:b/>
                <w:bCs/>
                <w:color w:val="000000"/>
              </w:rPr>
            </w:pPr>
            <w:r>
              <w:rPr>
                <w:b/>
                <w:bCs/>
                <w:color w:val="000000"/>
              </w:rPr>
              <w:t>Expected outcomes</w:t>
            </w:r>
          </w:p>
        </w:tc>
      </w:tr>
      <w:tr w:rsidR="005E4865" w14:paraId="5415596E" w14:textId="77777777" w:rsidTr="00410D51">
        <w:trPr>
          <w:jc w:val="center"/>
        </w:trPr>
        <w:tc>
          <w:tcPr>
            <w:tcW w:w="2340" w:type="dxa"/>
            <w:tcMar>
              <w:top w:w="100" w:type="dxa"/>
              <w:left w:w="100" w:type="dxa"/>
              <w:bottom w:w="100" w:type="dxa"/>
              <w:right w:w="100" w:type="dxa"/>
            </w:tcMar>
          </w:tcPr>
          <w:p w14:paraId="4DBD0596" w14:textId="77777777" w:rsidR="005E4865" w:rsidRDefault="00097167">
            <w:pPr>
              <w:widowControl w:val="0"/>
              <w:pBdr>
                <w:top w:val="nil"/>
                <w:left w:val="nil"/>
                <w:bottom w:val="nil"/>
                <w:right w:val="nil"/>
                <w:between w:val="nil"/>
              </w:pBdr>
              <w:spacing w:after="0"/>
              <w:rPr>
                <w:color w:val="000000"/>
              </w:rPr>
            </w:pPr>
            <w:r>
              <w:rPr>
                <w:b/>
                <w:bCs/>
                <w:i/>
                <w:iCs/>
                <w:color w:val="000000"/>
              </w:rPr>
              <w:t>Pillar 1:</w:t>
            </w:r>
            <w:r>
              <w:rPr>
                <w:color w:val="000000"/>
              </w:rPr>
              <w:t xml:space="preserve"> Continuous learning with renewed focus on accelerating  AI capability </w:t>
            </w:r>
          </w:p>
        </w:tc>
        <w:tc>
          <w:tcPr>
            <w:tcW w:w="2340" w:type="dxa"/>
            <w:tcMar>
              <w:top w:w="100" w:type="dxa"/>
              <w:left w:w="100" w:type="dxa"/>
              <w:bottom w:w="100" w:type="dxa"/>
              <w:right w:w="100" w:type="dxa"/>
            </w:tcMar>
          </w:tcPr>
          <w:p w14:paraId="678C2F5F" w14:textId="77777777" w:rsidR="005E4865" w:rsidRDefault="00097167">
            <w:pPr>
              <w:widowControl w:val="0"/>
              <w:pBdr>
                <w:top w:val="nil"/>
                <w:left w:val="nil"/>
                <w:bottom w:val="nil"/>
                <w:right w:val="nil"/>
                <w:between w:val="nil"/>
              </w:pBdr>
              <w:spacing w:after="0"/>
              <w:rPr>
                <w:color w:val="000000"/>
              </w:rPr>
            </w:pPr>
            <w:r>
              <w:rPr>
                <w:color w:val="000000"/>
              </w:rPr>
              <w:t>Inadequate learning opportunities and slowed AI innovation</w:t>
            </w:r>
          </w:p>
        </w:tc>
        <w:tc>
          <w:tcPr>
            <w:tcW w:w="3256" w:type="dxa"/>
            <w:tcMar>
              <w:top w:w="100" w:type="dxa"/>
              <w:left w:w="100" w:type="dxa"/>
              <w:bottom w:w="100" w:type="dxa"/>
              <w:right w:w="100" w:type="dxa"/>
            </w:tcMar>
          </w:tcPr>
          <w:p w14:paraId="08022E3A" w14:textId="77777777" w:rsidR="005E4865" w:rsidRDefault="00097167">
            <w:pPr>
              <w:widowControl w:val="0"/>
              <w:pBdr>
                <w:top w:val="nil"/>
                <w:left w:val="nil"/>
                <w:bottom w:val="nil"/>
                <w:right w:val="nil"/>
                <w:between w:val="nil"/>
              </w:pBdr>
              <w:spacing w:after="0"/>
              <w:rPr>
                <w:color w:val="000000"/>
              </w:rPr>
            </w:pPr>
            <w:r>
              <w:rPr>
                <w:color w:val="000000"/>
              </w:rPr>
              <w:t>Launching an AI capability program integrating personalised development plans, AI digital skill pathways, and embedding scope for micro-learning</w:t>
            </w:r>
          </w:p>
        </w:tc>
        <w:tc>
          <w:tcPr>
            <w:tcW w:w="2554" w:type="dxa"/>
            <w:tcMar>
              <w:top w:w="100" w:type="dxa"/>
              <w:left w:w="100" w:type="dxa"/>
              <w:bottom w:w="100" w:type="dxa"/>
              <w:right w:w="100" w:type="dxa"/>
            </w:tcMar>
          </w:tcPr>
          <w:p w14:paraId="56B40AF6" w14:textId="77777777" w:rsidR="005E4865" w:rsidRDefault="00097167">
            <w:pPr>
              <w:widowControl w:val="0"/>
              <w:pBdr>
                <w:top w:val="nil"/>
                <w:left w:val="nil"/>
                <w:bottom w:val="nil"/>
                <w:right w:val="nil"/>
                <w:between w:val="nil"/>
              </w:pBdr>
              <w:spacing w:after="0"/>
              <w:rPr>
                <w:color w:val="000000"/>
              </w:rPr>
            </w:pPr>
            <w:r>
              <w:rPr>
                <w:color w:val="000000"/>
              </w:rPr>
              <w:t>AI capability development must be integrated into organisational activities</w:t>
            </w:r>
          </w:p>
        </w:tc>
      </w:tr>
      <w:tr w:rsidR="005E4865" w14:paraId="52DE1FA9" w14:textId="77777777" w:rsidTr="00410D51">
        <w:trPr>
          <w:jc w:val="center"/>
        </w:trPr>
        <w:tc>
          <w:tcPr>
            <w:tcW w:w="2340" w:type="dxa"/>
            <w:tcMar>
              <w:top w:w="100" w:type="dxa"/>
              <w:left w:w="100" w:type="dxa"/>
              <w:bottom w:w="100" w:type="dxa"/>
              <w:right w:w="100" w:type="dxa"/>
            </w:tcMar>
          </w:tcPr>
          <w:p w14:paraId="5214B789" w14:textId="77777777" w:rsidR="005E4865" w:rsidRDefault="00097167">
            <w:pPr>
              <w:widowControl w:val="0"/>
              <w:pBdr>
                <w:top w:val="nil"/>
                <w:left w:val="nil"/>
                <w:bottom w:val="nil"/>
                <w:right w:val="nil"/>
                <w:between w:val="nil"/>
              </w:pBdr>
              <w:spacing w:after="0"/>
              <w:rPr>
                <w:color w:val="000000"/>
              </w:rPr>
            </w:pPr>
            <w:r>
              <w:rPr>
                <w:b/>
                <w:bCs/>
                <w:i/>
                <w:iCs/>
                <w:color w:val="000000"/>
              </w:rPr>
              <w:t>Pillar 2:</w:t>
            </w:r>
            <w:r>
              <w:rPr>
                <w:color w:val="000000"/>
              </w:rPr>
              <w:t xml:space="preserve"> Taking accountability for psychological safety to foster innovation</w:t>
            </w:r>
          </w:p>
        </w:tc>
        <w:tc>
          <w:tcPr>
            <w:tcW w:w="2340" w:type="dxa"/>
            <w:tcMar>
              <w:top w:w="100" w:type="dxa"/>
              <w:left w:w="100" w:type="dxa"/>
              <w:bottom w:w="100" w:type="dxa"/>
              <w:right w:w="100" w:type="dxa"/>
            </w:tcMar>
          </w:tcPr>
          <w:p w14:paraId="7FD1F628" w14:textId="77777777" w:rsidR="005E4865" w:rsidRDefault="00097167">
            <w:pPr>
              <w:widowControl w:val="0"/>
              <w:pBdr>
                <w:top w:val="nil"/>
                <w:left w:val="nil"/>
                <w:bottom w:val="nil"/>
                <w:right w:val="nil"/>
                <w:between w:val="nil"/>
              </w:pBdr>
              <w:spacing w:after="0"/>
              <w:rPr>
                <w:color w:val="000000"/>
              </w:rPr>
            </w:pPr>
            <w:r>
              <w:rPr>
                <w:color w:val="000000"/>
              </w:rPr>
              <w:t xml:space="preserve">Lack of creativity and stunted experimentation </w:t>
            </w:r>
          </w:p>
        </w:tc>
        <w:tc>
          <w:tcPr>
            <w:tcW w:w="3256" w:type="dxa"/>
            <w:tcMar>
              <w:top w:w="100" w:type="dxa"/>
              <w:left w:w="100" w:type="dxa"/>
              <w:bottom w:w="100" w:type="dxa"/>
              <w:right w:w="100" w:type="dxa"/>
            </w:tcMar>
          </w:tcPr>
          <w:p w14:paraId="34DD523F" w14:textId="77777777" w:rsidR="005E4865" w:rsidRDefault="00097167">
            <w:pPr>
              <w:widowControl w:val="0"/>
              <w:pBdr>
                <w:top w:val="nil"/>
                <w:left w:val="nil"/>
                <w:bottom w:val="nil"/>
                <w:right w:val="nil"/>
                <w:between w:val="nil"/>
              </w:pBdr>
              <w:spacing w:after="0"/>
              <w:rPr>
                <w:color w:val="000000"/>
              </w:rPr>
            </w:pPr>
            <w:r>
              <w:rPr>
                <w:color w:val="000000"/>
              </w:rPr>
              <w:t>Creating online creative brainstorming sessions within cross-functional teams, launching 360</w:t>
            </w:r>
            <w:r>
              <w:rPr>
                <w:color w:val="000000"/>
                <w:vertAlign w:val="superscript"/>
              </w:rPr>
              <w:t>0</w:t>
            </w:r>
            <w:r>
              <w:rPr>
                <w:color w:val="000000"/>
              </w:rPr>
              <w:t xml:space="preserve"> feedback, mandating post-project reflective sessions directed at learning from failure </w:t>
            </w:r>
          </w:p>
        </w:tc>
        <w:tc>
          <w:tcPr>
            <w:tcW w:w="2554" w:type="dxa"/>
            <w:tcMar>
              <w:top w:w="100" w:type="dxa"/>
              <w:left w:w="100" w:type="dxa"/>
              <w:bottom w:w="100" w:type="dxa"/>
              <w:right w:w="100" w:type="dxa"/>
            </w:tcMar>
          </w:tcPr>
          <w:p w14:paraId="29A8FC27" w14:textId="77777777" w:rsidR="005E4865" w:rsidRDefault="00097167">
            <w:pPr>
              <w:widowControl w:val="0"/>
              <w:pBdr>
                <w:top w:val="nil"/>
                <w:left w:val="nil"/>
                <w:bottom w:val="nil"/>
                <w:right w:val="nil"/>
                <w:between w:val="nil"/>
              </w:pBdr>
              <w:spacing w:after="0"/>
              <w:rPr>
                <w:color w:val="000000"/>
              </w:rPr>
            </w:pPr>
            <w:r>
              <w:rPr>
                <w:color w:val="000000"/>
              </w:rPr>
              <w:t>Engaging in proactive experimentation with innovative AI-enabled digital tools</w:t>
            </w:r>
          </w:p>
        </w:tc>
      </w:tr>
      <w:tr w:rsidR="005E4865" w14:paraId="6838FBBF" w14:textId="77777777" w:rsidTr="00410D51">
        <w:trPr>
          <w:jc w:val="center"/>
        </w:trPr>
        <w:tc>
          <w:tcPr>
            <w:tcW w:w="2340" w:type="dxa"/>
            <w:tcMar>
              <w:top w:w="100" w:type="dxa"/>
              <w:left w:w="100" w:type="dxa"/>
              <w:bottom w:w="100" w:type="dxa"/>
              <w:right w:w="100" w:type="dxa"/>
            </w:tcMar>
          </w:tcPr>
          <w:p w14:paraId="2E7178C7" w14:textId="77777777" w:rsidR="005E4865" w:rsidRDefault="00097167">
            <w:pPr>
              <w:widowControl w:val="0"/>
              <w:pBdr>
                <w:top w:val="nil"/>
                <w:left w:val="nil"/>
                <w:bottom w:val="nil"/>
                <w:right w:val="nil"/>
                <w:between w:val="nil"/>
              </w:pBdr>
              <w:spacing w:after="0"/>
              <w:rPr>
                <w:color w:val="000000"/>
              </w:rPr>
            </w:pPr>
            <w:r>
              <w:rPr>
                <w:b/>
                <w:bCs/>
                <w:i/>
                <w:iCs/>
                <w:color w:val="000000"/>
              </w:rPr>
              <w:t>Pillar 3</w:t>
            </w:r>
            <w:r>
              <w:rPr>
                <w:color w:val="000000"/>
              </w:rPr>
              <w:t xml:space="preserve">: Job crafting autonomy and employee experience enhancement </w:t>
            </w:r>
          </w:p>
        </w:tc>
        <w:tc>
          <w:tcPr>
            <w:tcW w:w="2340" w:type="dxa"/>
            <w:tcMar>
              <w:top w:w="100" w:type="dxa"/>
              <w:left w:w="100" w:type="dxa"/>
              <w:bottom w:w="100" w:type="dxa"/>
              <w:right w:w="100" w:type="dxa"/>
            </w:tcMar>
          </w:tcPr>
          <w:p w14:paraId="523330BA" w14:textId="77777777" w:rsidR="005E4865" w:rsidRDefault="00097167">
            <w:pPr>
              <w:widowControl w:val="0"/>
              <w:pBdr>
                <w:top w:val="nil"/>
                <w:left w:val="nil"/>
                <w:bottom w:val="nil"/>
                <w:right w:val="nil"/>
                <w:between w:val="nil"/>
              </w:pBdr>
              <w:spacing w:after="0"/>
              <w:rPr>
                <w:color w:val="000000"/>
              </w:rPr>
            </w:pPr>
            <w:r>
              <w:rPr>
                <w:color w:val="000000"/>
              </w:rPr>
              <w:t xml:space="preserve">Hierarchical work practices and struggles to uphold employee wellbeing </w:t>
            </w:r>
          </w:p>
        </w:tc>
        <w:tc>
          <w:tcPr>
            <w:tcW w:w="3256" w:type="dxa"/>
            <w:tcMar>
              <w:top w:w="100" w:type="dxa"/>
              <w:left w:w="100" w:type="dxa"/>
              <w:bottom w:w="100" w:type="dxa"/>
              <w:right w:w="100" w:type="dxa"/>
            </w:tcMar>
          </w:tcPr>
          <w:p w14:paraId="10E11F86" w14:textId="77777777" w:rsidR="005E4865" w:rsidRDefault="00097167">
            <w:pPr>
              <w:widowControl w:val="0"/>
              <w:pBdr>
                <w:top w:val="nil"/>
                <w:left w:val="nil"/>
                <w:bottom w:val="nil"/>
                <w:right w:val="nil"/>
                <w:between w:val="nil"/>
              </w:pBdr>
              <w:spacing w:after="0"/>
              <w:rPr>
                <w:color w:val="000000"/>
              </w:rPr>
            </w:pPr>
            <w:r>
              <w:rPr>
                <w:color w:val="000000"/>
              </w:rPr>
              <w:t xml:space="preserve">Allowing flexibility to shape task design, freedom to participate in cross-border projects, autonomy to modify task execution plans, and decentralised decision-making ability </w:t>
            </w:r>
          </w:p>
        </w:tc>
        <w:tc>
          <w:tcPr>
            <w:tcW w:w="2554" w:type="dxa"/>
            <w:tcMar>
              <w:top w:w="100" w:type="dxa"/>
              <w:left w:w="100" w:type="dxa"/>
              <w:bottom w:w="100" w:type="dxa"/>
              <w:right w:w="100" w:type="dxa"/>
            </w:tcMar>
          </w:tcPr>
          <w:p w14:paraId="278303E4" w14:textId="77777777" w:rsidR="005E4865" w:rsidRDefault="00097167">
            <w:pPr>
              <w:widowControl w:val="0"/>
              <w:pBdr>
                <w:top w:val="nil"/>
                <w:left w:val="nil"/>
                <w:bottom w:val="nil"/>
                <w:right w:val="nil"/>
                <w:between w:val="nil"/>
              </w:pBdr>
              <w:spacing w:after="0"/>
              <w:rPr>
                <w:color w:val="000000"/>
              </w:rPr>
            </w:pPr>
            <w:r>
              <w:rPr>
                <w:color w:val="000000"/>
              </w:rPr>
              <w:t xml:space="preserve">Enhancing employee autonomy and increased accountability </w:t>
            </w:r>
          </w:p>
        </w:tc>
      </w:tr>
      <w:tr w:rsidR="005E4865" w14:paraId="77E13A0F" w14:textId="77777777" w:rsidTr="00410D51">
        <w:trPr>
          <w:jc w:val="center"/>
        </w:trPr>
        <w:tc>
          <w:tcPr>
            <w:tcW w:w="2340" w:type="dxa"/>
            <w:tcMar>
              <w:top w:w="100" w:type="dxa"/>
              <w:left w:w="100" w:type="dxa"/>
              <w:bottom w:w="100" w:type="dxa"/>
              <w:right w:w="100" w:type="dxa"/>
            </w:tcMar>
          </w:tcPr>
          <w:p w14:paraId="6D1EB7E2" w14:textId="77777777" w:rsidR="005E4865" w:rsidRDefault="00097167">
            <w:pPr>
              <w:widowControl w:val="0"/>
              <w:pBdr>
                <w:top w:val="nil"/>
                <w:left w:val="nil"/>
                <w:bottom w:val="nil"/>
                <w:right w:val="nil"/>
                <w:between w:val="nil"/>
              </w:pBdr>
              <w:spacing w:after="0"/>
              <w:rPr>
                <w:color w:val="000000"/>
              </w:rPr>
            </w:pPr>
            <w:r>
              <w:rPr>
                <w:b/>
                <w:bCs/>
                <w:i/>
                <w:iCs/>
                <w:color w:val="000000"/>
              </w:rPr>
              <w:t>Pillar 4</w:t>
            </w:r>
            <w:r>
              <w:rPr>
                <w:color w:val="000000"/>
              </w:rPr>
              <w:t>: Strategic talent management with clear career advancement pathways</w:t>
            </w:r>
          </w:p>
        </w:tc>
        <w:tc>
          <w:tcPr>
            <w:tcW w:w="2340" w:type="dxa"/>
            <w:tcMar>
              <w:top w:w="100" w:type="dxa"/>
              <w:left w:w="100" w:type="dxa"/>
              <w:bottom w:w="100" w:type="dxa"/>
              <w:right w:w="100" w:type="dxa"/>
            </w:tcMar>
          </w:tcPr>
          <w:p w14:paraId="4E814FB6" w14:textId="77777777" w:rsidR="005E4865" w:rsidRDefault="00097167">
            <w:pPr>
              <w:widowControl w:val="0"/>
              <w:pBdr>
                <w:top w:val="nil"/>
                <w:left w:val="nil"/>
                <w:bottom w:val="nil"/>
                <w:right w:val="nil"/>
                <w:between w:val="nil"/>
              </w:pBdr>
              <w:spacing w:after="0"/>
              <w:rPr>
                <w:color w:val="000000"/>
              </w:rPr>
            </w:pPr>
            <w:r>
              <w:rPr>
                <w:color w:val="000000"/>
              </w:rPr>
              <w:t>Low retention rate</w:t>
            </w:r>
          </w:p>
        </w:tc>
        <w:tc>
          <w:tcPr>
            <w:tcW w:w="3256" w:type="dxa"/>
            <w:tcMar>
              <w:top w:w="100" w:type="dxa"/>
              <w:left w:w="100" w:type="dxa"/>
              <w:bottom w:w="100" w:type="dxa"/>
              <w:right w:w="100" w:type="dxa"/>
            </w:tcMar>
          </w:tcPr>
          <w:p w14:paraId="51DBE7A3" w14:textId="77777777" w:rsidR="005E4865" w:rsidRDefault="00097167">
            <w:pPr>
              <w:widowControl w:val="0"/>
              <w:pBdr>
                <w:top w:val="nil"/>
                <w:left w:val="nil"/>
                <w:bottom w:val="nil"/>
                <w:right w:val="nil"/>
                <w:between w:val="nil"/>
              </w:pBdr>
              <w:spacing w:after="0"/>
              <w:rPr>
                <w:color w:val="000000"/>
              </w:rPr>
            </w:pPr>
            <w:r>
              <w:rPr>
                <w:color w:val="000000"/>
              </w:rPr>
              <w:t>Proactive succession planning, linking transparent career pathways,  promoting cross-departmental promotions</w:t>
            </w:r>
          </w:p>
        </w:tc>
        <w:tc>
          <w:tcPr>
            <w:tcW w:w="2554" w:type="dxa"/>
            <w:tcMar>
              <w:top w:w="100" w:type="dxa"/>
              <w:left w:w="100" w:type="dxa"/>
              <w:bottom w:w="100" w:type="dxa"/>
              <w:right w:w="100" w:type="dxa"/>
            </w:tcMar>
          </w:tcPr>
          <w:p w14:paraId="7C522EFA" w14:textId="77777777" w:rsidR="005E4865" w:rsidRDefault="00097167">
            <w:pPr>
              <w:widowControl w:val="0"/>
              <w:pBdr>
                <w:top w:val="nil"/>
                <w:left w:val="nil"/>
                <w:bottom w:val="nil"/>
                <w:right w:val="nil"/>
                <w:between w:val="nil"/>
              </w:pBdr>
              <w:spacing w:after="0"/>
              <w:rPr>
                <w:color w:val="000000"/>
              </w:rPr>
            </w:pPr>
            <w:r>
              <w:rPr>
                <w:color w:val="000000"/>
              </w:rPr>
              <w:t xml:space="preserve">Increasing retention rate for high-performing employees by creating credible </w:t>
            </w:r>
            <w:r>
              <w:rPr>
                <w:color w:val="000000"/>
              </w:rPr>
              <w:lastRenderedPageBreak/>
              <w:t>career progression opportunities</w:t>
            </w:r>
          </w:p>
        </w:tc>
      </w:tr>
      <w:tr w:rsidR="005E4865" w14:paraId="1565ACDB" w14:textId="77777777" w:rsidTr="00410D51">
        <w:trPr>
          <w:jc w:val="center"/>
        </w:trPr>
        <w:tc>
          <w:tcPr>
            <w:tcW w:w="2340" w:type="dxa"/>
            <w:tcMar>
              <w:top w:w="100" w:type="dxa"/>
              <w:left w:w="100" w:type="dxa"/>
              <w:bottom w:w="100" w:type="dxa"/>
              <w:right w:w="100" w:type="dxa"/>
            </w:tcMar>
          </w:tcPr>
          <w:p w14:paraId="167D3A6D" w14:textId="77777777" w:rsidR="005E4865" w:rsidRDefault="00097167">
            <w:pPr>
              <w:widowControl w:val="0"/>
              <w:pBdr>
                <w:top w:val="nil"/>
                <w:left w:val="nil"/>
                <w:bottom w:val="nil"/>
                <w:right w:val="nil"/>
                <w:between w:val="nil"/>
              </w:pBdr>
              <w:spacing w:after="0"/>
              <w:rPr>
                <w:color w:val="000000"/>
              </w:rPr>
            </w:pPr>
            <w:r>
              <w:rPr>
                <w:b/>
                <w:bCs/>
                <w:i/>
                <w:iCs/>
                <w:color w:val="000000"/>
              </w:rPr>
              <w:lastRenderedPageBreak/>
              <w:t>Pillar 5</w:t>
            </w:r>
            <w:r>
              <w:rPr>
                <w:color w:val="000000"/>
              </w:rPr>
              <w:t>: Employee wellbeing and establishing sustainable performance metrics</w:t>
            </w:r>
          </w:p>
        </w:tc>
        <w:tc>
          <w:tcPr>
            <w:tcW w:w="2340" w:type="dxa"/>
            <w:tcMar>
              <w:top w:w="100" w:type="dxa"/>
              <w:left w:w="100" w:type="dxa"/>
              <w:bottom w:w="100" w:type="dxa"/>
              <w:right w:w="100" w:type="dxa"/>
            </w:tcMar>
          </w:tcPr>
          <w:p w14:paraId="5D372D81" w14:textId="77777777" w:rsidR="005E4865" w:rsidRDefault="00097167">
            <w:pPr>
              <w:widowControl w:val="0"/>
              <w:pBdr>
                <w:top w:val="nil"/>
                <w:left w:val="nil"/>
                <w:bottom w:val="nil"/>
                <w:right w:val="nil"/>
                <w:between w:val="nil"/>
              </w:pBdr>
              <w:spacing w:after="0"/>
              <w:rPr>
                <w:color w:val="000000"/>
              </w:rPr>
            </w:pPr>
            <w:r>
              <w:rPr>
                <w:color w:val="000000"/>
              </w:rPr>
              <w:t>Balancing employee wellbeing and performance expectations</w:t>
            </w:r>
          </w:p>
        </w:tc>
        <w:tc>
          <w:tcPr>
            <w:tcW w:w="3256" w:type="dxa"/>
            <w:tcMar>
              <w:top w:w="100" w:type="dxa"/>
              <w:left w:w="100" w:type="dxa"/>
              <w:bottom w:w="100" w:type="dxa"/>
              <w:right w:w="100" w:type="dxa"/>
            </w:tcMar>
          </w:tcPr>
          <w:p w14:paraId="28D999C3" w14:textId="77777777" w:rsidR="005E4865" w:rsidRDefault="00097167">
            <w:pPr>
              <w:widowControl w:val="0"/>
              <w:pBdr>
                <w:top w:val="nil"/>
                <w:left w:val="nil"/>
                <w:bottom w:val="nil"/>
                <w:right w:val="nil"/>
                <w:between w:val="nil"/>
              </w:pBdr>
              <w:spacing w:after="0"/>
              <w:rPr>
                <w:color w:val="000000"/>
              </w:rPr>
            </w:pPr>
            <w:r>
              <w:rPr>
                <w:color w:val="000000"/>
              </w:rPr>
              <w:t>Establishing quarterly review  sessions to evaluate employee output against sustainable performance metrics, integrating KPIs to assess burnout, transparent feedback mechanisms, revising work hours to create work-life balance,  making psychological safety a priority</w:t>
            </w:r>
          </w:p>
        </w:tc>
        <w:tc>
          <w:tcPr>
            <w:tcW w:w="2554" w:type="dxa"/>
            <w:tcMar>
              <w:top w:w="100" w:type="dxa"/>
              <w:left w:w="100" w:type="dxa"/>
              <w:bottom w:w="100" w:type="dxa"/>
              <w:right w:w="100" w:type="dxa"/>
            </w:tcMar>
          </w:tcPr>
          <w:p w14:paraId="3EEC96E5" w14:textId="77777777" w:rsidR="005E4865" w:rsidRDefault="00097167">
            <w:pPr>
              <w:widowControl w:val="0"/>
              <w:pBdr>
                <w:top w:val="nil"/>
                <w:left w:val="nil"/>
                <w:bottom w:val="nil"/>
                <w:right w:val="nil"/>
                <w:between w:val="nil"/>
              </w:pBdr>
              <w:spacing w:after="0"/>
              <w:rPr>
                <w:color w:val="000000"/>
              </w:rPr>
            </w:pPr>
            <w:r>
              <w:rPr>
                <w:color w:val="000000"/>
              </w:rPr>
              <w:t>Reducing job-related stress, fostering innovation, and creativity</w:t>
            </w:r>
          </w:p>
        </w:tc>
      </w:tr>
    </w:tbl>
    <w:p w14:paraId="78A502FB" w14:textId="77777777" w:rsidR="005E4865" w:rsidRDefault="00097167">
      <w:pPr>
        <w:pBdr>
          <w:top w:val="nil"/>
          <w:left w:val="nil"/>
          <w:bottom w:val="nil"/>
          <w:right w:val="nil"/>
          <w:between w:val="nil"/>
        </w:pBdr>
        <w:spacing w:after="0"/>
        <w:jc w:val="center"/>
        <w:rPr>
          <w:b/>
          <w:bCs/>
          <w:color w:val="000000"/>
        </w:rPr>
      </w:pPr>
      <w:r>
        <w:rPr>
          <w:b/>
          <w:bCs/>
          <w:color w:val="000000"/>
        </w:rPr>
        <w:t>Table 6: Proposed strategic interventions for human capital management</w:t>
      </w:r>
    </w:p>
    <w:p w14:paraId="6D704494" w14:textId="77777777" w:rsidR="005E4865" w:rsidRDefault="00097167">
      <w:pPr>
        <w:pBdr>
          <w:top w:val="nil"/>
          <w:left w:val="nil"/>
          <w:bottom w:val="nil"/>
          <w:right w:val="nil"/>
          <w:between w:val="nil"/>
        </w:pBdr>
        <w:spacing w:after="0"/>
        <w:jc w:val="center"/>
        <w:rPr>
          <w:color w:val="000000"/>
        </w:rPr>
      </w:pPr>
      <w:r>
        <w:rPr>
          <w:color w:val="000000"/>
        </w:rPr>
        <w:t xml:space="preserve">(Source: Adapted from Liu </w:t>
      </w:r>
      <w:r>
        <w:rPr>
          <w:i/>
          <w:iCs/>
          <w:color w:val="000000"/>
        </w:rPr>
        <w:t>et al.</w:t>
      </w:r>
      <w:r>
        <w:rPr>
          <w:color w:val="000000"/>
        </w:rPr>
        <w:t xml:space="preserve"> 2023; Afnek and Khadem, 2026)</w:t>
      </w:r>
    </w:p>
    <w:p w14:paraId="28A1CCCC" w14:textId="77777777" w:rsidR="00D951A1" w:rsidRDefault="00D951A1">
      <w:pPr>
        <w:rPr>
          <w:b/>
          <w:bCs/>
        </w:rPr>
      </w:pPr>
      <w:bookmarkStart w:id="7" w:name="_Toc242703330"/>
      <w:r>
        <w:br w:type="page"/>
      </w:r>
    </w:p>
    <w:p w14:paraId="0703C31A" w14:textId="47627EA8" w:rsidR="005E4865" w:rsidRDefault="00097167">
      <w:pPr>
        <w:pStyle w:val="Heading2"/>
      </w:pPr>
      <w:r>
        <w:lastRenderedPageBreak/>
        <w:t>2.3 Implementation, Measurement, and Risks</w:t>
      </w:r>
      <w:bookmarkEnd w:id="7"/>
    </w:p>
    <w:tbl>
      <w:tblPr>
        <w:tblStyle w:val="a9"/>
        <w:tblW w:w="10348"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3328"/>
      </w:tblGrid>
      <w:tr w:rsidR="005E4865" w14:paraId="46837184" w14:textId="77777777" w:rsidTr="006D50BE">
        <w:trPr>
          <w:jc w:val="center"/>
        </w:trPr>
        <w:tc>
          <w:tcPr>
            <w:tcW w:w="2340" w:type="dxa"/>
            <w:tcMar>
              <w:top w:w="100" w:type="dxa"/>
              <w:left w:w="100" w:type="dxa"/>
              <w:bottom w:w="100" w:type="dxa"/>
              <w:right w:w="100" w:type="dxa"/>
            </w:tcMar>
          </w:tcPr>
          <w:p w14:paraId="36606E20" w14:textId="77777777" w:rsidR="005E4865" w:rsidRDefault="00097167">
            <w:pPr>
              <w:widowControl w:val="0"/>
              <w:pBdr>
                <w:top w:val="nil"/>
                <w:left w:val="nil"/>
                <w:bottom w:val="nil"/>
                <w:right w:val="nil"/>
                <w:between w:val="nil"/>
              </w:pBdr>
              <w:spacing w:after="0"/>
              <w:rPr>
                <w:b/>
                <w:bCs/>
                <w:color w:val="000000"/>
              </w:rPr>
            </w:pPr>
            <w:r>
              <w:rPr>
                <w:b/>
                <w:bCs/>
                <w:color w:val="000000"/>
              </w:rPr>
              <w:t>Strategic growth pillars</w:t>
            </w:r>
          </w:p>
        </w:tc>
        <w:tc>
          <w:tcPr>
            <w:tcW w:w="2340" w:type="dxa"/>
            <w:tcMar>
              <w:top w:w="100" w:type="dxa"/>
              <w:left w:w="100" w:type="dxa"/>
              <w:bottom w:w="100" w:type="dxa"/>
              <w:right w:w="100" w:type="dxa"/>
            </w:tcMar>
          </w:tcPr>
          <w:p w14:paraId="2C6D8583" w14:textId="77777777" w:rsidR="005E4865" w:rsidRDefault="00097167">
            <w:pPr>
              <w:widowControl w:val="0"/>
              <w:pBdr>
                <w:top w:val="nil"/>
                <w:left w:val="nil"/>
                <w:bottom w:val="nil"/>
                <w:right w:val="nil"/>
                <w:between w:val="nil"/>
              </w:pBdr>
              <w:spacing w:after="0"/>
              <w:rPr>
                <w:b/>
                <w:bCs/>
                <w:color w:val="000000"/>
              </w:rPr>
            </w:pPr>
            <w:r>
              <w:rPr>
                <w:b/>
                <w:bCs/>
                <w:color w:val="000000"/>
              </w:rPr>
              <w:t xml:space="preserve">Implementation plan </w:t>
            </w:r>
          </w:p>
        </w:tc>
        <w:tc>
          <w:tcPr>
            <w:tcW w:w="2340" w:type="dxa"/>
            <w:tcMar>
              <w:top w:w="100" w:type="dxa"/>
              <w:left w:w="100" w:type="dxa"/>
              <w:bottom w:w="100" w:type="dxa"/>
              <w:right w:w="100" w:type="dxa"/>
            </w:tcMar>
          </w:tcPr>
          <w:p w14:paraId="00A7BBCD" w14:textId="77777777" w:rsidR="005E4865" w:rsidRDefault="00097167">
            <w:pPr>
              <w:widowControl w:val="0"/>
              <w:pBdr>
                <w:top w:val="nil"/>
                <w:left w:val="nil"/>
                <w:bottom w:val="nil"/>
                <w:right w:val="nil"/>
                <w:between w:val="nil"/>
              </w:pBdr>
              <w:spacing w:after="0"/>
              <w:rPr>
                <w:b/>
                <w:bCs/>
                <w:color w:val="000000"/>
              </w:rPr>
            </w:pPr>
            <w:r>
              <w:rPr>
                <w:b/>
                <w:bCs/>
                <w:color w:val="000000"/>
              </w:rPr>
              <w:t>Identified risks</w:t>
            </w:r>
          </w:p>
        </w:tc>
        <w:tc>
          <w:tcPr>
            <w:tcW w:w="3328" w:type="dxa"/>
            <w:tcMar>
              <w:top w:w="100" w:type="dxa"/>
              <w:left w:w="100" w:type="dxa"/>
              <w:bottom w:w="100" w:type="dxa"/>
              <w:right w:w="100" w:type="dxa"/>
            </w:tcMar>
          </w:tcPr>
          <w:p w14:paraId="3DDC4658" w14:textId="77777777" w:rsidR="005E4865" w:rsidRDefault="00097167">
            <w:pPr>
              <w:pBdr>
                <w:top w:val="nil"/>
                <w:left w:val="nil"/>
                <w:bottom w:val="nil"/>
                <w:right w:val="nil"/>
                <w:between w:val="nil"/>
              </w:pBdr>
              <w:spacing w:after="0"/>
              <w:rPr>
                <w:b/>
                <w:bCs/>
                <w:color w:val="000000"/>
              </w:rPr>
            </w:pPr>
            <w:r>
              <w:rPr>
                <w:b/>
                <w:bCs/>
                <w:color w:val="000000"/>
              </w:rPr>
              <w:t>Measuring effectiveness with KPIs</w:t>
            </w:r>
          </w:p>
        </w:tc>
      </w:tr>
      <w:tr w:rsidR="005E4865" w14:paraId="74DBDB2B" w14:textId="77777777" w:rsidTr="006D50BE">
        <w:trPr>
          <w:jc w:val="center"/>
        </w:trPr>
        <w:tc>
          <w:tcPr>
            <w:tcW w:w="2340" w:type="dxa"/>
            <w:tcMar>
              <w:top w:w="100" w:type="dxa"/>
              <w:left w:w="100" w:type="dxa"/>
              <w:bottom w:w="100" w:type="dxa"/>
              <w:right w:w="100" w:type="dxa"/>
            </w:tcMar>
          </w:tcPr>
          <w:p w14:paraId="3BA6A833" w14:textId="77777777" w:rsidR="005E4865" w:rsidRDefault="00097167">
            <w:pPr>
              <w:widowControl w:val="0"/>
              <w:pBdr>
                <w:top w:val="nil"/>
                <w:left w:val="nil"/>
                <w:bottom w:val="nil"/>
                <w:right w:val="nil"/>
                <w:between w:val="nil"/>
              </w:pBdr>
              <w:spacing w:after="0"/>
              <w:rPr>
                <w:color w:val="000000"/>
              </w:rPr>
            </w:pPr>
            <w:r>
              <w:rPr>
                <w:color w:val="000000"/>
              </w:rPr>
              <w:t>Pillar 1</w:t>
            </w:r>
          </w:p>
        </w:tc>
        <w:tc>
          <w:tcPr>
            <w:tcW w:w="2340" w:type="dxa"/>
            <w:tcMar>
              <w:top w:w="100" w:type="dxa"/>
              <w:left w:w="100" w:type="dxa"/>
              <w:bottom w:w="100" w:type="dxa"/>
              <w:right w:w="100" w:type="dxa"/>
            </w:tcMar>
          </w:tcPr>
          <w:p w14:paraId="038F7ECD" w14:textId="77777777" w:rsidR="005E4865" w:rsidRDefault="00097167">
            <w:pPr>
              <w:widowControl w:val="0"/>
              <w:pBdr>
                <w:top w:val="nil"/>
                <w:left w:val="nil"/>
                <w:bottom w:val="nil"/>
                <w:right w:val="nil"/>
                <w:between w:val="nil"/>
              </w:pBdr>
              <w:spacing w:after="0"/>
              <w:rPr>
                <w:color w:val="000000"/>
              </w:rPr>
            </w:pPr>
            <w:r>
              <w:rPr>
                <w:color w:val="000000"/>
              </w:rPr>
              <w:t>Deploying a cloud-based learning and development platform integrating micro-learning modules</w:t>
            </w:r>
          </w:p>
        </w:tc>
        <w:tc>
          <w:tcPr>
            <w:tcW w:w="2340" w:type="dxa"/>
            <w:tcMar>
              <w:top w:w="100" w:type="dxa"/>
              <w:left w:w="100" w:type="dxa"/>
              <w:bottom w:w="100" w:type="dxa"/>
              <w:right w:w="100" w:type="dxa"/>
            </w:tcMar>
          </w:tcPr>
          <w:p w14:paraId="330042E2" w14:textId="77777777" w:rsidR="005E4865" w:rsidRDefault="00097167">
            <w:pPr>
              <w:widowControl w:val="0"/>
              <w:pBdr>
                <w:top w:val="nil"/>
                <w:left w:val="nil"/>
                <w:bottom w:val="nil"/>
                <w:right w:val="nil"/>
                <w:between w:val="nil"/>
              </w:pBdr>
              <w:spacing w:after="0"/>
              <w:rPr>
                <w:color w:val="000000"/>
              </w:rPr>
            </w:pPr>
            <w:r>
              <w:rPr>
                <w:color w:val="000000"/>
              </w:rPr>
              <w:t>Employees may prioritise routine tasks over AI upskilling sessions</w:t>
            </w:r>
          </w:p>
        </w:tc>
        <w:tc>
          <w:tcPr>
            <w:tcW w:w="3328" w:type="dxa"/>
            <w:tcMar>
              <w:top w:w="100" w:type="dxa"/>
              <w:left w:w="100" w:type="dxa"/>
              <w:bottom w:w="100" w:type="dxa"/>
              <w:right w:w="100" w:type="dxa"/>
            </w:tcMar>
          </w:tcPr>
          <w:p w14:paraId="2C12ABB9" w14:textId="77777777" w:rsidR="005E4865" w:rsidRDefault="00097167">
            <w:pPr>
              <w:widowControl w:val="0"/>
              <w:numPr>
                <w:ilvl w:val="0"/>
                <w:numId w:val="11"/>
              </w:numPr>
              <w:pBdr>
                <w:top w:val="nil"/>
                <w:left w:val="nil"/>
                <w:bottom w:val="nil"/>
                <w:right w:val="nil"/>
                <w:between w:val="nil"/>
              </w:pBdr>
              <w:spacing w:after="0"/>
              <w:rPr>
                <w:color w:val="000000"/>
              </w:rPr>
            </w:pPr>
            <w:r>
              <w:rPr>
                <w:color w:val="000000"/>
              </w:rPr>
              <w:t>AI training  adoption Rate</w:t>
            </w:r>
          </w:p>
          <w:p w14:paraId="6352A6F4" w14:textId="77777777" w:rsidR="005E4865" w:rsidRDefault="00097167">
            <w:pPr>
              <w:widowControl w:val="0"/>
              <w:numPr>
                <w:ilvl w:val="0"/>
                <w:numId w:val="11"/>
              </w:numPr>
              <w:pBdr>
                <w:top w:val="nil"/>
                <w:left w:val="nil"/>
                <w:bottom w:val="nil"/>
                <w:right w:val="nil"/>
                <w:between w:val="nil"/>
              </w:pBdr>
              <w:spacing w:after="0"/>
              <w:rPr>
                <w:color w:val="000000"/>
              </w:rPr>
            </w:pPr>
            <w:r>
              <w:rPr>
                <w:color w:val="000000"/>
              </w:rPr>
              <w:t>Micro-learning completion velocity</w:t>
            </w:r>
          </w:p>
        </w:tc>
      </w:tr>
      <w:tr w:rsidR="005E4865" w14:paraId="183B5B25" w14:textId="77777777" w:rsidTr="006D50BE">
        <w:trPr>
          <w:jc w:val="center"/>
        </w:trPr>
        <w:tc>
          <w:tcPr>
            <w:tcW w:w="2340" w:type="dxa"/>
            <w:tcMar>
              <w:top w:w="100" w:type="dxa"/>
              <w:left w:w="100" w:type="dxa"/>
              <w:bottom w:w="100" w:type="dxa"/>
              <w:right w:w="100" w:type="dxa"/>
            </w:tcMar>
          </w:tcPr>
          <w:p w14:paraId="3173FC7B" w14:textId="77777777" w:rsidR="005E4865" w:rsidRDefault="00097167">
            <w:pPr>
              <w:widowControl w:val="0"/>
              <w:pBdr>
                <w:top w:val="nil"/>
                <w:left w:val="nil"/>
                <w:bottom w:val="nil"/>
                <w:right w:val="nil"/>
                <w:between w:val="nil"/>
              </w:pBdr>
              <w:spacing w:after="0"/>
              <w:rPr>
                <w:color w:val="000000"/>
              </w:rPr>
            </w:pPr>
            <w:r>
              <w:rPr>
                <w:color w:val="000000"/>
              </w:rPr>
              <w:t>Pillar 2</w:t>
            </w:r>
          </w:p>
        </w:tc>
        <w:tc>
          <w:tcPr>
            <w:tcW w:w="2340" w:type="dxa"/>
            <w:tcMar>
              <w:top w:w="100" w:type="dxa"/>
              <w:left w:w="100" w:type="dxa"/>
              <w:bottom w:w="100" w:type="dxa"/>
              <w:right w:w="100" w:type="dxa"/>
            </w:tcMar>
          </w:tcPr>
          <w:p w14:paraId="49A9B7E6" w14:textId="77777777" w:rsidR="005E4865" w:rsidRDefault="00097167">
            <w:pPr>
              <w:widowControl w:val="0"/>
              <w:pBdr>
                <w:top w:val="nil"/>
                <w:left w:val="nil"/>
                <w:bottom w:val="nil"/>
                <w:right w:val="nil"/>
                <w:between w:val="nil"/>
              </w:pBdr>
              <w:spacing w:after="0"/>
              <w:rPr>
                <w:color w:val="000000"/>
              </w:rPr>
            </w:pPr>
            <w:r>
              <w:rPr>
                <w:color w:val="000000"/>
              </w:rPr>
              <w:t>Mandating blameless post-project reviews and arranging structured cross-border innovative problem-solving sessions</w:t>
            </w:r>
          </w:p>
        </w:tc>
        <w:tc>
          <w:tcPr>
            <w:tcW w:w="2340" w:type="dxa"/>
            <w:tcMar>
              <w:top w:w="100" w:type="dxa"/>
              <w:left w:w="100" w:type="dxa"/>
              <w:bottom w:w="100" w:type="dxa"/>
              <w:right w:w="100" w:type="dxa"/>
            </w:tcMar>
          </w:tcPr>
          <w:p w14:paraId="0F00DBC2" w14:textId="77777777" w:rsidR="005E4865" w:rsidRDefault="00097167">
            <w:pPr>
              <w:widowControl w:val="0"/>
              <w:pBdr>
                <w:top w:val="nil"/>
                <w:left w:val="nil"/>
                <w:bottom w:val="nil"/>
                <w:right w:val="nil"/>
                <w:between w:val="nil"/>
              </w:pBdr>
              <w:spacing w:after="0"/>
              <w:rPr>
                <w:color w:val="000000"/>
              </w:rPr>
            </w:pPr>
            <w:r>
              <w:rPr>
                <w:color w:val="000000"/>
              </w:rPr>
              <w:t xml:space="preserve">Instead of expressing honest opinions, employees may stick to safe and routine reflective sessions </w:t>
            </w:r>
          </w:p>
        </w:tc>
        <w:tc>
          <w:tcPr>
            <w:tcW w:w="3328" w:type="dxa"/>
            <w:tcMar>
              <w:top w:w="100" w:type="dxa"/>
              <w:left w:w="100" w:type="dxa"/>
              <w:bottom w:w="100" w:type="dxa"/>
              <w:right w:w="100" w:type="dxa"/>
            </w:tcMar>
          </w:tcPr>
          <w:p w14:paraId="2EFB55DA" w14:textId="77777777" w:rsidR="005E4865" w:rsidRDefault="00097167">
            <w:pPr>
              <w:widowControl w:val="0"/>
              <w:numPr>
                <w:ilvl w:val="0"/>
                <w:numId w:val="9"/>
              </w:numPr>
              <w:pBdr>
                <w:top w:val="nil"/>
                <w:left w:val="nil"/>
                <w:bottom w:val="nil"/>
                <w:right w:val="nil"/>
                <w:between w:val="nil"/>
              </w:pBdr>
              <w:spacing w:after="0"/>
              <w:rPr>
                <w:color w:val="000000"/>
              </w:rPr>
            </w:pPr>
            <w:r>
              <w:rPr>
                <w:color w:val="000000"/>
              </w:rPr>
              <w:t>Psychological safety index</w:t>
            </w:r>
          </w:p>
          <w:p w14:paraId="7B1964C2" w14:textId="77777777" w:rsidR="005E4865" w:rsidRDefault="00097167">
            <w:pPr>
              <w:widowControl w:val="0"/>
              <w:numPr>
                <w:ilvl w:val="0"/>
                <w:numId w:val="9"/>
              </w:numPr>
              <w:pBdr>
                <w:top w:val="nil"/>
                <w:left w:val="nil"/>
                <w:bottom w:val="nil"/>
                <w:right w:val="nil"/>
                <w:between w:val="nil"/>
              </w:pBdr>
              <w:spacing w:after="0"/>
              <w:rPr>
                <w:color w:val="000000"/>
              </w:rPr>
            </w:pPr>
            <w:r>
              <w:rPr>
                <w:color w:val="000000"/>
              </w:rPr>
              <w:t>360</w:t>
            </w:r>
            <w:r>
              <w:rPr>
                <w:color w:val="000000"/>
                <w:vertAlign w:val="superscript"/>
              </w:rPr>
              <w:t>0</w:t>
            </w:r>
            <w:r>
              <w:rPr>
                <w:color w:val="000000"/>
              </w:rPr>
              <w:t xml:space="preserve"> feedback participation rate</w:t>
            </w:r>
          </w:p>
        </w:tc>
      </w:tr>
      <w:tr w:rsidR="005E4865" w14:paraId="10B2D976" w14:textId="77777777" w:rsidTr="006D50BE">
        <w:trPr>
          <w:jc w:val="center"/>
        </w:trPr>
        <w:tc>
          <w:tcPr>
            <w:tcW w:w="2340" w:type="dxa"/>
            <w:tcMar>
              <w:top w:w="100" w:type="dxa"/>
              <w:left w:w="100" w:type="dxa"/>
              <w:bottom w:w="100" w:type="dxa"/>
              <w:right w:w="100" w:type="dxa"/>
            </w:tcMar>
          </w:tcPr>
          <w:p w14:paraId="382446E0" w14:textId="77777777" w:rsidR="005E4865" w:rsidRDefault="00097167">
            <w:pPr>
              <w:widowControl w:val="0"/>
              <w:pBdr>
                <w:top w:val="nil"/>
                <w:left w:val="nil"/>
                <w:bottom w:val="nil"/>
                <w:right w:val="nil"/>
                <w:between w:val="nil"/>
              </w:pBdr>
              <w:spacing w:after="0"/>
              <w:rPr>
                <w:color w:val="000000"/>
              </w:rPr>
            </w:pPr>
            <w:r>
              <w:rPr>
                <w:color w:val="000000"/>
              </w:rPr>
              <w:t>Pillar 3</w:t>
            </w:r>
          </w:p>
        </w:tc>
        <w:tc>
          <w:tcPr>
            <w:tcW w:w="2340" w:type="dxa"/>
            <w:tcMar>
              <w:top w:w="100" w:type="dxa"/>
              <w:left w:w="100" w:type="dxa"/>
              <w:bottom w:w="100" w:type="dxa"/>
              <w:right w:w="100" w:type="dxa"/>
            </w:tcMar>
          </w:tcPr>
          <w:p w14:paraId="62BFCE33" w14:textId="77777777" w:rsidR="005E4865" w:rsidRDefault="00097167">
            <w:pPr>
              <w:widowControl w:val="0"/>
              <w:pBdr>
                <w:top w:val="nil"/>
                <w:left w:val="nil"/>
                <w:bottom w:val="nil"/>
                <w:right w:val="nil"/>
                <w:between w:val="nil"/>
              </w:pBdr>
              <w:spacing w:after="0"/>
              <w:rPr>
                <w:color w:val="000000"/>
              </w:rPr>
            </w:pPr>
            <w:r>
              <w:rPr>
                <w:color w:val="000000"/>
              </w:rPr>
              <w:t>Integrating job crafting templates, launching decentralised portals to let employees apply for cross-border vacancies</w:t>
            </w:r>
          </w:p>
        </w:tc>
        <w:tc>
          <w:tcPr>
            <w:tcW w:w="2340" w:type="dxa"/>
            <w:tcMar>
              <w:top w:w="100" w:type="dxa"/>
              <w:left w:w="100" w:type="dxa"/>
              <w:bottom w:w="100" w:type="dxa"/>
              <w:right w:w="100" w:type="dxa"/>
            </w:tcMar>
          </w:tcPr>
          <w:p w14:paraId="735657A9" w14:textId="77777777" w:rsidR="005E4865" w:rsidRDefault="00097167">
            <w:pPr>
              <w:widowControl w:val="0"/>
              <w:pBdr>
                <w:top w:val="nil"/>
                <w:left w:val="nil"/>
                <w:bottom w:val="nil"/>
                <w:right w:val="nil"/>
                <w:between w:val="nil"/>
              </w:pBdr>
              <w:spacing w:after="0"/>
              <w:rPr>
                <w:color w:val="000000"/>
              </w:rPr>
            </w:pPr>
            <w:r>
              <w:rPr>
                <w:color w:val="000000"/>
              </w:rPr>
              <w:t>Extreme task customisation may disorient the original strategic goal</w:t>
            </w:r>
          </w:p>
        </w:tc>
        <w:tc>
          <w:tcPr>
            <w:tcW w:w="3328" w:type="dxa"/>
            <w:tcMar>
              <w:top w:w="100" w:type="dxa"/>
              <w:left w:w="100" w:type="dxa"/>
              <w:bottom w:w="100" w:type="dxa"/>
              <w:right w:w="100" w:type="dxa"/>
            </w:tcMar>
          </w:tcPr>
          <w:p w14:paraId="526DE621" w14:textId="77777777" w:rsidR="005E4865" w:rsidRDefault="00097167">
            <w:pPr>
              <w:widowControl w:val="0"/>
              <w:numPr>
                <w:ilvl w:val="0"/>
                <w:numId w:val="5"/>
              </w:numPr>
              <w:pBdr>
                <w:top w:val="nil"/>
                <w:left w:val="nil"/>
                <w:bottom w:val="nil"/>
                <w:right w:val="nil"/>
                <w:between w:val="nil"/>
              </w:pBdr>
              <w:spacing w:after="0"/>
              <w:rPr>
                <w:color w:val="000000"/>
              </w:rPr>
            </w:pPr>
            <w:r>
              <w:rPr>
                <w:color w:val="000000"/>
              </w:rPr>
              <w:t>Job crafting utilisation rate</w:t>
            </w:r>
          </w:p>
          <w:p w14:paraId="5D226404" w14:textId="77777777" w:rsidR="005E4865" w:rsidRDefault="00097167">
            <w:pPr>
              <w:widowControl w:val="0"/>
              <w:numPr>
                <w:ilvl w:val="0"/>
                <w:numId w:val="5"/>
              </w:numPr>
              <w:pBdr>
                <w:top w:val="nil"/>
                <w:left w:val="nil"/>
                <w:bottom w:val="nil"/>
                <w:right w:val="nil"/>
                <w:between w:val="nil"/>
              </w:pBdr>
              <w:spacing w:after="0"/>
              <w:rPr>
                <w:color w:val="000000"/>
              </w:rPr>
            </w:pPr>
            <w:r>
              <w:rPr>
                <w:color w:val="000000"/>
              </w:rPr>
              <w:t>Cross-border project participation rate</w:t>
            </w:r>
          </w:p>
          <w:p w14:paraId="0B63DA1A" w14:textId="77777777" w:rsidR="005E4865" w:rsidRDefault="005E4865">
            <w:pPr>
              <w:widowControl w:val="0"/>
              <w:pBdr>
                <w:top w:val="nil"/>
                <w:left w:val="nil"/>
                <w:bottom w:val="nil"/>
                <w:right w:val="nil"/>
                <w:between w:val="nil"/>
              </w:pBdr>
              <w:spacing w:after="0"/>
              <w:rPr>
                <w:color w:val="000000"/>
              </w:rPr>
            </w:pPr>
          </w:p>
        </w:tc>
      </w:tr>
      <w:tr w:rsidR="005E4865" w14:paraId="547E3742" w14:textId="77777777" w:rsidTr="006D50BE">
        <w:trPr>
          <w:jc w:val="center"/>
        </w:trPr>
        <w:tc>
          <w:tcPr>
            <w:tcW w:w="2340" w:type="dxa"/>
            <w:tcMar>
              <w:top w:w="100" w:type="dxa"/>
              <w:left w:w="100" w:type="dxa"/>
              <w:bottom w:w="100" w:type="dxa"/>
              <w:right w:w="100" w:type="dxa"/>
            </w:tcMar>
          </w:tcPr>
          <w:p w14:paraId="384D3851" w14:textId="77777777" w:rsidR="005E4865" w:rsidRDefault="00097167">
            <w:pPr>
              <w:widowControl w:val="0"/>
              <w:pBdr>
                <w:top w:val="nil"/>
                <w:left w:val="nil"/>
                <w:bottom w:val="nil"/>
                <w:right w:val="nil"/>
                <w:between w:val="nil"/>
              </w:pBdr>
              <w:spacing w:after="0"/>
              <w:rPr>
                <w:color w:val="000000"/>
              </w:rPr>
            </w:pPr>
            <w:r>
              <w:rPr>
                <w:color w:val="000000"/>
              </w:rPr>
              <w:t>Pillar 4</w:t>
            </w:r>
          </w:p>
        </w:tc>
        <w:tc>
          <w:tcPr>
            <w:tcW w:w="2340" w:type="dxa"/>
            <w:tcMar>
              <w:top w:w="100" w:type="dxa"/>
              <w:left w:w="100" w:type="dxa"/>
              <w:bottom w:w="100" w:type="dxa"/>
              <w:right w:w="100" w:type="dxa"/>
            </w:tcMar>
          </w:tcPr>
          <w:p w14:paraId="05765AF7" w14:textId="77777777" w:rsidR="005E4865" w:rsidRDefault="00097167">
            <w:pPr>
              <w:widowControl w:val="0"/>
              <w:pBdr>
                <w:top w:val="nil"/>
                <w:left w:val="nil"/>
                <w:bottom w:val="nil"/>
                <w:right w:val="nil"/>
                <w:between w:val="nil"/>
              </w:pBdr>
              <w:spacing w:after="0"/>
              <w:rPr>
                <w:color w:val="000000"/>
              </w:rPr>
            </w:pPr>
            <w:r>
              <w:rPr>
                <w:color w:val="000000"/>
              </w:rPr>
              <w:t xml:space="preserve">Creating an internal career mobility framework accessible to each </w:t>
            </w:r>
            <w:r>
              <w:rPr>
                <w:color w:val="000000"/>
              </w:rPr>
              <w:lastRenderedPageBreak/>
              <w:t>staff member and conducting half-annual succession planning reviews</w:t>
            </w:r>
          </w:p>
        </w:tc>
        <w:tc>
          <w:tcPr>
            <w:tcW w:w="2340" w:type="dxa"/>
            <w:tcMar>
              <w:top w:w="100" w:type="dxa"/>
              <w:left w:w="100" w:type="dxa"/>
              <w:bottom w:w="100" w:type="dxa"/>
              <w:right w:w="100" w:type="dxa"/>
            </w:tcMar>
          </w:tcPr>
          <w:p w14:paraId="288C598C" w14:textId="77777777" w:rsidR="005E4865" w:rsidRDefault="00097167">
            <w:pPr>
              <w:widowControl w:val="0"/>
              <w:pBdr>
                <w:top w:val="nil"/>
                <w:left w:val="nil"/>
                <w:bottom w:val="nil"/>
                <w:right w:val="nil"/>
                <w:between w:val="nil"/>
              </w:pBdr>
              <w:spacing w:after="0"/>
              <w:rPr>
                <w:color w:val="000000"/>
              </w:rPr>
            </w:pPr>
            <w:r>
              <w:rPr>
                <w:color w:val="000000"/>
              </w:rPr>
              <w:lastRenderedPageBreak/>
              <w:t xml:space="preserve">Lack of career advancement opportunities for employees in UAE </w:t>
            </w:r>
            <w:r>
              <w:rPr>
                <w:color w:val="000000"/>
              </w:rPr>
              <w:lastRenderedPageBreak/>
              <w:t>and India compared to the UK</w:t>
            </w:r>
          </w:p>
        </w:tc>
        <w:tc>
          <w:tcPr>
            <w:tcW w:w="3328" w:type="dxa"/>
            <w:tcMar>
              <w:top w:w="100" w:type="dxa"/>
              <w:left w:w="100" w:type="dxa"/>
              <w:bottom w:w="100" w:type="dxa"/>
              <w:right w:w="100" w:type="dxa"/>
            </w:tcMar>
          </w:tcPr>
          <w:p w14:paraId="2B5422F5" w14:textId="77777777" w:rsidR="005E4865" w:rsidRDefault="00097167">
            <w:pPr>
              <w:widowControl w:val="0"/>
              <w:numPr>
                <w:ilvl w:val="0"/>
                <w:numId w:val="10"/>
              </w:numPr>
              <w:pBdr>
                <w:top w:val="nil"/>
                <w:left w:val="nil"/>
                <w:bottom w:val="nil"/>
                <w:right w:val="nil"/>
                <w:between w:val="nil"/>
              </w:pBdr>
              <w:spacing w:after="0"/>
              <w:rPr>
                <w:color w:val="000000"/>
              </w:rPr>
            </w:pPr>
            <w:r>
              <w:rPr>
                <w:color w:val="000000"/>
              </w:rPr>
              <w:lastRenderedPageBreak/>
              <w:t>High-performer retention rate</w:t>
            </w:r>
          </w:p>
          <w:p w14:paraId="55CDD556" w14:textId="77777777" w:rsidR="005E4865" w:rsidRDefault="00097167">
            <w:pPr>
              <w:widowControl w:val="0"/>
              <w:numPr>
                <w:ilvl w:val="0"/>
                <w:numId w:val="10"/>
              </w:numPr>
              <w:pBdr>
                <w:top w:val="nil"/>
                <w:left w:val="nil"/>
                <w:bottom w:val="nil"/>
                <w:right w:val="nil"/>
                <w:between w:val="nil"/>
              </w:pBdr>
              <w:spacing w:after="0"/>
              <w:rPr>
                <w:color w:val="000000"/>
              </w:rPr>
            </w:pPr>
            <w:r>
              <w:rPr>
                <w:color w:val="000000"/>
              </w:rPr>
              <w:t>Succession-planning effectiveness index</w:t>
            </w:r>
          </w:p>
        </w:tc>
      </w:tr>
      <w:tr w:rsidR="005E4865" w14:paraId="4CBA3C32" w14:textId="77777777" w:rsidTr="006D50BE">
        <w:trPr>
          <w:jc w:val="center"/>
        </w:trPr>
        <w:tc>
          <w:tcPr>
            <w:tcW w:w="2340" w:type="dxa"/>
            <w:tcMar>
              <w:top w:w="100" w:type="dxa"/>
              <w:left w:w="100" w:type="dxa"/>
              <w:bottom w:w="100" w:type="dxa"/>
              <w:right w:w="100" w:type="dxa"/>
            </w:tcMar>
          </w:tcPr>
          <w:p w14:paraId="091AB1DA" w14:textId="77777777" w:rsidR="005E4865" w:rsidRDefault="00097167">
            <w:pPr>
              <w:widowControl w:val="0"/>
              <w:pBdr>
                <w:top w:val="nil"/>
                <w:left w:val="nil"/>
                <w:bottom w:val="nil"/>
                <w:right w:val="nil"/>
                <w:between w:val="nil"/>
              </w:pBdr>
              <w:spacing w:after="0"/>
              <w:rPr>
                <w:color w:val="000000"/>
              </w:rPr>
            </w:pPr>
            <w:r>
              <w:rPr>
                <w:color w:val="000000"/>
              </w:rPr>
              <w:t>Pillar 5</w:t>
            </w:r>
          </w:p>
        </w:tc>
        <w:tc>
          <w:tcPr>
            <w:tcW w:w="2340" w:type="dxa"/>
            <w:tcMar>
              <w:top w:w="100" w:type="dxa"/>
              <w:left w:w="100" w:type="dxa"/>
              <w:bottom w:w="100" w:type="dxa"/>
              <w:right w:w="100" w:type="dxa"/>
            </w:tcMar>
          </w:tcPr>
          <w:p w14:paraId="6025A7A0" w14:textId="77777777" w:rsidR="005E4865" w:rsidRDefault="00097167">
            <w:pPr>
              <w:widowControl w:val="0"/>
              <w:pBdr>
                <w:top w:val="nil"/>
                <w:left w:val="nil"/>
                <w:bottom w:val="nil"/>
                <w:right w:val="nil"/>
                <w:between w:val="nil"/>
              </w:pBdr>
              <w:spacing w:after="0"/>
              <w:rPr>
                <w:color w:val="000000"/>
              </w:rPr>
            </w:pPr>
            <w:r>
              <w:rPr>
                <w:color w:val="000000"/>
              </w:rPr>
              <w:t>Redesigning performance metrics balancing technical outputs against sustainable wellbeing metrics, such as staff burnout</w:t>
            </w:r>
          </w:p>
        </w:tc>
        <w:tc>
          <w:tcPr>
            <w:tcW w:w="2340" w:type="dxa"/>
            <w:tcMar>
              <w:top w:w="100" w:type="dxa"/>
              <w:left w:w="100" w:type="dxa"/>
              <w:bottom w:w="100" w:type="dxa"/>
              <w:right w:w="100" w:type="dxa"/>
            </w:tcMar>
          </w:tcPr>
          <w:p w14:paraId="1F9C7E24" w14:textId="77777777" w:rsidR="005E4865" w:rsidRDefault="00097167">
            <w:pPr>
              <w:widowControl w:val="0"/>
              <w:pBdr>
                <w:top w:val="nil"/>
                <w:left w:val="nil"/>
                <w:bottom w:val="nil"/>
                <w:right w:val="nil"/>
                <w:between w:val="nil"/>
              </w:pBdr>
              <w:spacing w:after="0"/>
              <w:rPr>
                <w:color w:val="000000"/>
              </w:rPr>
            </w:pPr>
            <w:r>
              <w:rPr>
                <w:color w:val="000000"/>
              </w:rPr>
              <w:t>Employees may feel pressurised to report false wellbeing scores</w:t>
            </w:r>
          </w:p>
        </w:tc>
        <w:tc>
          <w:tcPr>
            <w:tcW w:w="3328" w:type="dxa"/>
            <w:tcMar>
              <w:top w:w="100" w:type="dxa"/>
              <w:left w:w="100" w:type="dxa"/>
              <w:bottom w:w="100" w:type="dxa"/>
              <w:right w:w="100" w:type="dxa"/>
            </w:tcMar>
          </w:tcPr>
          <w:p w14:paraId="519FFCD3" w14:textId="77777777" w:rsidR="005E4865" w:rsidRDefault="00097167">
            <w:pPr>
              <w:widowControl w:val="0"/>
              <w:numPr>
                <w:ilvl w:val="0"/>
                <w:numId w:val="8"/>
              </w:numPr>
              <w:pBdr>
                <w:top w:val="nil"/>
                <w:left w:val="nil"/>
                <w:bottom w:val="nil"/>
                <w:right w:val="nil"/>
                <w:between w:val="nil"/>
              </w:pBdr>
              <w:spacing w:after="0"/>
              <w:rPr>
                <w:color w:val="000000"/>
              </w:rPr>
            </w:pPr>
            <w:r>
              <w:rPr>
                <w:color w:val="000000"/>
              </w:rPr>
              <w:t>Dual-axis balanced performance score</w:t>
            </w:r>
          </w:p>
          <w:p w14:paraId="01B30B04" w14:textId="77777777" w:rsidR="005E4865" w:rsidRDefault="00097167">
            <w:pPr>
              <w:widowControl w:val="0"/>
              <w:numPr>
                <w:ilvl w:val="0"/>
                <w:numId w:val="8"/>
              </w:numPr>
              <w:pBdr>
                <w:top w:val="nil"/>
                <w:left w:val="nil"/>
                <w:bottom w:val="nil"/>
                <w:right w:val="nil"/>
                <w:between w:val="nil"/>
              </w:pBdr>
              <w:spacing w:after="0"/>
              <w:rPr>
                <w:color w:val="000000"/>
              </w:rPr>
            </w:pPr>
            <w:r>
              <w:rPr>
                <w:color w:val="000000"/>
              </w:rPr>
              <w:t>Employee burnout index</w:t>
            </w:r>
          </w:p>
        </w:tc>
      </w:tr>
    </w:tbl>
    <w:p w14:paraId="1FA4164C" w14:textId="77777777" w:rsidR="005E4865" w:rsidRDefault="00097167">
      <w:pPr>
        <w:pBdr>
          <w:top w:val="nil"/>
          <w:left w:val="nil"/>
          <w:bottom w:val="nil"/>
          <w:right w:val="nil"/>
          <w:between w:val="nil"/>
        </w:pBdr>
        <w:spacing w:after="0"/>
        <w:jc w:val="center"/>
        <w:rPr>
          <w:b/>
          <w:bCs/>
          <w:color w:val="000000"/>
        </w:rPr>
      </w:pPr>
      <w:r>
        <w:rPr>
          <w:b/>
          <w:bCs/>
          <w:color w:val="000000"/>
        </w:rPr>
        <w:t>Table 7: Comprehensive diagnosis of the strategic talent development ecosystem for NHSX</w:t>
      </w:r>
    </w:p>
    <w:p w14:paraId="74F81AB4" w14:textId="77777777" w:rsidR="005E4865" w:rsidRDefault="00097167">
      <w:pPr>
        <w:pBdr>
          <w:top w:val="nil"/>
          <w:left w:val="nil"/>
          <w:bottom w:val="nil"/>
          <w:right w:val="nil"/>
          <w:between w:val="nil"/>
        </w:pBdr>
        <w:spacing w:after="0"/>
        <w:jc w:val="center"/>
        <w:rPr>
          <w:color w:val="000000"/>
        </w:rPr>
      </w:pPr>
      <w:r>
        <w:rPr>
          <w:color w:val="000000"/>
        </w:rPr>
        <w:t xml:space="preserve">(Source: Adapted from Jiang </w:t>
      </w:r>
      <w:r>
        <w:rPr>
          <w:i/>
          <w:iCs/>
          <w:color w:val="000000"/>
        </w:rPr>
        <w:t>et al.</w:t>
      </w:r>
      <w:r>
        <w:rPr>
          <w:color w:val="000000"/>
        </w:rPr>
        <w:t xml:space="preserve"> 2026; Junça Silva </w:t>
      </w:r>
      <w:r>
        <w:rPr>
          <w:i/>
          <w:iCs/>
          <w:color w:val="000000"/>
        </w:rPr>
        <w:t>et al.</w:t>
      </w:r>
      <w:r>
        <w:rPr>
          <w:color w:val="000000"/>
        </w:rPr>
        <w:t xml:space="preserve"> 2026)</w:t>
      </w:r>
    </w:p>
    <w:p w14:paraId="6D2554F6" w14:textId="77777777" w:rsidR="005E4865" w:rsidRDefault="00097167">
      <w:pPr>
        <w:pBdr>
          <w:top w:val="nil"/>
          <w:left w:val="nil"/>
          <w:bottom w:val="nil"/>
          <w:right w:val="nil"/>
          <w:between w:val="nil"/>
        </w:pBdr>
        <w:spacing w:after="0"/>
        <w:jc w:val="center"/>
        <w:rPr>
          <w:color w:val="000000"/>
        </w:rPr>
      </w:pPr>
      <w:r>
        <w:rPr>
          <w:noProof/>
          <w:color w:val="000000"/>
          <w:lang w:val="en-US" w:eastAsia="en-US"/>
        </w:rPr>
        <w:lastRenderedPageBreak/>
        <w:drawing>
          <wp:inline distT="114300" distB="114300" distL="114300" distR="114300" wp14:anchorId="217C6B3D" wp14:editId="3D2AD20F">
            <wp:extent cx="4997302" cy="7293935"/>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cstate="print"/>
                    <a:srcRect/>
                    <a:stretch>
                      <a:fillRect/>
                    </a:stretch>
                  </pic:blipFill>
                  <pic:spPr>
                    <a:xfrm>
                      <a:off x="0" y="0"/>
                      <a:ext cx="4997302" cy="7293935"/>
                    </a:xfrm>
                    <a:prstGeom prst="rect">
                      <a:avLst/>
                    </a:prstGeom>
                    <a:ln w="12700">
                      <a:solidFill>
                        <a:srgbClr val="000000"/>
                      </a:solidFill>
                      <a:prstDash val="solid"/>
                    </a:ln>
                  </pic:spPr>
                </pic:pic>
              </a:graphicData>
            </a:graphic>
          </wp:inline>
        </w:drawing>
      </w:r>
    </w:p>
    <w:p w14:paraId="4C395F06" w14:textId="77777777" w:rsidR="005E4865" w:rsidRDefault="00097167">
      <w:pPr>
        <w:pBdr>
          <w:top w:val="nil"/>
          <w:left w:val="nil"/>
          <w:bottom w:val="nil"/>
          <w:right w:val="nil"/>
          <w:between w:val="nil"/>
        </w:pBdr>
        <w:spacing w:after="0"/>
        <w:jc w:val="center"/>
        <w:rPr>
          <w:b/>
          <w:bCs/>
          <w:color w:val="000000"/>
        </w:rPr>
      </w:pPr>
      <w:r>
        <w:rPr>
          <w:b/>
          <w:bCs/>
          <w:color w:val="000000"/>
        </w:rPr>
        <w:t>Figure 6: Comprehensive talent management strategy</w:t>
      </w:r>
    </w:p>
    <w:p w14:paraId="4FFF342F" w14:textId="77777777" w:rsidR="005E4865" w:rsidRDefault="00097167">
      <w:pPr>
        <w:pBdr>
          <w:top w:val="nil"/>
          <w:left w:val="nil"/>
          <w:bottom w:val="nil"/>
          <w:right w:val="nil"/>
          <w:between w:val="nil"/>
        </w:pBdr>
        <w:spacing w:after="0"/>
        <w:jc w:val="center"/>
        <w:rPr>
          <w:color w:val="000000"/>
        </w:rPr>
      </w:pPr>
      <w:r>
        <w:rPr>
          <w:color w:val="000000"/>
        </w:rPr>
        <w:t>(Source: Self-developed)</w:t>
      </w:r>
    </w:p>
    <w:p w14:paraId="0C81C219" w14:textId="77777777" w:rsidR="005E4865" w:rsidRDefault="00097167">
      <w:pPr>
        <w:pBdr>
          <w:top w:val="nil"/>
          <w:left w:val="nil"/>
          <w:bottom w:val="nil"/>
          <w:right w:val="nil"/>
          <w:between w:val="nil"/>
        </w:pBdr>
        <w:spacing w:after="0"/>
        <w:rPr>
          <w:color w:val="000000"/>
        </w:rPr>
      </w:pPr>
      <w:r>
        <w:rPr>
          <w:color w:val="000000"/>
        </w:rPr>
        <w:t xml:space="preserve"> </w:t>
      </w:r>
      <w:r>
        <w:br w:type="page"/>
      </w:r>
    </w:p>
    <w:p w14:paraId="68FFF672" w14:textId="77777777" w:rsidR="005E4865" w:rsidRDefault="00097167">
      <w:pPr>
        <w:pStyle w:val="Heading1"/>
      </w:pPr>
      <w:bookmarkStart w:id="8" w:name="_Toc242703331"/>
      <w:r>
        <w:lastRenderedPageBreak/>
        <w:t>Task C: Reflective report</w:t>
      </w:r>
      <w:bookmarkEnd w:id="8"/>
    </w:p>
    <w:p w14:paraId="3E9E6A8D" w14:textId="77777777" w:rsidR="005E4865" w:rsidRDefault="00097167">
      <w:pPr>
        <w:pStyle w:val="Heading2"/>
      </w:pPr>
      <w:bookmarkStart w:id="9" w:name="_Toc242703332"/>
      <w:r>
        <w:t>Description</w:t>
      </w:r>
      <w:bookmarkEnd w:id="9"/>
    </w:p>
    <w:p w14:paraId="5E6A75B8" w14:textId="77777777" w:rsidR="005E4865" w:rsidRDefault="00097167">
      <w:pPr>
        <w:spacing w:after="0"/>
      </w:pPr>
      <w:r>
        <w:t xml:space="preserve">Analysing business issues at NHSX shows that AI can act as a strategic mediator to support managers in maintaining employee wellbeing while balancing it with innovation and organisational performance </w:t>
      </w:r>
      <w:r>
        <w:rPr>
          <w:b/>
          <w:bCs/>
          <w:i/>
          <w:iCs/>
        </w:rPr>
        <w:t>(AI as Strategic Tool)</w:t>
      </w:r>
      <w:r>
        <w:t>. While examining the role of AI in developing informed managerial decisions, it is found that employee experience related pattern identification and highlighting required intervention is used for automated insights along with human interpretations (</w:t>
      </w:r>
      <w:r>
        <w:rPr>
          <w:b/>
          <w:bCs/>
          <w:i/>
          <w:iCs/>
        </w:rPr>
        <w:t>Reflective analysis)</w:t>
      </w:r>
      <w:r>
        <w:t xml:space="preserve">. Following the findings, I consider that human judgement alongside technological evidence is essential for organisational growth and innovation integration. </w:t>
      </w:r>
    </w:p>
    <w:p w14:paraId="3532ED29" w14:textId="77777777" w:rsidR="005E4865" w:rsidRDefault="00097167">
      <w:pPr>
        <w:pStyle w:val="Heading2"/>
      </w:pPr>
      <w:bookmarkStart w:id="10" w:name="_Toc242703333"/>
      <w:r>
        <w:t>Feelings</w:t>
      </w:r>
      <w:bookmarkEnd w:id="10"/>
    </w:p>
    <w:p w14:paraId="7DC10526" w14:textId="77777777" w:rsidR="005E4865" w:rsidRDefault="00097167">
      <w:pPr>
        <w:spacing w:after="0"/>
      </w:pPr>
      <w:r>
        <w:t xml:space="preserve">Initially, I was cautious and optimistic to apply AI for data analysis and understand its influence to strengthen evidence-based HR decisions while retaining managerial responsibilities. The application of AI has shaped my understanding of integrating innovation while maintaining employee wellbeing and concerns for team collaboration. The experience involved employee performance understanding,team collaboration pattern detection and recommending career development options supported by AI. Following these experiences have shaped my confidence in implementing AI for its analytical value. However, I was concerned about the overreliance on automated decisions and outputs to maintain ethical judgement and empathy, where human oversight is critical </w:t>
      </w:r>
      <w:r>
        <w:rPr>
          <w:b/>
          <w:bCs/>
          <w:i/>
          <w:iCs/>
        </w:rPr>
        <w:t>(Reflective analysis)</w:t>
      </w:r>
      <w:r>
        <w:t xml:space="preserve">. </w:t>
      </w:r>
    </w:p>
    <w:p w14:paraId="70EF790A" w14:textId="77777777" w:rsidR="005E4865" w:rsidRDefault="00097167">
      <w:pPr>
        <w:pStyle w:val="Heading2"/>
      </w:pPr>
      <w:bookmarkStart w:id="11" w:name="_Toc242703334"/>
      <w:r>
        <w:t>Evaluation</w:t>
      </w:r>
      <w:bookmarkEnd w:id="11"/>
    </w:p>
    <w:p w14:paraId="2E0366C0" w14:textId="77777777" w:rsidR="005E4865" w:rsidRDefault="00097167">
      <w:pPr>
        <w:spacing w:after="0"/>
      </w:pPr>
      <w:r>
        <w:t xml:space="preserve">AI implementation has highlighted value integration through rapid and spontaneous insights based on evidence across the managerial operations and responsiveness </w:t>
      </w:r>
      <w:r>
        <w:rPr>
          <w:b/>
          <w:bCs/>
          <w:i/>
          <w:iCs/>
        </w:rPr>
        <w:t>(Reflective analysis)</w:t>
      </w:r>
      <w:r>
        <w:t xml:space="preserve">. However, the effectiveness of AI integration is limited in terms of data quality, ethical concerns and contextual interpretations that involve employee information (Aldoseri </w:t>
      </w:r>
      <w:r>
        <w:rPr>
          <w:i/>
          <w:iCs/>
        </w:rPr>
        <w:t xml:space="preserve">et al., </w:t>
      </w:r>
      <w:r>
        <w:t xml:space="preserve">2023). Following the analysis, I have recognised AI as a supportive tool to support managerial processes to ensure efficiency in the process without replacing managerial judgement to influence wellbeing, development and employee trust </w:t>
      </w:r>
      <w:r>
        <w:rPr>
          <w:b/>
          <w:bCs/>
          <w:i/>
          <w:iCs/>
        </w:rPr>
        <w:t>(AI as strategic tool)</w:t>
      </w:r>
      <w:r>
        <w:t xml:space="preserve">. </w:t>
      </w:r>
    </w:p>
    <w:p w14:paraId="53899FCD" w14:textId="77777777" w:rsidR="005E4865" w:rsidRDefault="00097167">
      <w:pPr>
        <w:pStyle w:val="Heading2"/>
      </w:pPr>
      <w:bookmarkStart w:id="12" w:name="_Toc242703335"/>
      <w:r>
        <w:lastRenderedPageBreak/>
        <w:t>Analysis</w:t>
      </w:r>
      <w:bookmarkEnd w:id="12"/>
    </w:p>
    <w:p w14:paraId="61C46352" w14:textId="77777777" w:rsidR="005E4865" w:rsidRDefault="00097167">
      <w:pPr>
        <w:pBdr>
          <w:top w:val="nil"/>
          <w:left w:val="nil"/>
          <w:bottom w:val="nil"/>
          <w:right w:val="nil"/>
          <w:between w:val="nil"/>
        </w:pBdr>
        <w:spacing w:after="0"/>
        <w:rPr>
          <w:color w:val="000000"/>
        </w:rPr>
      </w:pPr>
      <w:r>
        <w:rPr>
          <w:color w:val="000000"/>
        </w:rPr>
        <w:t>I used AI to identify employee attrition patterns in the UK, India, and UAE, and the AI successfully identified the pattern, but could not exhibit contextual empathy. Although</w:t>
      </w:r>
    </w:p>
    <w:p w14:paraId="4623378D" w14:textId="77777777" w:rsidR="005E4865" w:rsidRDefault="00097167">
      <w:pPr>
        <w:pBdr>
          <w:top w:val="nil"/>
          <w:left w:val="nil"/>
          <w:bottom w:val="nil"/>
          <w:right w:val="nil"/>
          <w:between w:val="nil"/>
        </w:pBdr>
        <w:spacing w:after="0"/>
        <w:rPr>
          <w:color w:val="000000"/>
        </w:rPr>
      </w:pPr>
      <w:r>
        <w:rPr>
          <w:color w:val="000000"/>
        </w:rPr>
        <w:t>AI definitely helped me to identify the time period when the high-performing employees were resigning, but it recommended that increasing technical outputs could bridge the productivity gap.  If one follows its instructions blindly, it could exacerbate employee burnout, creating additional anxiety for them. Secondly, I searched for hyper-personalised AI digital skill pathways and micro-learning modules, but I noticed that it jammed learning materials that should take weeks to internalise into a few hours of learning sessions. In this case, I noticed AI recommendations cannot be blindly followed, human oversight is needed. Thirdly, I employed AI to conduct sentiment analysis on the anonymous 360</w:t>
      </w:r>
      <w:r>
        <w:rPr>
          <w:color w:val="000000"/>
          <w:vertAlign w:val="superscript"/>
        </w:rPr>
        <w:t>0</w:t>
      </w:r>
      <w:r>
        <w:rPr>
          <w:color w:val="000000"/>
        </w:rPr>
        <w:t xml:space="preserve"> feedback platforms to assess the degree of stress and anxiety among employees. Although it connected feedback metrics with real-life scenarios, it failed to consider cross-cultural sentiment differences in different regions </w:t>
      </w:r>
      <w:r>
        <w:rPr>
          <w:b/>
          <w:bCs/>
          <w:i/>
          <w:iCs/>
          <w:color w:val="000000"/>
        </w:rPr>
        <w:t>(Reflective analysis)</w:t>
      </w:r>
      <w:r>
        <w:rPr>
          <w:color w:val="000000"/>
        </w:rPr>
        <w:t xml:space="preserve">. </w:t>
      </w:r>
    </w:p>
    <w:p w14:paraId="5016F23D" w14:textId="77777777" w:rsidR="005E4865" w:rsidRDefault="00097167">
      <w:pPr>
        <w:pStyle w:val="Heading2"/>
      </w:pPr>
      <w:bookmarkStart w:id="13" w:name="_Toc242703336"/>
      <w:r>
        <w:t>Conclusion</w:t>
      </w:r>
      <w:bookmarkEnd w:id="13"/>
    </w:p>
    <w:p w14:paraId="1B57FC15" w14:textId="77777777" w:rsidR="005E4865" w:rsidRDefault="00097167">
      <w:pPr>
        <w:pBdr>
          <w:top w:val="nil"/>
          <w:left w:val="nil"/>
          <w:bottom w:val="nil"/>
          <w:right w:val="nil"/>
          <w:between w:val="nil"/>
        </w:pBdr>
        <w:spacing w:after="0"/>
        <w:rPr>
          <w:color w:val="000000"/>
        </w:rPr>
      </w:pPr>
      <w:r>
        <w:rPr>
          <w:color w:val="000000"/>
        </w:rPr>
        <w:t xml:space="preserve">As I applied AI in various instances in this assignment, I noticed that AI is greatly competent at identifying algorithmic patterns and symptoms much quicker and with high efficiency than human intelligence, but it lacks human empathy and fails to comprehend cultural differences </w:t>
      </w:r>
      <w:r>
        <w:rPr>
          <w:b/>
          <w:bCs/>
          <w:i/>
          <w:iCs/>
          <w:color w:val="000000"/>
        </w:rPr>
        <w:t>(AI as a strategic tool)</w:t>
      </w:r>
      <w:r>
        <w:rPr>
          <w:color w:val="000000"/>
        </w:rPr>
        <w:t>.</w:t>
      </w:r>
    </w:p>
    <w:p w14:paraId="196E7704" w14:textId="77777777" w:rsidR="005E4865" w:rsidRDefault="00097167">
      <w:pPr>
        <w:pStyle w:val="Heading2"/>
      </w:pPr>
      <w:bookmarkStart w:id="14" w:name="_Toc242703337"/>
      <w:r>
        <w:t>Action plan</w:t>
      </w:r>
      <w:bookmarkEnd w:id="14"/>
      <w:r>
        <w:t xml:space="preserve"> </w:t>
      </w:r>
    </w:p>
    <w:p w14:paraId="3DD88F92" w14:textId="77777777" w:rsidR="005E4865" w:rsidRDefault="00097167">
      <w:pPr>
        <w:spacing w:after="0"/>
      </w:pPr>
      <w:r>
        <w:t xml:space="preserve">I intend to gain more knowledge about safely using AI, complying with data privacy regulations, using it as a decision-support tool, and cautiously applying its suggestions by cross-checking the merits of the suggestions. I want to enhance my cross-cultural competence to increase my employability scope in multinational teams </w:t>
      </w:r>
      <w:r>
        <w:rPr>
          <w:b/>
          <w:bCs/>
          <w:i/>
          <w:iCs/>
        </w:rPr>
        <w:t>(Personalised Action Plan)</w:t>
      </w:r>
      <w:r>
        <w:t>.</w:t>
      </w:r>
    </w:p>
    <w:p w14:paraId="3808B9F1" w14:textId="77777777" w:rsidR="005E4865" w:rsidRDefault="00097167">
      <w:r>
        <w:br w:type="page"/>
      </w:r>
    </w:p>
    <w:p w14:paraId="41D22D97" w14:textId="77777777" w:rsidR="005E4865" w:rsidRDefault="00097167">
      <w:pPr>
        <w:pStyle w:val="Heading1"/>
      </w:pPr>
      <w:bookmarkStart w:id="15" w:name="_Toc242703338"/>
      <w:r>
        <w:lastRenderedPageBreak/>
        <w:t>Conclusion</w:t>
      </w:r>
      <w:bookmarkEnd w:id="15"/>
      <w:r>
        <w:t xml:space="preserve"> </w:t>
      </w:r>
    </w:p>
    <w:p w14:paraId="372BC7EE" w14:textId="77777777" w:rsidR="005E4865" w:rsidRDefault="00097167">
      <w:pPr>
        <w:spacing w:after="0"/>
      </w:pPr>
      <w:r>
        <w:t>As per the above discussion it can be surmised that NHSX is currently experiences a stagnant phase with  declining knowledge sharing, innovation, and creativity as their talent management strategy is limited to recruitment and performance evaluation based on performance outputs. The proposed talent development ecosystem is designed to address the identified problems.</w:t>
      </w:r>
    </w:p>
    <w:p w14:paraId="25A1D9A4" w14:textId="77777777" w:rsidR="005E4865" w:rsidRDefault="00097167">
      <w:pPr>
        <w:spacing w:after="0"/>
      </w:pPr>
      <w:r>
        <w:br w:type="page"/>
      </w:r>
    </w:p>
    <w:p w14:paraId="4D273CCC" w14:textId="77777777" w:rsidR="005E4865" w:rsidRDefault="00097167">
      <w:pPr>
        <w:pStyle w:val="Heading1"/>
      </w:pPr>
      <w:bookmarkStart w:id="16" w:name="_Toc242703339"/>
      <w:r>
        <w:lastRenderedPageBreak/>
        <w:t>Reference list</w:t>
      </w:r>
      <w:bookmarkEnd w:id="16"/>
    </w:p>
    <w:p w14:paraId="75543E3D" w14:textId="77777777" w:rsidR="006B5B6A" w:rsidRDefault="006B5B6A">
      <w:pPr>
        <w:pBdr>
          <w:top w:val="nil"/>
          <w:left w:val="nil"/>
          <w:bottom w:val="nil"/>
          <w:right w:val="nil"/>
          <w:between w:val="nil"/>
        </w:pBdr>
        <w:spacing w:before="240"/>
        <w:rPr>
          <w:color w:val="222222"/>
          <w:highlight w:val="white"/>
        </w:rPr>
      </w:pPr>
      <w:r>
        <w:rPr>
          <w:color w:val="222222"/>
          <w:highlight w:val="white"/>
        </w:rPr>
        <w:t xml:space="preserve">Afnek, R. and Khadem, A., (2026). Crafting Your Employability: How Job Crafting Relates to Sustainable Employability Under the Self-Determination Theory and Role Theory. </w:t>
      </w:r>
      <w:r>
        <w:rPr>
          <w:i/>
          <w:iCs/>
          <w:color w:val="222222"/>
          <w:highlight w:val="white"/>
        </w:rPr>
        <w:t>Sustainability</w:t>
      </w:r>
      <w:r>
        <w:rPr>
          <w:color w:val="222222"/>
          <w:highlight w:val="white"/>
        </w:rPr>
        <w:t xml:space="preserve">, </w:t>
      </w:r>
      <w:r>
        <w:rPr>
          <w:i/>
          <w:iCs/>
          <w:color w:val="222222"/>
          <w:highlight w:val="white"/>
        </w:rPr>
        <w:t>18</w:t>
      </w:r>
      <w:r>
        <w:rPr>
          <w:color w:val="222222"/>
          <w:highlight w:val="white"/>
        </w:rPr>
        <w:t xml:space="preserve">(2), p.979. </w:t>
      </w:r>
      <w:hyperlink r:id="rId14">
        <w:r>
          <w:rPr>
            <w:color w:val="0000FF"/>
            <w:highlight w:val="white"/>
            <w:u w:val="single"/>
          </w:rPr>
          <w:t>https://doi.org/10.3390/su18020979</w:t>
        </w:r>
      </w:hyperlink>
    </w:p>
    <w:p w14:paraId="3BE4AC16" w14:textId="77777777" w:rsidR="006B5B6A" w:rsidRDefault="006B5B6A">
      <w:pPr>
        <w:spacing w:before="240" w:after="0"/>
      </w:pPr>
      <w:r w:rsidRPr="00D324FA">
        <w:t xml:space="preserve">Aggrawal, S., Bosman, L. and Magana, A.J., </w:t>
      </w:r>
      <w:r>
        <w:t>(</w:t>
      </w:r>
      <w:r w:rsidRPr="00D324FA">
        <w:t>2024, June</w:t>
      </w:r>
      <w:r>
        <w:t>)</w:t>
      </w:r>
      <w:r w:rsidRPr="00D324FA">
        <w:t xml:space="preserve">. Exploring teamwork experiences in collaborative undergraduate research (REU) programs through Tuckman's group development theory. In </w:t>
      </w:r>
      <w:r w:rsidRPr="00D324FA">
        <w:rPr>
          <w:i/>
          <w:iCs/>
        </w:rPr>
        <w:t>2024 ASEE Annual Conference &amp; Exposition</w:t>
      </w:r>
      <w:r w:rsidRPr="00D324FA">
        <w:t>.</w:t>
      </w:r>
    </w:p>
    <w:p w14:paraId="4EAAA0A2" w14:textId="77777777" w:rsidR="006B5B6A" w:rsidRDefault="006B5B6A">
      <w:pPr>
        <w:spacing w:before="240" w:after="0"/>
      </w:pPr>
      <w:r>
        <w:t xml:space="preserve">Aldoseri, A., Al-Khalifa, K.N. and Hamouda, A.M., (2023). Re-thinking data strategy and integration for artificial intelligence: concepts, opportunities, and challenges. </w:t>
      </w:r>
      <w:r>
        <w:rPr>
          <w:i/>
          <w:iCs/>
        </w:rPr>
        <w:t>Applied Sciences</w:t>
      </w:r>
      <w:r>
        <w:t xml:space="preserve">, </w:t>
      </w:r>
      <w:r>
        <w:rPr>
          <w:i/>
          <w:iCs/>
        </w:rPr>
        <w:t>13</w:t>
      </w:r>
      <w:r>
        <w:t>(12), p.7082.</w:t>
      </w:r>
    </w:p>
    <w:p w14:paraId="02E13C20" w14:textId="77777777" w:rsidR="006B5B6A" w:rsidRPr="00233CAA" w:rsidRDefault="006B5B6A" w:rsidP="00233CAA">
      <w:pPr>
        <w:spacing w:before="240" w:after="0"/>
        <w:rPr>
          <w:lang w:val="en-US"/>
        </w:rPr>
      </w:pPr>
      <w:r w:rsidRPr="00233CAA">
        <w:t xml:space="preserve">Bagherian, A., Gershon, M. and Swarnakar, V., (2023). Identification of learning organisation key elements leading to successful implementation of Six Sigma: an empirical study. </w:t>
      </w:r>
      <w:r w:rsidRPr="00233CAA">
        <w:rPr>
          <w:i/>
          <w:iCs/>
        </w:rPr>
        <w:t>International Journal of Productivity and Quality Management</w:t>
      </w:r>
      <w:r w:rsidRPr="00233CAA">
        <w:t xml:space="preserve">, </w:t>
      </w:r>
      <w:r w:rsidRPr="00233CAA">
        <w:rPr>
          <w:i/>
          <w:iCs/>
        </w:rPr>
        <w:t>38</w:t>
      </w:r>
      <w:r w:rsidRPr="00233CAA">
        <w:t xml:space="preserve">(3), pp.361-387. </w:t>
      </w:r>
    </w:p>
    <w:p w14:paraId="15CC3FDD" w14:textId="77777777" w:rsidR="006B5B6A" w:rsidRDefault="006B5B6A">
      <w:pPr>
        <w:spacing w:before="240" w:after="0"/>
      </w:pPr>
      <w:r w:rsidRPr="00D324FA">
        <w:t xml:space="preserve">Bansal, D. and Bose, S.K., </w:t>
      </w:r>
      <w:r>
        <w:t>(</w:t>
      </w:r>
      <w:r w:rsidRPr="00D324FA">
        <w:t>2026</w:t>
      </w:r>
      <w:r>
        <w:t>)</w:t>
      </w:r>
      <w:r w:rsidRPr="00D324FA">
        <w:t xml:space="preserve">. Governing the digital age: Ethical principles, transparency, accountability, and human oversight in information technology law toward a sustainable regulatory framework. </w:t>
      </w:r>
      <w:r w:rsidRPr="00D324FA">
        <w:rPr>
          <w:i/>
          <w:iCs/>
        </w:rPr>
        <w:t>International Journal of Business and Management (IJBM)</w:t>
      </w:r>
      <w:r w:rsidRPr="00D324FA">
        <w:t xml:space="preserve">, </w:t>
      </w:r>
      <w:r w:rsidRPr="00D324FA">
        <w:rPr>
          <w:i/>
          <w:iCs/>
        </w:rPr>
        <w:t>5</w:t>
      </w:r>
      <w:r w:rsidRPr="00D324FA">
        <w:t>(1), pp.282-297.</w:t>
      </w:r>
    </w:p>
    <w:p w14:paraId="57BAC984" w14:textId="77777777" w:rsidR="006B5B6A" w:rsidRDefault="006B5B6A">
      <w:pPr>
        <w:pBdr>
          <w:top w:val="nil"/>
          <w:left w:val="nil"/>
          <w:bottom w:val="nil"/>
          <w:right w:val="nil"/>
          <w:between w:val="nil"/>
        </w:pBdr>
        <w:spacing w:before="240"/>
        <w:rPr>
          <w:color w:val="222222"/>
          <w:highlight w:val="white"/>
        </w:rPr>
      </w:pPr>
      <w:r>
        <w:rPr>
          <w:color w:val="222222"/>
          <w:highlight w:val="white"/>
        </w:rPr>
        <w:t xml:space="preserve">Chinyuku, C. and Qutieshat, A., (2025). The role of psychological safety in strategy implementation: A brief literature review. </w:t>
      </w:r>
      <w:r>
        <w:rPr>
          <w:i/>
          <w:iCs/>
          <w:color w:val="222222"/>
          <w:highlight w:val="white"/>
        </w:rPr>
        <w:t>International Journal of Applied Research in Business and Management</w:t>
      </w:r>
      <w:r>
        <w:rPr>
          <w:color w:val="222222"/>
          <w:highlight w:val="white"/>
        </w:rPr>
        <w:t xml:space="preserve">, </w:t>
      </w:r>
      <w:r>
        <w:rPr>
          <w:i/>
          <w:iCs/>
          <w:color w:val="222222"/>
          <w:highlight w:val="white"/>
        </w:rPr>
        <w:t>6</w:t>
      </w:r>
      <w:r>
        <w:rPr>
          <w:color w:val="222222"/>
          <w:highlight w:val="white"/>
        </w:rPr>
        <w:t>(1).</w:t>
      </w:r>
      <w:r>
        <w:rPr>
          <w:color w:val="000000"/>
        </w:rPr>
        <w:t xml:space="preserve"> </w:t>
      </w:r>
      <w:hyperlink r:id="rId15">
        <w:r>
          <w:rPr>
            <w:color w:val="0000FF"/>
            <w:highlight w:val="white"/>
            <w:u w:val="single"/>
          </w:rPr>
          <w:t>https://doi.org/10.51137/wrp.ijarbm.2025.ccti.45721</w:t>
        </w:r>
      </w:hyperlink>
    </w:p>
    <w:p w14:paraId="33D1C1B1" w14:textId="77777777" w:rsidR="006B5B6A" w:rsidRDefault="006B5B6A">
      <w:pPr>
        <w:spacing w:before="240" w:after="0"/>
      </w:pPr>
      <w:r w:rsidRPr="00D324FA">
        <w:t xml:space="preserve">Díaz-Leyva, C. and Cascón-Pereira, R., </w:t>
      </w:r>
      <w:r>
        <w:t>(</w:t>
      </w:r>
      <w:r w:rsidRPr="00D324FA">
        <w:t>2026</w:t>
      </w:r>
      <w:r>
        <w:t>)</w:t>
      </w:r>
      <w:r w:rsidRPr="00D324FA">
        <w:t xml:space="preserve">. Beyond formal managerial hierarchy: Reimagining HRM in self-managing organisations. </w:t>
      </w:r>
      <w:r w:rsidRPr="00D324FA">
        <w:rPr>
          <w:i/>
          <w:iCs/>
        </w:rPr>
        <w:t>Human Resource Management Review</w:t>
      </w:r>
      <w:r w:rsidRPr="00D324FA">
        <w:t xml:space="preserve">, </w:t>
      </w:r>
      <w:r w:rsidRPr="00D324FA">
        <w:rPr>
          <w:i/>
          <w:iCs/>
        </w:rPr>
        <w:t>36</w:t>
      </w:r>
      <w:r w:rsidRPr="00D324FA">
        <w:t>(4), p.101166.</w:t>
      </w:r>
    </w:p>
    <w:p w14:paraId="11007CFE" w14:textId="77777777" w:rsidR="006B5B6A" w:rsidRDefault="006B5B6A">
      <w:pPr>
        <w:pBdr>
          <w:top w:val="nil"/>
          <w:left w:val="nil"/>
          <w:bottom w:val="nil"/>
          <w:right w:val="nil"/>
          <w:between w:val="nil"/>
        </w:pBdr>
        <w:spacing w:before="240"/>
        <w:rPr>
          <w:color w:val="222222"/>
          <w:highlight w:val="white"/>
        </w:rPr>
      </w:pPr>
      <w:r>
        <w:rPr>
          <w:color w:val="222222"/>
          <w:highlight w:val="white"/>
        </w:rPr>
        <w:t>Havens, S., (2025). An Integrated Framework Combining Kotter, Albrecht, and Senge for Sustainable Organizational Transformation.</w:t>
      </w:r>
      <w:r>
        <w:rPr>
          <w:color w:val="000000"/>
        </w:rPr>
        <w:t xml:space="preserve"> </w:t>
      </w:r>
      <w:hyperlink r:id="rId16">
        <w:r>
          <w:rPr>
            <w:color w:val="0000FF"/>
            <w:highlight w:val="white"/>
            <w:u w:val="single"/>
          </w:rPr>
          <w:t>https://papers.ssrn.com/sol3/Delivery.cfm?abstractid=5216097</w:t>
        </w:r>
      </w:hyperlink>
    </w:p>
    <w:p w14:paraId="5AC7E002" w14:textId="77777777" w:rsidR="006B5B6A" w:rsidRDefault="006B5B6A">
      <w:pPr>
        <w:spacing w:before="240" w:after="0"/>
      </w:pPr>
      <w:r w:rsidRPr="007E3E80">
        <w:lastRenderedPageBreak/>
        <w:t xml:space="preserve">Hrnjić, A., Ivaniš, M. and Sutović, L., </w:t>
      </w:r>
      <w:r>
        <w:t>(</w:t>
      </w:r>
      <w:r w:rsidRPr="007E3E80">
        <w:t>2024</w:t>
      </w:r>
      <w:r>
        <w:t>)</w:t>
      </w:r>
      <w:r w:rsidRPr="007E3E80">
        <w:t xml:space="preserve">. The impact of learning organization principles in enhancing organizational performance and quality. </w:t>
      </w:r>
      <w:r w:rsidRPr="007E3E80">
        <w:rPr>
          <w:i/>
          <w:iCs/>
        </w:rPr>
        <w:t>Economic Review: Journal of Economics and Business</w:t>
      </w:r>
      <w:r w:rsidRPr="007E3E80">
        <w:t xml:space="preserve">, </w:t>
      </w:r>
      <w:r w:rsidRPr="007E3E80">
        <w:rPr>
          <w:i/>
          <w:iCs/>
        </w:rPr>
        <w:t>22</w:t>
      </w:r>
      <w:r w:rsidRPr="007E3E80">
        <w:t>(2), pp.15-42.</w:t>
      </w:r>
    </w:p>
    <w:p w14:paraId="40E98E5C" w14:textId="77777777" w:rsidR="006B5B6A" w:rsidRDefault="006B5B6A">
      <w:pPr>
        <w:pBdr>
          <w:top w:val="nil"/>
          <w:left w:val="nil"/>
          <w:bottom w:val="nil"/>
          <w:right w:val="nil"/>
          <w:between w:val="nil"/>
        </w:pBdr>
        <w:spacing w:before="240"/>
        <w:rPr>
          <w:color w:val="222222"/>
          <w:highlight w:val="white"/>
        </w:rPr>
      </w:pPr>
      <w:r>
        <w:rPr>
          <w:color w:val="222222"/>
          <w:highlight w:val="white"/>
        </w:rPr>
        <w:t xml:space="preserve">Jiang, H., Zhang, Y. and Yan, S., (2026). Employee–AI Collaboration and Career Sustainability: The Role of Job Crafting and AI Job Role Clarity. </w:t>
      </w:r>
      <w:r>
        <w:rPr>
          <w:i/>
          <w:iCs/>
          <w:color w:val="222222"/>
          <w:highlight w:val="white"/>
        </w:rPr>
        <w:t>Behavioral Sciences</w:t>
      </w:r>
      <w:r>
        <w:rPr>
          <w:color w:val="222222"/>
          <w:highlight w:val="white"/>
        </w:rPr>
        <w:t xml:space="preserve">, </w:t>
      </w:r>
      <w:r>
        <w:rPr>
          <w:i/>
          <w:iCs/>
          <w:color w:val="222222"/>
          <w:highlight w:val="white"/>
        </w:rPr>
        <w:t>16</w:t>
      </w:r>
      <w:r>
        <w:rPr>
          <w:color w:val="222222"/>
          <w:highlight w:val="white"/>
        </w:rPr>
        <w:t>(8), p.1451.</w:t>
      </w:r>
      <w:r>
        <w:rPr>
          <w:color w:val="000000"/>
        </w:rPr>
        <w:t xml:space="preserve"> </w:t>
      </w:r>
      <w:hyperlink r:id="rId17">
        <w:r>
          <w:rPr>
            <w:color w:val="0000FF"/>
            <w:highlight w:val="white"/>
            <w:u w:val="single"/>
          </w:rPr>
          <w:t>https://doi.org/10.3390/bs16081451</w:t>
        </w:r>
      </w:hyperlink>
    </w:p>
    <w:p w14:paraId="5B072CE5" w14:textId="77777777" w:rsidR="006B5B6A" w:rsidRDefault="006B5B6A">
      <w:pPr>
        <w:pBdr>
          <w:top w:val="nil"/>
          <w:left w:val="nil"/>
          <w:bottom w:val="nil"/>
          <w:right w:val="nil"/>
          <w:between w:val="nil"/>
        </w:pBdr>
        <w:spacing w:before="240"/>
        <w:rPr>
          <w:color w:val="222222"/>
          <w:highlight w:val="white"/>
        </w:rPr>
      </w:pPr>
      <w:r>
        <w:rPr>
          <w:color w:val="222222"/>
          <w:highlight w:val="white"/>
        </w:rPr>
        <w:t xml:space="preserve">Junça Silva, A., Pombo, R. and Rueff Lopes, R., (2026). Hybrid work as a self-determining context: examining the psychological mechanisms behind job satisfaction. </w:t>
      </w:r>
      <w:r>
        <w:rPr>
          <w:i/>
          <w:iCs/>
          <w:color w:val="222222"/>
          <w:highlight w:val="white"/>
        </w:rPr>
        <w:t>The Learning Organization</w:t>
      </w:r>
      <w:r>
        <w:rPr>
          <w:color w:val="222222"/>
          <w:highlight w:val="white"/>
        </w:rPr>
        <w:t xml:space="preserve">, </w:t>
      </w:r>
      <w:r>
        <w:rPr>
          <w:i/>
          <w:iCs/>
          <w:color w:val="222222"/>
          <w:highlight w:val="white"/>
        </w:rPr>
        <w:t>33</w:t>
      </w:r>
      <w:r>
        <w:rPr>
          <w:color w:val="222222"/>
          <w:highlight w:val="white"/>
        </w:rPr>
        <w:t>(7), pp.39-57.</w:t>
      </w:r>
      <w:r>
        <w:rPr>
          <w:color w:val="000000"/>
        </w:rPr>
        <w:t xml:space="preserve"> </w:t>
      </w:r>
      <w:hyperlink r:id="rId18">
        <w:r>
          <w:rPr>
            <w:color w:val="0000FF"/>
            <w:highlight w:val="white"/>
            <w:u w:val="single"/>
          </w:rPr>
          <w:t>http://dx.doi.org/10.1108/TLO-01-2025-0021</w:t>
        </w:r>
      </w:hyperlink>
    </w:p>
    <w:p w14:paraId="3D52465A" w14:textId="77777777" w:rsidR="006B5B6A" w:rsidRDefault="006B5B6A">
      <w:pPr>
        <w:spacing w:before="240" w:after="0"/>
      </w:pPr>
      <w:r>
        <w:t xml:space="preserve">Kakakhel, F.J. and Khalil, S.H., (2022). Deciphering the black box of HPWS–innovation link: Modeling the mediatory role of internal social capital. </w:t>
      </w:r>
      <w:r>
        <w:rPr>
          <w:i/>
          <w:iCs/>
        </w:rPr>
        <w:t>International Journal of Innovation Studies</w:t>
      </w:r>
      <w:r>
        <w:t xml:space="preserve">, </w:t>
      </w:r>
      <w:r>
        <w:rPr>
          <w:i/>
          <w:iCs/>
        </w:rPr>
        <w:t>6</w:t>
      </w:r>
      <w:r>
        <w:t>(2), pp.78-91.</w:t>
      </w:r>
    </w:p>
    <w:p w14:paraId="1861B986" w14:textId="77777777" w:rsidR="006B5B6A" w:rsidRDefault="006B5B6A">
      <w:pPr>
        <w:spacing w:before="240" w:after="0"/>
      </w:pPr>
      <w:r>
        <w:t xml:space="preserve">Kanellopoulou, D., Giannakopoulos, G. and Karkaletsis, V., (2025). Accelerating AI-powered digital innovation through “APSS'': A novel methodology for sustainable business AI transformation. </w:t>
      </w:r>
      <w:r>
        <w:rPr>
          <w:i/>
          <w:iCs/>
        </w:rPr>
        <w:t>Journal of Open Innovation: Technology, Market, and Complexity</w:t>
      </w:r>
      <w:r>
        <w:t xml:space="preserve">, </w:t>
      </w:r>
      <w:r>
        <w:rPr>
          <w:i/>
          <w:iCs/>
        </w:rPr>
        <w:t>11</w:t>
      </w:r>
      <w:r>
        <w:t>(1), p.100495.</w:t>
      </w:r>
    </w:p>
    <w:p w14:paraId="78170073" w14:textId="77777777" w:rsidR="006B5B6A" w:rsidRDefault="006B5B6A">
      <w:pPr>
        <w:pBdr>
          <w:top w:val="nil"/>
          <w:left w:val="nil"/>
          <w:bottom w:val="nil"/>
          <w:right w:val="nil"/>
          <w:between w:val="nil"/>
        </w:pBdr>
        <w:spacing w:before="240"/>
        <w:rPr>
          <w:color w:val="222222"/>
          <w:highlight w:val="white"/>
        </w:rPr>
      </w:pPr>
      <w:r>
        <w:rPr>
          <w:color w:val="222222"/>
          <w:highlight w:val="white"/>
        </w:rPr>
        <w:t xml:space="preserve">Khalifa, M. and Anwar, S., (2024). Applications of Organisational Learning in the Healthcare Sector. </w:t>
      </w:r>
      <w:r>
        <w:rPr>
          <w:i/>
          <w:iCs/>
          <w:color w:val="222222"/>
          <w:highlight w:val="white"/>
        </w:rPr>
        <w:t>International Journal of Strategy and Organisational Learning</w:t>
      </w:r>
      <w:r>
        <w:rPr>
          <w:color w:val="222222"/>
          <w:highlight w:val="white"/>
        </w:rPr>
        <w:t xml:space="preserve">, </w:t>
      </w:r>
      <w:r>
        <w:rPr>
          <w:i/>
          <w:iCs/>
          <w:color w:val="222222"/>
          <w:highlight w:val="white"/>
        </w:rPr>
        <w:t>1</w:t>
      </w:r>
      <w:r>
        <w:rPr>
          <w:color w:val="222222"/>
          <w:highlight w:val="white"/>
        </w:rPr>
        <w:t>(1).</w:t>
      </w:r>
      <w:r>
        <w:rPr>
          <w:color w:val="000000"/>
        </w:rPr>
        <w:t xml:space="preserve"> </w:t>
      </w:r>
      <w:hyperlink r:id="rId19">
        <w:r>
          <w:rPr>
            <w:color w:val="0000FF"/>
            <w:highlight w:val="white"/>
            <w:u w:val="single"/>
          </w:rPr>
          <w:t>https://www.doi.org/10.56830/IJSOL062024</w:t>
        </w:r>
      </w:hyperlink>
    </w:p>
    <w:p w14:paraId="25793384" w14:textId="77777777" w:rsidR="006B5B6A" w:rsidRDefault="006B5B6A">
      <w:pPr>
        <w:pBdr>
          <w:top w:val="nil"/>
          <w:left w:val="nil"/>
          <w:bottom w:val="nil"/>
          <w:right w:val="nil"/>
          <w:between w:val="nil"/>
        </w:pBdr>
        <w:spacing w:before="240"/>
        <w:rPr>
          <w:color w:val="222222"/>
          <w:highlight w:val="white"/>
        </w:rPr>
      </w:pPr>
      <w:r>
        <w:rPr>
          <w:color w:val="222222"/>
          <w:highlight w:val="white"/>
        </w:rPr>
        <w:t xml:space="preserve">Liu, G., Peng, H. and Wen, H., (2023). How self-leadership promotes job crafting: Based on the perspective of self-determination theory. </w:t>
      </w:r>
      <w:r>
        <w:rPr>
          <w:i/>
          <w:iCs/>
          <w:color w:val="222222"/>
          <w:highlight w:val="white"/>
        </w:rPr>
        <w:t>Frontiers in Psychology</w:t>
      </w:r>
      <w:r>
        <w:rPr>
          <w:color w:val="222222"/>
          <w:highlight w:val="white"/>
        </w:rPr>
        <w:t xml:space="preserve">, </w:t>
      </w:r>
      <w:r>
        <w:rPr>
          <w:i/>
          <w:iCs/>
          <w:color w:val="222222"/>
          <w:highlight w:val="white"/>
        </w:rPr>
        <w:t>14</w:t>
      </w:r>
      <w:r>
        <w:rPr>
          <w:color w:val="222222"/>
          <w:highlight w:val="white"/>
        </w:rPr>
        <w:t>, p.1079196.</w:t>
      </w:r>
      <w:r>
        <w:rPr>
          <w:color w:val="000000"/>
        </w:rPr>
        <w:t xml:space="preserve"> </w:t>
      </w:r>
      <w:hyperlink r:id="rId20">
        <w:r>
          <w:rPr>
            <w:color w:val="0000FF"/>
            <w:highlight w:val="white"/>
            <w:u w:val="single"/>
          </w:rPr>
          <w:t>https://doi.org/10.3389/fpsyg.2023.1079196</w:t>
        </w:r>
      </w:hyperlink>
    </w:p>
    <w:p w14:paraId="35BA0C9F" w14:textId="77777777" w:rsidR="006B5B6A" w:rsidRDefault="006B5B6A">
      <w:pPr>
        <w:spacing w:before="240" w:after="0"/>
      </w:pPr>
      <w:r>
        <w:t xml:space="preserve">Mancl, D. and Fraser, S.D., (2022, June). The future of work: Agile in a hybrid world. In </w:t>
      </w:r>
      <w:r>
        <w:rPr>
          <w:i/>
          <w:iCs/>
        </w:rPr>
        <w:t>International conference on agile software development</w:t>
      </w:r>
      <w:r>
        <w:t xml:space="preserve"> (pp. 63-70). Cham: Springer Nature Switzerland.</w:t>
      </w:r>
    </w:p>
    <w:p w14:paraId="3D82F60C" w14:textId="77777777" w:rsidR="006B5B6A" w:rsidRDefault="006B5B6A">
      <w:pPr>
        <w:spacing w:before="240" w:after="0"/>
      </w:pPr>
      <w:r>
        <w:lastRenderedPageBreak/>
        <w:t xml:space="preserve">Mayer, K.J., Xing, Z. and Mondal, P., (2022). Contracting for innovation: Designing contracts that account for exchange hazards and the need for innovation. </w:t>
      </w:r>
      <w:r>
        <w:rPr>
          <w:i/>
          <w:iCs/>
        </w:rPr>
        <w:t>Strategic Management Journal</w:t>
      </w:r>
      <w:r>
        <w:t xml:space="preserve">, </w:t>
      </w:r>
      <w:r>
        <w:rPr>
          <w:i/>
          <w:iCs/>
        </w:rPr>
        <w:t>43</w:t>
      </w:r>
      <w:r>
        <w:t>(11), pp.2253-2278.</w:t>
      </w:r>
    </w:p>
    <w:p w14:paraId="6425EC5F" w14:textId="77777777" w:rsidR="006B5B6A" w:rsidRDefault="006B5B6A">
      <w:pPr>
        <w:spacing w:before="240" w:after="0"/>
      </w:pPr>
      <w:r>
        <w:t xml:space="preserve">Nguyen, M., Pontes, N., Malik, A., Gupta, J. and Gugnani, R., (2024). Impact of high involvement work systems in shaping power, knowledge sharing, rewards and knowledge perception of employees. </w:t>
      </w:r>
      <w:r>
        <w:rPr>
          <w:i/>
          <w:iCs/>
        </w:rPr>
        <w:t>Journal of Knowledge Management</w:t>
      </w:r>
      <w:r>
        <w:t xml:space="preserve">, </w:t>
      </w:r>
      <w:r>
        <w:rPr>
          <w:i/>
          <w:iCs/>
        </w:rPr>
        <w:t>28</w:t>
      </w:r>
      <w:r>
        <w:t>(6), pp.1771-1792.</w:t>
      </w:r>
    </w:p>
    <w:p w14:paraId="1DE9D354" w14:textId="77777777" w:rsidR="006B5B6A" w:rsidRDefault="006B5B6A">
      <w:pPr>
        <w:pBdr>
          <w:top w:val="nil"/>
          <w:left w:val="nil"/>
          <w:bottom w:val="nil"/>
          <w:right w:val="nil"/>
          <w:between w:val="nil"/>
        </w:pBdr>
        <w:spacing w:before="240"/>
        <w:rPr>
          <w:color w:val="222222"/>
          <w:highlight w:val="white"/>
        </w:rPr>
      </w:pPr>
      <w:r>
        <w:rPr>
          <w:color w:val="222222"/>
          <w:highlight w:val="white"/>
        </w:rPr>
        <w:t>Olafsen, A.H., Marescaux, B.P. and Kujanpää, M., (2025). Crafting for autonomy, competence, and relatedness: A self</w:t>
      </w:r>
      <w:r>
        <w:rPr>
          <w:rFonts w:ascii="Times New Roman" w:eastAsia="Times New Roman" w:hAnsi="Times New Roman" w:cs="Times New Roman"/>
          <w:color w:val="222222"/>
          <w:highlight w:val="white"/>
        </w:rPr>
        <w:t>‐</w:t>
      </w:r>
      <w:r>
        <w:rPr>
          <w:color w:val="222222"/>
          <w:highlight w:val="white"/>
        </w:rPr>
        <w:t xml:space="preserve">determination theory model of need crafting at work. </w:t>
      </w:r>
      <w:r>
        <w:rPr>
          <w:i/>
          <w:iCs/>
          <w:color w:val="222222"/>
          <w:highlight w:val="white"/>
        </w:rPr>
        <w:t>Applied Psychology</w:t>
      </w:r>
      <w:r>
        <w:rPr>
          <w:color w:val="222222"/>
          <w:highlight w:val="white"/>
        </w:rPr>
        <w:t xml:space="preserve">, </w:t>
      </w:r>
      <w:r>
        <w:rPr>
          <w:i/>
          <w:iCs/>
          <w:color w:val="222222"/>
          <w:highlight w:val="white"/>
        </w:rPr>
        <w:t>74</w:t>
      </w:r>
      <w:r>
        <w:rPr>
          <w:color w:val="222222"/>
          <w:highlight w:val="white"/>
        </w:rPr>
        <w:t xml:space="preserve">(1), p.e12570. </w:t>
      </w:r>
      <w:hyperlink r:id="rId21">
        <w:r>
          <w:rPr>
            <w:color w:val="0000FF"/>
            <w:highlight w:val="white"/>
            <w:u w:val="single"/>
          </w:rPr>
          <w:t>https://doi.org/10.1111/apps.12570</w:t>
        </w:r>
      </w:hyperlink>
    </w:p>
    <w:p w14:paraId="2E5CF6B0" w14:textId="77777777" w:rsidR="006B5B6A" w:rsidRDefault="006B5B6A">
      <w:pPr>
        <w:spacing w:before="240" w:after="0"/>
        <w:rPr>
          <w:color w:val="1155CC"/>
          <w:u w:val="single"/>
        </w:rPr>
      </w:pPr>
      <w:r>
        <w:t xml:space="preserve">Scottish Government (2025). </w:t>
      </w:r>
      <w:r>
        <w:rPr>
          <w:i/>
          <w:iCs/>
        </w:rPr>
        <w:t>Employer Skills Survey 2024 – Scotland.</w:t>
      </w:r>
      <w:hyperlink r:id="rId22">
        <w:r>
          <w:rPr>
            <w:i/>
            <w:iCs/>
          </w:rPr>
          <w:t xml:space="preserve"> </w:t>
        </w:r>
      </w:hyperlink>
      <w:r>
        <w:t xml:space="preserve">[Online]. Available at: </w:t>
      </w:r>
      <w:hyperlink r:id="rId23">
        <w:r>
          <w:rPr>
            <w:color w:val="0000FF"/>
            <w:u w:val="single"/>
          </w:rPr>
          <w:t>https://www.gov.scot/publications/employer-skills-survey-2024-scotland/pages/high-performance-working-hpw-practices/</w:t>
        </w:r>
      </w:hyperlink>
      <w:r>
        <w:rPr>
          <w:color w:val="1155CC"/>
          <w:u w:val="single"/>
        </w:rPr>
        <w:t xml:space="preserve"> </w:t>
      </w:r>
      <w:r>
        <w:t>[Accessed on: 30/09/2026]</w:t>
      </w:r>
    </w:p>
    <w:p w14:paraId="3F70881E" w14:textId="77777777" w:rsidR="006B5B6A" w:rsidRDefault="006B5B6A">
      <w:pPr>
        <w:spacing w:before="240" w:after="0"/>
      </w:pPr>
      <w:r>
        <w:t xml:space="preserve">Tettey, D.J., Sunday, O.E., Azumah, N.C., Nwosu, N.C.P., Oluwatobi, B.T. and Chrisben, D., (2025. Agile hybrid methodologies for complex project execution: Balancing flexibility, control, and stakeholder value maximization. </w:t>
      </w:r>
      <w:r>
        <w:rPr>
          <w:i/>
          <w:iCs/>
        </w:rPr>
        <w:t>International Journal of Research Publication and Reviews</w:t>
      </w:r>
      <w:r>
        <w:t xml:space="preserve">, </w:t>
      </w:r>
      <w:r>
        <w:rPr>
          <w:i/>
          <w:iCs/>
        </w:rPr>
        <w:t>6</w:t>
      </w:r>
      <w:r>
        <w:t>(3), pp.6190-6204.</w:t>
      </w:r>
    </w:p>
    <w:p w14:paraId="5B22B9FE" w14:textId="77777777" w:rsidR="006B5B6A" w:rsidRDefault="006B5B6A">
      <w:pPr>
        <w:spacing w:before="240" w:after="0"/>
      </w:pPr>
      <w:r>
        <w:t xml:space="preserve">Timilsina, M., Alsamhi, S., Haque, R., Judge, C. and Curry, E., (2023, December). Knowledge graphs, clinical trials, dataspace, and AI: Uniting for progressive healthcare innovation. In </w:t>
      </w:r>
      <w:r>
        <w:rPr>
          <w:i/>
          <w:iCs/>
        </w:rPr>
        <w:t>2023 ieee international conference on big data (bigdata)</w:t>
      </w:r>
      <w:r>
        <w:t xml:space="preserve"> (pp. 4997-5006). IEEE.</w:t>
      </w:r>
    </w:p>
    <w:p w14:paraId="5E462FF8" w14:textId="77777777" w:rsidR="006B5B6A" w:rsidRDefault="006B5B6A">
      <w:pPr>
        <w:spacing w:before="240" w:after="0"/>
      </w:pPr>
      <w:r>
        <w:t xml:space="preserve">Xu, X., Lin, C. and Duan, L., (2023). Does hierarchical ranking matter to corporate innovation efficiency? An empirical study based on a corporate culture of seniority. </w:t>
      </w:r>
      <w:r>
        <w:rPr>
          <w:i/>
          <w:iCs/>
        </w:rPr>
        <w:t>Chinese management studies</w:t>
      </w:r>
      <w:r>
        <w:t xml:space="preserve">, </w:t>
      </w:r>
      <w:r>
        <w:rPr>
          <w:i/>
          <w:iCs/>
        </w:rPr>
        <w:t>17</w:t>
      </w:r>
      <w:r>
        <w:t>(3), pp.594-619.</w:t>
      </w:r>
    </w:p>
    <w:p w14:paraId="45AB301C" w14:textId="77777777" w:rsidR="006B5B6A" w:rsidRDefault="006B5B6A">
      <w:pPr>
        <w:spacing w:before="240" w:after="0"/>
      </w:pPr>
      <w:r>
        <w:t xml:space="preserve">Zirar, A., Muhammad, N., Upadhyay, A., Kumar, A. and Garza-Reyes, J.A., (2025). Exploring lean team development from the Tuckman’s model perspective. </w:t>
      </w:r>
      <w:r>
        <w:rPr>
          <w:i/>
          <w:iCs/>
        </w:rPr>
        <w:t>Production Planning &amp; Control</w:t>
      </w:r>
      <w:r>
        <w:t xml:space="preserve">, </w:t>
      </w:r>
      <w:r>
        <w:rPr>
          <w:i/>
          <w:iCs/>
        </w:rPr>
        <w:t>36</w:t>
      </w:r>
      <w:r>
        <w:t>(4), pp.442-463.</w:t>
      </w:r>
    </w:p>
    <w:sectPr w:rsidR="006B5B6A" w:rsidSect="005973A6">
      <w:footerReference w:type="default" r:id="rId24"/>
      <w:headerReference w:type="first" r:id="rId2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7EF20" w14:textId="77777777" w:rsidR="00CC45F4" w:rsidRDefault="00CC45F4">
      <w:pPr>
        <w:spacing w:after="0" w:line="240" w:lineRule="auto"/>
      </w:pPr>
      <w:r>
        <w:separator/>
      </w:r>
    </w:p>
  </w:endnote>
  <w:endnote w:type="continuationSeparator" w:id="0">
    <w:p w14:paraId="6F5A1DD2" w14:textId="77777777" w:rsidR="00CC45F4" w:rsidRDefault="00CC4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panose1 w:val="020B0502040504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5FE418F-D552-4652-90C2-769850EA6BE7}"/>
  </w:font>
  <w:font w:name="Calibri">
    <w:panose1 w:val="020F0502020204030204"/>
    <w:charset w:val="00"/>
    <w:family w:val="swiss"/>
    <w:pitch w:val="variable"/>
    <w:sig w:usb0="E4002EFF" w:usb1="C200ACFF" w:usb2="00000009" w:usb3="00000000" w:csb0="000001FF" w:csb1="00000000"/>
    <w:embedRegular r:id="rId2" w:fontKey="{AE5565AA-75A5-4562-B272-1CE8631C77E5}"/>
  </w:font>
  <w:font w:name="Shruti">
    <w:panose1 w:val="020B0502040204020203"/>
    <w:charset w:val="00"/>
    <w:family w:val="swiss"/>
    <w:pitch w:val="variable"/>
    <w:sig w:usb0="00040003" w:usb1="00000000" w:usb2="00000000" w:usb3="00000000" w:csb0="00000001" w:csb1="00000000"/>
    <w:embedRegular r:id="rId3" w:fontKey="{B6D95722-1581-934A-82C1-DAB8C072CF92}"/>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429B3" w14:textId="77777777" w:rsidR="005E4865" w:rsidRDefault="005973A6">
    <w:pPr>
      <w:jc w:val="right"/>
      <w:rPr>
        <w:sz w:val="20"/>
        <w:szCs w:val="20"/>
      </w:rPr>
    </w:pPr>
    <w:r>
      <w:rPr>
        <w:sz w:val="20"/>
        <w:szCs w:val="20"/>
      </w:rPr>
      <w:fldChar w:fldCharType="begin"/>
    </w:r>
    <w:r w:rsidR="00097167">
      <w:rPr>
        <w:sz w:val="20"/>
        <w:szCs w:val="20"/>
      </w:rPr>
      <w:instrText>PAGE</w:instrText>
    </w:r>
    <w:r>
      <w:rPr>
        <w:sz w:val="20"/>
        <w:szCs w:val="20"/>
      </w:rPr>
      <w:fldChar w:fldCharType="separate"/>
    </w:r>
    <w:r w:rsidR="006B5B6A">
      <w:rPr>
        <w:noProof/>
        <w:sz w:val="20"/>
        <w:szCs w:val="20"/>
      </w:rPr>
      <w:t>27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89614" w14:textId="77777777" w:rsidR="00CC45F4" w:rsidRDefault="00CC45F4">
      <w:pPr>
        <w:spacing w:after="0" w:line="240" w:lineRule="auto"/>
      </w:pPr>
      <w:r>
        <w:separator/>
      </w:r>
    </w:p>
  </w:footnote>
  <w:footnote w:type="continuationSeparator" w:id="0">
    <w:p w14:paraId="799FC20C" w14:textId="77777777" w:rsidR="00CC45F4" w:rsidRDefault="00CC45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B92A4" w14:textId="77777777" w:rsidR="005E4865" w:rsidRDefault="00097167">
    <w:r>
      <w:rPr>
        <w:noProof/>
        <w:lang w:val="en-US" w:eastAsia="en-US"/>
      </w:rPr>
      <w:drawing>
        <wp:anchor distT="0" distB="0" distL="114300" distR="114300" simplePos="0" relativeHeight="251658240" behindDoc="0" locked="0" layoutInCell="1" allowOverlap="1" wp14:anchorId="58983D8A" wp14:editId="637DBE75">
          <wp:simplePos x="0" y="0"/>
          <wp:positionH relativeFrom="column">
            <wp:posOffset>-160019</wp:posOffset>
          </wp:positionH>
          <wp:positionV relativeFrom="paragraph">
            <wp:posOffset>-266699</wp:posOffset>
          </wp:positionV>
          <wp:extent cx="1809750" cy="723900"/>
          <wp:effectExtent l="0" t="0" r="0" b="0"/>
          <wp:wrapSquare wrapText="bothSides" distT="0" distB="0" distL="114300" distR="114300"/>
          <wp:docPr id="7" name="image7.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7.png" descr="Discover University of Wales Trinity Saint David"/>
                  <pic:cNvPicPr preferRelativeResize="0"/>
                </pic:nvPicPr>
                <pic:blipFill>
                  <a:blip r:embed="rId1"/>
                  <a:srcRect/>
                  <a:stretch>
                    <a:fillRect/>
                  </a:stretch>
                </pic:blipFill>
                <pic:spPr>
                  <a:xfrm>
                    <a:off x="0" y="0"/>
                    <a:ext cx="1809750" cy="72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32C88"/>
    <w:multiLevelType w:val="multilevel"/>
    <w:tmpl w:val="1EFCF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8A018D"/>
    <w:multiLevelType w:val="multilevel"/>
    <w:tmpl w:val="5B58CC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600803"/>
    <w:multiLevelType w:val="multilevel"/>
    <w:tmpl w:val="F9D89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7F3BBF"/>
    <w:multiLevelType w:val="multilevel"/>
    <w:tmpl w:val="7012F2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A963EB5"/>
    <w:multiLevelType w:val="multilevel"/>
    <w:tmpl w:val="B38A2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5F92EBA"/>
    <w:multiLevelType w:val="multilevel"/>
    <w:tmpl w:val="A288B4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E640CDB"/>
    <w:multiLevelType w:val="multilevel"/>
    <w:tmpl w:val="E54AD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F7166C6"/>
    <w:multiLevelType w:val="multilevel"/>
    <w:tmpl w:val="21344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15A32FB"/>
    <w:multiLevelType w:val="multilevel"/>
    <w:tmpl w:val="F8102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6E729FD"/>
    <w:multiLevelType w:val="multilevel"/>
    <w:tmpl w:val="F9689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F0F339D"/>
    <w:multiLevelType w:val="multilevel"/>
    <w:tmpl w:val="793EB0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50638196">
    <w:abstractNumId w:val="3"/>
  </w:num>
  <w:num w:numId="2" w16cid:durableId="1156990362">
    <w:abstractNumId w:val="2"/>
  </w:num>
  <w:num w:numId="3" w16cid:durableId="258374633">
    <w:abstractNumId w:val="6"/>
  </w:num>
  <w:num w:numId="4" w16cid:durableId="1790973328">
    <w:abstractNumId w:val="5"/>
  </w:num>
  <w:num w:numId="5" w16cid:durableId="446047067">
    <w:abstractNumId w:val="4"/>
  </w:num>
  <w:num w:numId="6" w16cid:durableId="1330674844">
    <w:abstractNumId w:val="9"/>
  </w:num>
  <w:num w:numId="7" w16cid:durableId="988826904">
    <w:abstractNumId w:val="7"/>
  </w:num>
  <w:num w:numId="8" w16cid:durableId="879705022">
    <w:abstractNumId w:val="10"/>
  </w:num>
  <w:num w:numId="9" w16cid:durableId="773746837">
    <w:abstractNumId w:val="8"/>
  </w:num>
  <w:num w:numId="10" w16cid:durableId="1570769051">
    <w:abstractNumId w:val="1"/>
  </w:num>
  <w:num w:numId="11" w16cid:durableId="525944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865"/>
    <w:rsid w:val="00091F39"/>
    <w:rsid w:val="00093C89"/>
    <w:rsid w:val="00097167"/>
    <w:rsid w:val="002115B9"/>
    <w:rsid w:val="00217D6C"/>
    <w:rsid w:val="00233CAA"/>
    <w:rsid w:val="00287ED7"/>
    <w:rsid w:val="00324DAE"/>
    <w:rsid w:val="00410D51"/>
    <w:rsid w:val="005758A0"/>
    <w:rsid w:val="005973A6"/>
    <w:rsid w:val="005E4865"/>
    <w:rsid w:val="006B5B6A"/>
    <w:rsid w:val="006D50BE"/>
    <w:rsid w:val="006F214C"/>
    <w:rsid w:val="007C03D4"/>
    <w:rsid w:val="007E3E80"/>
    <w:rsid w:val="007F1835"/>
    <w:rsid w:val="007F332D"/>
    <w:rsid w:val="008C3061"/>
    <w:rsid w:val="008E4CE4"/>
    <w:rsid w:val="009003E7"/>
    <w:rsid w:val="00C45EA5"/>
    <w:rsid w:val="00CC45F4"/>
    <w:rsid w:val="00D324FA"/>
    <w:rsid w:val="00D951A1"/>
    <w:rsid w:val="00EB7E10"/>
    <w:rsid w:val="00F559F2"/>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D6768"/>
  <w15:docId w15:val="{A55A9E5E-8106-4A6E-82B6-EB16ADF8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3A6"/>
  </w:style>
  <w:style w:type="paragraph" w:styleId="Heading1">
    <w:name w:val="heading 1"/>
    <w:basedOn w:val="Normal"/>
    <w:next w:val="Normal"/>
    <w:uiPriority w:val="9"/>
    <w:qFormat/>
    <w:rsid w:val="005973A6"/>
    <w:pPr>
      <w:keepNext/>
      <w:keepLines/>
      <w:spacing w:after="0"/>
      <w:outlineLvl w:val="0"/>
    </w:pPr>
    <w:rPr>
      <w:b/>
      <w:bCs/>
    </w:rPr>
  </w:style>
  <w:style w:type="paragraph" w:styleId="Heading2">
    <w:name w:val="heading 2"/>
    <w:basedOn w:val="Normal"/>
    <w:next w:val="Normal"/>
    <w:uiPriority w:val="9"/>
    <w:unhideWhenUsed/>
    <w:qFormat/>
    <w:rsid w:val="005973A6"/>
    <w:pPr>
      <w:keepNext/>
      <w:keepLines/>
      <w:shd w:val="clear" w:color="auto" w:fill="FFFFFF"/>
      <w:spacing w:after="0"/>
      <w:outlineLvl w:val="1"/>
    </w:pPr>
    <w:rPr>
      <w:b/>
      <w:bCs/>
    </w:rPr>
  </w:style>
  <w:style w:type="paragraph" w:styleId="Heading3">
    <w:name w:val="heading 3"/>
    <w:basedOn w:val="Normal"/>
    <w:next w:val="Normal"/>
    <w:uiPriority w:val="9"/>
    <w:semiHidden/>
    <w:unhideWhenUsed/>
    <w:qFormat/>
    <w:rsid w:val="005973A6"/>
    <w:pPr>
      <w:keepNext/>
      <w:keepLines/>
      <w:spacing w:before="320"/>
      <w:outlineLvl w:val="2"/>
    </w:pPr>
    <w:rPr>
      <w:color w:val="434343"/>
      <w:sz w:val="28"/>
      <w:szCs w:val="28"/>
    </w:rPr>
  </w:style>
  <w:style w:type="paragraph" w:styleId="Heading4">
    <w:name w:val="heading 4"/>
    <w:basedOn w:val="Normal"/>
    <w:next w:val="Normal"/>
    <w:uiPriority w:val="9"/>
    <w:semiHidden/>
    <w:unhideWhenUsed/>
    <w:qFormat/>
    <w:rsid w:val="005973A6"/>
    <w:pPr>
      <w:keepNext/>
      <w:keepLines/>
      <w:spacing w:before="280"/>
      <w:outlineLvl w:val="3"/>
    </w:pPr>
    <w:rPr>
      <w:color w:val="666666"/>
    </w:rPr>
  </w:style>
  <w:style w:type="paragraph" w:styleId="Heading5">
    <w:name w:val="heading 5"/>
    <w:basedOn w:val="Normal"/>
    <w:next w:val="Normal"/>
    <w:uiPriority w:val="9"/>
    <w:semiHidden/>
    <w:unhideWhenUsed/>
    <w:qFormat/>
    <w:rsid w:val="005973A6"/>
    <w:pPr>
      <w:keepNext/>
      <w:keepLines/>
      <w:spacing w:before="240"/>
      <w:outlineLvl w:val="4"/>
    </w:pPr>
    <w:rPr>
      <w:color w:val="666666"/>
      <w:sz w:val="22"/>
      <w:szCs w:val="22"/>
    </w:rPr>
  </w:style>
  <w:style w:type="paragraph" w:styleId="Heading6">
    <w:name w:val="heading 6"/>
    <w:basedOn w:val="Normal"/>
    <w:next w:val="Normal"/>
    <w:uiPriority w:val="9"/>
    <w:semiHidden/>
    <w:unhideWhenUsed/>
    <w:qFormat/>
    <w:rsid w:val="005973A6"/>
    <w:pPr>
      <w:keepNext/>
      <w:keepLines/>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5973A6"/>
    <w:tblPr>
      <w:tblCellMar>
        <w:top w:w="100" w:type="dxa"/>
        <w:left w:w="100" w:type="dxa"/>
        <w:bottom w:w="100" w:type="dxa"/>
        <w:right w:w="100" w:type="dxa"/>
      </w:tblCellMar>
    </w:tblPr>
  </w:style>
  <w:style w:type="paragraph" w:styleId="Title">
    <w:name w:val="Title"/>
    <w:basedOn w:val="Normal"/>
    <w:next w:val="Normal"/>
    <w:uiPriority w:val="10"/>
    <w:qFormat/>
    <w:rsid w:val="005973A6"/>
    <w:pPr>
      <w:keepNext/>
      <w:keepLines/>
      <w:spacing w:after="60"/>
    </w:pPr>
    <w:rPr>
      <w:sz w:val="52"/>
      <w:szCs w:val="52"/>
    </w:rPr>
  </w:style>
  <w:style w:type="paragraph" w:styleId="Subtitle">
    <w:name w:val="Subtitle"/>
    <w:basedOn w:val="Normal"/>
    <w:next w:val="Normal"/>
    <w:uiPriority w:val="11"/>
    <w:qFormat/>
    <w:rsid w:val="005973A6"/>
    <w:pPr>
      <w:keepNext/>
      <w:keepLines/>
      <w:spacing w:after="320"/>
    </w:pPr>
    <w:rPr>
      <w:color w:val="666666"/>
      <w:sz w:val="30"/>
      <w:szCs w:val="30"/>
    </w:rPr>
  </w:style>
  <w:style w:type="table" w:customStyle="1" w:styleId="a">
    <w:basedOn w:val="TableNormal0"/>
    <w:rsid w:val="005973A6"/>
    <w:tblPr>
      <w:tblStyleRowBandSize w:val="1"/>
      <w:tblStyleColBandSize w:val="1"/>
      <w:tblCellMar>
        <w:top w:w="0" w:type="dxa"/>
        <w:left w:w="115" w:type="dxa"/>
        <w:bottom w:w="0" w:type="dxa"/>
        <w:right w:w="115" w:type="dxa"/>
      </w:tblCellMar>
    </w:tblPr>
  </w:style>
  <w:style w:type="table" w:customStyle="1" w:styleId="a0">
    <w:basedOn w:val="TableNormal0"/>
    <w:rsid w:val="005973A6"/>
    <w:tblPr>
      <w:tblStyleRowBandSize w:val="1"/>
      <w:tblStyleColBandSize w:val="1"/>
      <w:tblCellMar>
        <w:top w:w="0" w:type="dxa"/>
        <w:left w:w="115" w:type="dxa"/>
        <w:bottom w:w="0" w:type="dxa"/>
        <w:right w:w="115" w:type="dxa"/>
      </w:tblCellMar>
    </w:tblPr>
  </w:style>
  <w:style w:type="table" w:customStyle="1" w:styleId="a1">
    <w:basedOn w:val="TableNormal0"/>
    <w:rsid w:val="005973A6"/>
    <w:tblPr>
      <w:tblStyleRowBandSize w:val="1"/>
      <w:tblStyleColBandSize w:val="1"/>
      <w:tblCellMar>
        <w:top w:w="0" w:type="dxa"/>
        <w:left w:w="115" w:type="dxa"/>
        <w:bottom w:w="0" w:type="dxa"/>
        <w:right w:w="115" w:type="dxa"/>
      </w:tblCellMar>
    </w:tblPr>
  </w:style>
  <w:style w:type="table" w:customStyle="1" w:styleId="a2">
    <w:basedOn w:val="TableNormal0"/>
    <w:rsid w:val="005973A6"/>
    <w:tblPr>
      <w:tblStyleRowBandSize w:val="1"/>
      <w:tblStyleColBandSize w:val="1"/>
      <w:tblCellMar>
        <w:top w:w="0" w:type="dxa"/>
        <w:left w:w="115" w:type="dxa"/>
        <w:bottom w:w="0" w:type="dxa"/>
        <w:right w:w="115" w:type="dxa"/>
      </w:tblCellMar>
    </w:tblPr>
  </w:style>
  <w:style w:type="table" w:customStyle="1" w:styleId="a3">
    <w:basedOn w:val="TableNormal0"/>
    <w:rsid w:val="005973A6"/>
    <w:tblPr>
      <w:tblStyleRowBandSize w:val="1"/>
      <w:tblStyleColBandSize w:val="1"/>
    </w:tblPr>
  </w:style>
  <w:style w:type="table" w:customStyle="1" w:styleId="a4">
    <w:basedOn w:val="TableNormal0"/>
    <w:rsid w:val="005973A6"/>
    <w:tblPr>
      <w:tblStyleRowBandSize w:val="1"/>
      <w:tblStyleColBandSize w:val="1"/>
    </w:tblPr>
  </w:style>
  <w:style w:type="table" w:customStyle="1" w:styleId="a5">
    <w:basedOn w:val="TableNormal0"/>
    <w:rsid w:val="005973A6"/>
    <w:tblPr>
      <w:tblStyleRowBandSize w:val="1"/>
      <w:tblStyleColBandSize w:val="1"/>
    </w:tblPr>
  </w:style>
  <w:style w:type="table" w:customStyle="1" w:styleId="a6">
    <w:basedOn w:val="TableNormal0"/>
    <w:rsid w:val="005973A6"/>
    <w:tblPr>
      <w:tblStyleRowBandSize w:val="1"/>
      <w:tblStyleColBandSize w:val="1"/>
    </w:tblPr>
  </w:style>
  <w:style w:type="table" w:customStyle="1" w:styleId="a7">
    <w:basedOn w:val="TableNormal0"/>
    <w:rsid w:val="005973A6"/>
    <w:tblPr>
      <w:tblStyleRowBandSize w:val="1"/>
      <w:tblStyleColBandSize w:val="1"/>
      <w:tblCellMar>
        <w:top w:w="0" w:type="dxa"/>
        <w:left w:w="115" w:type="dxa"/>
        <w:bottom w:w="0" w:type="dxa"/>
        <w:right w:w="115" w:type="dxa"/>
      </w:tblCellMar>
    </w:tblPr>
  </w:style>
  <w:style w:type="table" w:customStyle="1" w:styleId="a8">
    <w:basedOn w:val="TableNormal0"/>
    <w:rsid w:val="005973A6"/>
    <w:tblPr>
      <w:tblStyleRowBandSize w:val="1"/>
      <w:tblStyleColBandSize w:val="1"/>
      <w:tblCellMar>
        <w:top w:w="0" w:type="dxa"/>
        <w:left w:w="115" w:type="dxa"/>
        <w:bottom w:w="0" w:type="dxa"/>
        <w:right w:w="115" w:type="dxa"/>
      </w:tblCellMar>
    </w:tblPr>
  </w:style>
  <w:style w:type="table" w:customStyle="1" w:styleId="a9">
    <w:basedOn w:val="TableNormal0"/>
    <w:rsid w:val="005973A6"/>
    <w:tblPr>
      <w:tblStyleRowBandSize w:val="1"/>
      <w:tblStyleColBandSize w:val="1"/>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233C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CAA"/>
    <w:rPr>
      <w:rFonts w:ascii="Tahoma" w:hAnsi="Tahoma" w:cs="Tahoma"/>
      <w:sz w:val="16"/>
      <w:szCs w:val="16"/>
    </w:rPr>
  </w:style>
  <w:style w:type="paragraph" w:styleId="TOC1">
    <w:name w:val="toc 1"/>
    <w:basedOn w:val="Normal"/>
    <w:next w:val="Normal"/>
    <w:autoRedefine/>
    <w:uiPriority w:val="39"/>
    <w:unhideWhenUsed/>
    <w:rsid w:val="00091F39"/>
    <w:pPr>
      <w:spacing w:after="100"/>
    </w:pPr>
  </w:style>
  <w:style w:type="paragraph" w:styleId="TOC2">
    <w:name w:val="toc 2"/>
    <w:basedOn w:val="Normal"/>
    <w:next w:val="Normal"/>
    <w:autoRedefine/>
    <w:uiPriority w:val="39"/>
    <w:unhideWhenUsed/>
    <w:rsid w:val="00091F39"/>
    <w:pPr>
      <w:spacing w:after="100"/>
      <w:ind w:left="240"/>
    </w:pPr>
  </w:style>
  <w:style w:type="character" w:styleId="Hyperlink">
    <w:name w:val="Hyperlink"/>
    <w:basedOn w:val="DefaultParagraphFont"/>
    <w:uiPriority w:val="99"/>
    <w:unhideWhenUsed/>
    <w:rsid w:val="00091F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dx.doi.org/10.1108/TLO-01-2025-0021" TargetMode="External"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doi.org/10.1111/apps.12570"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doi.org/10.3390/bs16081451" TargetMode="External" /><Relationship Id="rId25"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https://papers.ssrn.com/sol3/Delivery.cfm?abstractid=5216097" TargetMode="External" /><Relationship Id="rId20" Type="http://schemas.openxmlformats.org/officeDocument/2006/relationships/hyperlink" Target="https://doi.org/10.3389/fpsyg.2023.1079196"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doi.org/10.51137/wrp.ijarbm.2025.ccti.45721" TargetMode="External" /><Relationship Id="rId23" Type="http://schemas.openxmlformats.org/officeDocument/2006/relationships/hyperlink" Target="https://www.gov.scot/publications/employer-skills-survey-2024-scotland/pages/high-performance-working-hpw-practices/" TargetMode="External" /><Relationship Id="rId10" Type="http://schemas.openxmlformats.org/officeDocument/2006/relationships/image" Target="media/image3.png" /><Relationship Id="rId19" Type="http://schemas.openxmlformats.org/officeDocument/2006/relationships/hyperlink" Target="https://www.doi.org/10.56830/IJSOL062024"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3390/su18020979" TargetMode="External" /><Relationship Id="rId22" Type="http://schemas.openxmlformats.org/officeDocument/2006/relationships/hyperlink" Target="https://www.gov.scot/publications/employer-skills-survey-2024-scotland/pages/high-performance-working-hpw-practices/" TargetMode="External" /><Relationship Id="rId27"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_rels/header1.xml.rels><?xml version="1.0" encoding="UTF-8" standalone="yes"?>
<Relationships xmlns="http://schemas.openxmlformats.org/package/2006/relationships"><Relationship Id="rId1"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C9867-68EF-4441-B7EF-E13EFA5BE1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4377</Words>
  <Characters>24952</Characters>
  <Application>Microsoft Office Word</Application>
  <DocSecurity>0</DocSecurity>
  <Lines>207</Lines>
  <Paragraphs>58</Paragraphs>
  <ScaleCrop>false</ScaleCrop>
  <Company/>
  <LinksUpToDate>false</LinksUpToDate>
  <CharactersWithSpaces>29271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KHODA GORANIYA</cp:lastModifiedBy>
  <cp:revision>2</cp:revision>
  <dcterms:created xsi:type="dcterms:W3CDTF">2026-10-15T10:07:00Z</dcterms:created>
  <dcterms:modified xsi:type="dcterms:W3CDTF">2026-10-15T10:07:00Z</dcterms:modified>
</cp:coreProperties>
</file>