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54AD1" w14:textId="77777777" w:rsidR="009711D8" w:rsidRDefault="009711D8" w:rsidP="009711D8">
      <w:r>
        <w:t xml:space="preserve">  Student: Petruta Buliga</w:t>
      </w:r>
    </w:p>
    <w:p w14:paraId="0604048D" w14:textId="77777777" w:rsidR="009711D8" w:rsidRDefault="009711D8" w:rsidP="009711D8">
      <w:pPr>
        <w:ind w:left="2160" w:firstLine="720"/>
      </w:pPr>
    </w:p>
    <w:p w14:paraId="632F59C8" w14:textId="77777777" w:rsidR="009711D8" w:rsidRDefault="009711D8" w:rsidP="009711D8">
      <w:pPr>
        <w:ind w:left="2160" w:firstLine="720"/>
      </w:pPr>
    </w:p>
    <w:p w14:paraId="2A942F37" w14:textId="77777777" w:rsidR="009711D8" w:rsidRDefault="009711D8" w:rsidP="009711D8">
      <w:pPr>
        <w:ind w:left="2160" w:firstLine="720"/>
      </w:pPr>
    </w:p>
    <w:p w14:paraId="11E4177E" w14:textId="77777777" w:rsidR="009711D8" w:rsidRDefault="009711D8" w:rsidP="009711D8">
      <w:pPr>
        <w:ind w:left="2160" w:firstLine="720"/>
      </w:pPr>
    </w:p>
    <w:p w14:paraId="7665ED53" w14:textId="77777777" w:rsidR="009711D8" w:rsidRDefault="009711D8" w:rsidP="009711D8">
      <w:pPr>
        <w:ind w:firstLine="720"/>
      </w:pPr>
      <w:r>
        <w:t>Student number: 2238985</w:t>
      </w:r>
    </w:p>
    <w:p w14:paraId="3F4E7DF7" w14:textId="77777777" w:rsidR="009711D8" w:rsidRDefault="009711D8" w:rsidP="009711D8">
      <w:pPr>
        <w:ind w:left="2160" w:firstLine="720"/>
      </w:pPr>
    </w:p>
    <w:p w14:paraId="41434D77" w14:textId="77777777" w:rsidR="009711D8" w:rsidRDefault="009711D8" w:rsidP="009711D8">
      <w:pPr>
        <w:ind w:left="2160" w:firstLine="720"/>
      </w:pPr>
    </w:p>
    <w:p w14:paraId="4DFF94D0" w14:textId="77777777" w:rsidR="009711D8" w:rsidRDefault="009711D8" w:rsidP="009711D8">
      <w:pPr>
        <w:ind w:left="2160" w:firstLine="720"/>
      </w:pPr>
    </w:p>
    <w:p w14:paraId="60FCCD72" w14:textId="77777777" w:rsidR="009711D8" w:rsidRDefault="009711D8" w:rsidP="009711D8">
      <w:proofErr w:type="spellStart"/>
      <w:r>
        <w:t>Programme</w:t>
      </w:r>
      <w:proofErr w:type="spellEnd"/>
      <w:r>
        <w:t>: Public services portfolio</w:t>
      </w:r>
    </w:p>
    <w:p w14:paraId="5D627F1B" w14:textId="77777777" w:rsidR="009711D8" w:rsidRDefault="009711D8" w:rsidP="009711D8">
      <w:pPr>
        <w:ind w:left="2160" w:firstLine="720"/>
      </w:pPr>
    </w:p>
    <w:p w14:paraId="26B30FD8" w14:textId="77777777" w:rsidR="009711D8" w:rsidRDefault="009711D8" w:rsidP="009711D8">
      <w:pPr>
        <w:ind w:left="2160" w:firstLine="720"/>
      </w:pPr>
    </w:p>
    <w:p w14:paraId="3E738D90" w14:textId="77777777" w:rsidR="009711D8" w:rsidRDefault="009711D8" w:rsidP="009711D8">
      <w:pPr>
        <w:ind w:left="2160" w:firstLine="720"/>
      </w:pPr>
    </w:p>
    <w:p w14:paraId="720A9AB6" w14:textId="77777777" w:rsidR="009711D8" w:rsidRDefault="009711D8" w:rsidP="009711D8">
      <w:pPr>
        <w:ind w:firstLine="720"/>
      </w:pPr>
      <w:r>
        <w:t>Module: Criminal law</w:t>
      </w:r>
    </w:p>
    <w:p w14:paraId="1BDE2A4F" w14:textId="77777777" w:rsidR="009711D8" w:rsidRDefault="009711D8" w:rsidP="009711D8">
      <w:pPr>
        <w:ind w:left="2160" w:firstLine="720"/>
      </w:pPr>
    </w:p>
    <w:p w14:paraId="3509EBA5" w14:textId="77777777" w:rsidR="009711D8" w:rsidRDefault="009711D8" w:rsidP="009711D8">
      <w:pPr>
        <w:ind w:left="2160" w:firstLine="720"/>
      </w:pPr>
    </w:p>
    <w:p w14:paraId="58A1F5B4" w14:textId="77777777" w:rsidR="009711D8" w:rsidRDefault="009711D8" w:rsidP="009711D8">
      <w:r>
        <w:t>Lecturer: Laura Humphries</w:t>
      </w:r>
    </w:p>
    <w:p w14:paraId="585BCF49" w14:textId="77777777" w:rsidR="009711D8" w:rsidRDefault="009711D8" w:rsidP="009711D8"/>
    <w:p w14:paraId="552BF5A4" w14:textId="77777777" w:rsidR="009711D8" w:rsidRDefault="009711D8" w:rsidP="009711D8"/>
    <w:p w14:paraId="127B716B" w14:textId="77777777" w:rsidR="009711D8" w:rsidRDefault="009711D8" w:rsidP="009711D8">
      <w:pPr>
        <w:ind w:firstLine="720"/>
      </w:pPr>
      <w:r>
        <w:t>Assignment Title: Consent and its role in cases involving battery.</w:t>
      </w:r>
    </w:p>
    <w:p w14:paraId="24BACB5F" w14:textId="77777777" w:rsidR="009711D8" w:rsidRDefault="009711D8" w:rsidP="009711D8"/>
    <w:p w14:paraId="2D18C983" w14:textId="77777777" w:rsidR="009711D8" w:rsidRDefault="009711D8" w:rsidP="009711D8"/>
    <w:p w14:paraId="2AF783CD" w14:textId="77777777" w:rsidR="009711D8" w:rsidRDefault="009711D8" w:rsidP="009711D8"/>
    <w:p w14:paraId="748827CF" w14:textId="77777777" w:rsidR="009711D8" w:rsidRDefault="009711D8" w:rsidP="009711D8"/>
    <w:p w14:paraId="266C3653" w14:textId="77777777" w:rsidR="009711D8" w:rsidRDefault="009711D8" w:rsidP="009711D8"/>
    <w:p w14:paraId="206CC706" w14:textId="77777777" w:rsidR="009711D8" w:rsidRDefault="009711D8" w:rsidP="009711D8"/>
    <w:p w14:paraId="081C05DA" w14:textId="77777777" w:rsidR="009711D8" w:rsidRDefault="009711D8" w:rsidP="009711D8"/>
    <w:p w14:paraId="3619396A" w14:textId="77777777" w:rsidR="009711D8" w:rsidRDefault="009711D8" w:rsidP="009711D8"/>
    <w:p w14:paraId="00BC5A59" w14:textId="77777777" w:rsidR="009711D8" w:rsidRDefault="009711D8" w:rsidP="009711D8"/>
    <w:p w14:paraId="54E2BCB5" w14:textId="77777777" w:rsidR="009711D8" w:rsidRDefault="009711D8" w:rsidP="009711D8"/>
    <w:p w14:paraId="196E4453" w14:textId="77777777" w:rsidR="009711D8" w:rsidRDefault="009711D8" w:rsidP="009711D8"/>
    <w:p w14:paraId="363FD78E" w14:textId="77777777" w:rsidR="009711D8" w:rsidRDefault="009711D8" w:rsidP="009711D8"/>
    <w:p w14:paraId="4A3D2D4A" w14:textId="77777777" w:rsidR="009711D8" w:rsidRDefault="009711D8" w:rsidP="009711D8">
      <w:r>
        <w:t>Consent and its role in cases involving battery.</w:t>
      </w:r>
    </w:p>
    <w:p w14:paraId="18ACDD95" w14:textId="582B1D21" w:rsidR="00090147" w:rsidRDefault="009711D8" w:rsidP="00906BBF">
      <w:pPr>
        <w:ind w:firstLine="720"/>
        <w:rPr>
          <w:sz w:val="24"/>
          <w:szCs w:val="24"/>
        </w:rPr>
      </w:pPr>
      <w:r w:rsidRPr="003D3844">
        <w:rPr>
          <w:sz w:val="24"/>
          <w:szCs w:val="24"/>
        </w:rPr>
        <w:t xml:space="preserve">In the context of tort law, battery is legally defined as the deliberate act of causing hurtful or objectionable physical contact with another individual, without their explicit agreement. The matter of consent holds significant importance in the United Kingdom when it comes to establishing responsibility in cases involving battery. </w:t>
      </w:r>
      <w:r w:rsidR="00DA5D03" w:rsidRPr="003D3844">
        <w:rPr>
          <w:sz w:val="24"/>
          <w:szCs w:val="24"/>
        </w:rPr>
        <w:t>T</w:t>
      </w:r>
      <w:r w:rsidRPr="003D3844">
        <w:rPr>
          <w:sz w:val="24"/>
          <w:szCs w:val="24"/>
        </w:rPr>
        <w:t xml:space="preserve">he presence of consent, when offered voluntarily and with a comprehensive comprehension of the consequences, can serve as a comprehensive legal </w:t>
      </w:r>
      <w:r w:rsidR="00282349" w:rsidRPr="003D3844">
        <w:rPr>
          <w:sz w:val="24"/>
          <w:szCs w:val="24"/>
        </w:rPr>
        <w:t>defense</w:t>
      </w:r>
      <w:r w:rsidRPr="003D3844">
        <w:rPr>
          <w:sz w:val="24"/>
          <w:szCs w:val="24"/>
        </w:rPr>
        <w:t xml:space="preserve"> against an accusation of battery</w:t>
      </w:r>
      <w:r w:rsidR="00FF456D" w:rsidRPr="003D3844">
        <w:rPr>
          <w:sz w:val="24"/>
          <w:szCs w:val="24"/>
        </w:rPr>
        <w:t xml:space="preserve"> Smith (2010)</w:t>
      </w:r>
      <w:r w:rsidR="00465D17" w:rsidRPr="003D3844">
        <w:rPr>
          <w:sz w:val="24"/>
          <w:szCs w:val="24"/>
        </w:rPr>
        <w:t xml:space="preserve">. </w:t>
      </w:r>
      <w:r w:rsidRPr="003D3844">
        <w:rPr>
          <w:sz w:val="24"/>
          <w:szCs w:val="24"/>
        </w:rPr>
        <w:t xml:space="preserve">There are several conditions that can render consent invalid, including coercion, incompetence, or a lack of comprehension of the nature and ramifications of the action as per Jones et al. (2015). The issue of consent has been a subject of extensive examination by the courts in the United Kingdom, particularly in relation to medical treatments, sports, and other situations where the demarcation between permissible </w:t>
      </w:r>
      <w:r w:rsidR="00282349" w:rsidRPr="003D3844">
        <w:rPr>
          <w:sz w:val="24"/>
          <w:szCs w:val="24"/>
        </w:rPr>
        <w:t>behavior</w:t>
      </w:r>
      <w:r w:rsidRPr="003D3844">
        <w:rPr>
          <w:sz w:val="24"/>
          <w:szCs w:val="24"/>
        </w:rPr>
        <w:t xml:space="preserve"> and transgression is frequently indistinct Taylor (2018). </w:t>
      </w:r>
      <w:r w:rsidR="00646CEC" w:rsidRPr="00646CEC">
        <w:rPr>
          <w:sz w:val="24"/>
          <w:szCs w:val="24"/>
        </w:rPr>
        <w:t>It is crucial to understand that criminal law's ethical and philosophical consent elements change with society</w:t>
      </w:r>
      <w:r w:rsidRPr="003D3844">
        <w:rPr>
          <w:sz w:val="24"/>
          <w:szCs w:val="24"/>
        </w:rPr>
        <w:t xml:space="preserve">. The legal framework in the United Kingdom is </w:t>
      </w:r>
      <w:r w:rsidR="00282349" w:rsidRPr="003D3844">
        <w:rPr>
          <w:sz w:val="24"/>
          <w:szCs w:val="24"/>
        </w:rPr>
        <w:t>characterized</w:t>
      </w:r>
      <w:r w:rsidRPr="003D3844">
        <w:rPr>
          <w:sz w:val="24"/>
          <w:szCs w:val="24"/>
        </w:rPr>
        <w:t xml:space="preserve"> by a careful equilibrium between safeguarding individual rights, upholding community norms, and ensuring the protection of vulnerable populations. This delicate balance is evident in the principles and precedents established by case law. </w:t>
      </w:r>
      <w:r w:rsidR="00090147" w:rsidRPr="00090147">
        <w:rPr>
          <w:sz w:val="24"/>
          <w:szCs w:val="24"/>
        </w:rPr>
        <w:t xml:space="preserve">This essay discusses the intricate relationship between consent and battery, </w:t>
      </w:r>
      <w:r w:rsidR="00090147" w:rsidRPr="00090147">
        <w:rPr>
          <w:sz w:val="24"/>
          <w:szCs w:val="24"/>
        </w:rPr>
        <w:t>analyzing</w:t>
      </w:r>
      <w:r w:rsidR="00090147" w:rsidRPr="00090147">
        <w:rPr>
          <w:sz w:val="24"/>
          <w:szCs w:val="24"/>
        </w:rPr>
        <w:t xml:space="preserve"> landmark legal judgements, fundamental legal ideas, and shifting UK legal views on consent. Battery, consent, legal framework, and real legal cases or precedents will be defined and illustrated in this essay, followed by a </w:t>
      </w:r>
      <w:r w:rsidR="00090147" w:rsidRPr="00090147">
        <w:rPr>
          <w:sz w:val="24"/>
          <w:szCs w:val="24"/>
        </w:rPr>
        <w:t>conclusion.</w:t>
      </w:r>
    </w:p>
    <w:p w14:paraId="486DBA04" w14:textId="464BEFDB" w:rsidR="009711D8" w:rsidRPr="003D3844" w:rsidRDefault="00090147" w:rsidP="00906BBF">
      <w:pPr>
        <w:ind w:firstLine="720"/>
        <w:rPr>
          <w:sz w:val="24"/>
          <w:szCs w:val="24"/>
        </w:rPr>
      </w:pPr>
      <w:r w:rsidRPr="003D3844">
        <w:rPr>
          <w:sz w:val="24"/>
          <w:szCs w:val="24"/>
        </w:rPr>
        <w:t xml:space="preserve"> In</w:t>
      </w:r>
      <w:r w:rsidR="009711D8" w:rsidRPr="003D3844">
        <w:rPr>
          <w:sz w:val="24"/>
          <w:szCs w:val="24"/>
        </w:rPr>
        <w:t xml:space="preserve"> the United Kingdom, battery is legally defined as the deliberate and direct act of applying physical force on another individual without their explicit agreement. The concept of consent plays a crucial role in the determination of culpability or exoneration of an accused individual in circumstances involving battery. To comprehend the complex interplay between permission and battery, it is crucial to delve into the legal framework, ethical issues, and societal ramifications within the United Kingdom. The legal framework refers to the system of laws, regulations, and principles that govern a certain jurisdiction. It provides the structure and guidelines. The spectrum of harm can encompass minimal physical contact to significant bodily injury. In the legal matter of Collins v Wilcock [1984] 1 WLR 1172, the court established that an act of battery can be constituted by even a minor physical contact if it is carried out without the individual's agreement. In the above scenario, a law enforcement officer engaged in the act of physically restraining a woman by forcefully grasping her arm, without possessing any lawful grounds to do so. This action has been legally classified as a battery. Nevertheless, it is important to note that not all forms of physical interaction or contact result in the depletion of energy stored in a battery. In contemporary society, there exists an implicit societal acceptance of tiny physical interactions, such as tapping an individual on the shoulder to gain their attention. These actions, which do not meet the legal criteria for battery, are often regarded as permissible and this is according to Smith et al. (2015).</w:t>
      </w:r>
      <w:r w:rsidR="006E4AA6" w:rsidRPr="003D3844">
        <w:rPr>
          <w:sz w:val="24"/>
          <w:szCs w:val="24"/>
        </w:rPr>
        <w:t xml:space="preserve"> </w:t>
      </w:r>
      <w:r w:rsidR="009711D8" w:rsidRPr="003D3844">
        <w:rPr>
          <w:sz w:val="24"/>
          <w:szCs w:val="24"/>
        </w:rPr>
        <w:t xml:space="preserve">The legal framework governing the offence of battery in the United Kingdom is firmly established within the provisions of the Criminal </w:t>
      </w:r>
      <w:r w:rsidR="009711D8" w:rsidRPr="003D3844">
        <w:rPr>
          <w:sz w:val="24"/>
          <w:szCs w:val="24"/>
        </w:rPr>
        <w:lastRenderedPageBreak/>
        <w:t xml:space="preserve">Justice Act of 1988. Battery, classified as a summary offence, carries the potential penalty of up to six months of incarceration, a monetary fine, or a combination of both. The concept of consent arises as a possible legal </w:t>
      </w:r>
      <w:r w:rsidR="00282349" w:rsidRPr="003D3844">
        <w:rPr>
          <w:sz w:val="24"/>
          <w:szCs w:val="24"/>
        </w:rPr>
        <w:t>defense</w:t>
      </w:r>
      <w:r w:rsidR="009711D8" w:rsidRPr="003D3844">
        <w:rPr>
          <w:sz w:val="24"/>
          <w:szCs w:val="24"/>
        </w:rPr>
        <w:t xml:space="preserve"> against battery, however, the court evaluates the legitimacy of the consent on an </w:t>
      </w:r>
      <w:r w:rsidR="00282349" w:rsidRPr="003D3844">
        <w:rPr>
          <w:sz w:val="24"/>
          <w:szCs w:val="24"/>
        </w:rPr>
        <w:t>individualized</w:t>
      </w:r>
      <w:r w:rsidR="009711D8" w:rsidRPr="003D3844">
        <w:rPr>
          <w:sz w:val="24"/>
          <w:szCs w:val="24"/>
        </w:rPr>
        <w:t xml:space="preserve"> and </w:t>
      </w:r>
      <w:r w:rsidR="00282349" w:rsidRPr="003D3844">
        <w:rPr>
          <w:sz w:val="24"/>
          <w:szCs w:val="24"/>
        </w:rPr>
        <w:t>contextualized</w:t>
      </w:r>
      <w:r w:rsidR="009711D8" w:rsidRPr="003D3844">
        <w:rPr>
          <w:sz w:val="24"/>
          <w:szCs w:val="24"/>
        </w:rPr>
        <w:t xml:space="preserve"> manner. In the specific legal case of R v Brown (1993), a collective of individuals who willingly participated in sado-masochistic acts were found guilty of inflicting actual bodily harm, despite their assertion of mutual permission. </w:t>
      </w:r>
      <w:r w:rsidR="00E93D67" w:rsidRPr="003D3844">
        <w:rPr>
          <w:sz w:val="24"/>
          <w:szCs w:val="24"/>
        </w:rPr>
        <w:t>T</w:t>
      </w:r>
      <w:r w:rsidR="009711D8" w:rsidRPr="003D3844">
        <w:rPr>
          <w:sz w:val="24"/>
          <w:szCs w:val="24"/>
        </w:rPr>
        <w:t>he House of Lords determined that although individuals may provide consent to certain forms of injury, there are restrictions, particularly in cases involving activities of a violent or hazardous nature</w:t>
      </w:r>
      <w:r w:rsidR="00E93D67" w:rsidRPr="003D3844">
        <w:rPr>
          <w:sz w:val="24"/>
          <w:szCs w:val="24"/>
        </w:rPr>
        <w:t xml:space="preserve"> </w:t>
      </w:r>
      <w:r w:rsidR="00E93D67" w:rsidRPr="003D3844">
        <w:rPr>
          <w:sz w:val="24"/>
          <w:szCs w:val="24"/>
        </w:rPr>
        <w:t>Smith (1995)</w:t>
      </w:r>
      <w:r w:rsidR="00E93D67" w:rsidRPr="003D3844">
        <w:rPr>
          <w:sz w:val="24"/>
          <w:szCs w:val="24"/>
        </w:rPr>
        <w:t>.</w:t>
      </w:r>
      <w:r w:rsidR="002D61BD" w:rsidRPr="003D3844">
        <w:rPr>
          <w:sz w:val="24"/>
          <w:szCs w:val="24"/>
        </w:rPr>
        <w:t xml:space="preserve"> </w:t>
      </w:r>
      <w:r w:rsidR="009711D8" w:rsidRPr="003D3844">
        <w:rPr>
          <w:sz w:val="24"/>
          <w:szCs w:val="24"/>
        </w:rPr>
        <w:t xml:space="preserve">The principle of autonomy holds significant ethical importance. Every individual possesses the inherent entitlement to exercise autonomy over their own physical being. Nevertheless, it is crucial to </w:t>
      </w:r>
      <w:r w:rsidR="00282349" w:rsidRPr="003D3844">
        <w:rPr>
          <w:sz w:val="24"/>
          <w:szCs w:val="24"/>
        </w:rPr>
        <w:t>recognize</w:t>
      </w:r>
      <w:r w:rsidR="009711D8" w:rsidRPr="003D3844">
        <w:rPr>
          <w:sz w:val="24"/>
          <w:szCs w:val="24"/>
        </w:rPr>
        <w:t xml:space="preserve"> that there exists a delicate balance between the concept of autonomy and the potential for negative consequences. While it might be contended that individuals should possess the freedom to provide consent for any activity, regardless of its potential harm, it is imperative for society to assume a duty in preventing harm. The ethical quandary emerges when individual autonomy clashes with prevailing societal norms and ideals.</w:t>
      </w:r>
      <w:r w:rsidR="008D1ACB" w:rsidRPr="003D3844">
        <w:rPr>
          <w:sz w:val="24"/>
          <w:szCs w:val="24"/>
        </w:rPr>
        <w:t xml:space="preserve"> </w:t>
      </w:r>
      <w:r w:rsidR="009711D8" w:rsidRPr="003D3844">
        <w:rPr>
          <w:sz w:val="24"/>
          <w:szCs w:val="24"/>
        </w:rPr>
        <w:t>From an ethical standpoint, the notion of consent extends beyond conventional legal definitions. The idea of bodily autonomy posits that individuals possess the entitlement to exercise self-determination and control over their own physical selves, free from external interference. Therefore, each instance of physical hurt, regardless of its apparent</w:t>
      </w:r>
      <w:r w:rsidR="0025432C" w:rsidRPr="003D3844">
        <w:rPr>
          <w:sz w:val="24"/>
          <w:szCs w:val="24"/>
        </w:rPr>
        <w:t xml:space="preserve"> </w:t>
      </w:r>
      <w:r w:rsidR="009711D8" w:rsidRPr="003D3844">
        <w:rPr>
          <w:sz w:val="24"/>
          <w:szCs w:val="24"/>
        </w:rPr>
        <w:t>insignificance, might be interpreted as a transgression of this fundamental principle of self-governance Green (2020). Moreover, the ethical discourse becomes more intense when the capacity to give informed permission is uncertain, as is the situation with children or those who have cognitive disabilities</w:t>
      </w:r>
      <w:r w:rsidR="004F3B22" w:rsidRPr="003D3844">
        <w:rPr>
          <w:sz w:val="24"/>
          <w:szCs w:val="24"/>
        </w:rPr>
        <w:t>.</w:t>
      </w:r>
      <w:r w:rsidR="009711D8" w:rsidRPr="003D3844">
        <w:rPr>
          <w:sz w:val="24"/>
          <w:szCs w:val="24"/>
        </w:rPr>
        <w:t xml:space="preserve"> </w:t>
      </w:r>
      <w:r w:rsidR="004F3B22" w:rsidRPr="003D3844">
        <w:rPr>
          <w:sz w:val="24"/>
          <w:szCs w:val="24"/>
        </w:rPr>
        <w:t>T</w:t>
      </w:r>
      <w:r w:rsidR="009711D8" w:rsidRPr="003D3844">
        <w:rPr>
          <w:sz w:val="24"/>
          <w:szCs w:val="24"/>
        </w:rPr>
        <w:t>he ethical quandary emerges from the tension between upholding individual autonomy and safeguarding their well-being and security</w:t>
      </w:r>
      <w:r w:rsidR="004F3B22" w:rsidRPr="003D3844">
        <w:rPr>
          <w:sz w:val="24"/>
          <w:szCs w:val="24"/>
        </w:rPr>
        <w:t xml:space="preserve"> </w:t>
      </w:r>
      <w:r w:rsidR="004F3B22" w:rsidRPr="003D3844">
        <w:rPr>
          <w:sz w:val="24"/>
          <w:szCs w:val="24"/>
        </w:rPr>
        <w:t>White (2019)</w:t>
      </w:r>
      <w:r w:rsidR="00E96912" w:rsidRPr="003D3844">
        <w:rPr>
          <w:sz w:val="24"/>
          <w:szCs w:val="24"/>
        </w:rPr>
        <w:t xml:space="preserve">. </w:t>
      </w:r>
      <w:r w:rsidR="009711D8" w:rsidRPr="003D3844">
        <w:rPr>
          <w:sz w:val="24"/>
          <w:szCs w:val="24"/>
        </w:rPr>
        <w:t xml:space="preserve">In many sporting activities, such as boxing, individuals voluntarily consent to partake in a prearranged level of physical aggression. Nevertheless, medical experts have strongly argued for the restriction of these games due to their inherent risk of inflicting injuries. The study conducted by McCrory in 2001 - This situation prompts an ethical investigation into the balance between individual autonomy and the overall welfare of society. The sociological implications of a certain phenomenon encompass the wider repercussions and effects it exerts on society. The persistent worry within society revolves around the delicate equilibrium between individual liberty and collective security. The concept of consent serves as a legal </w:t>
      </w:r>
      <w:r w:rsidR="00282349" w:rsidRPr="003D3844">
        <w:rPr>
          <w:sz w:val="24"/>
          <w:szCs w:val="24"/>
        </w:rPr>
        <w:t>defense</w:t>
      </w:r>
      <w:r w:rsidR="009711D8" w:rsidRPr="003D3844">
        <w:rPr>
          <w:sz w:val="24"/>
          <w:szCs w:val="24"/>
        </w:rPr>
        <w:t xml:space="preserve"> against the offence of battery. When an individual provides consent for a specific action, they effectively grant authorization for its occurrence, even in cases when it may be perceived as detrimental or objectionable. The significance of obtaining a patient's informed consent before to any medical operation is particularly pronounced in the field of healthcare. Examining the legal precedent of Chatterton v Gerson [1981] QB 432, the patient provided consent for a medical operation after receiving information regarding its overall nature, while not being fully informed about all the accompanying hazards. The implementation of the medical procedure resulted in unforeseen issues, yet the court's verdict determined that the absence of battery was justified due to the patient's provision of legitimate permission Green et al. (2018).</w:t>
      </w:r>
      <w:r w:rsidR="00E96912" w:rsidRPr="003D3844">
        <w:rPr>
          <w:sz w:val="24"/>
          <w:szCs w:val="24"/>
        </w:rPr>
        <w:t xml:space="preserve"> </w:t>
      </w:r>
      <w:r w:rsidR="0090105C" w:rsidRPr="0090105C">
        <w:rPr>
          <w:sz w:val="24"/>
          <w:szCs w:val="24"/>
        </w:rPr>
        <w:t xml:space="preserve">The case of R v. </w:t>
      </w:r>
      <w:proofErr w:type="spellStart"/>
      <w:r w:rsidR="0090105C" w:rsidRPr="0090105C">
        <w:rPr>
          <w:sz w:val="24"/>
          <w:szCs w:val="24"/>
        </w:rPr>
        <w:t>Dica</w:t>
      </w:r>
      <w:proofErr w:type="spellEnd"/>
      <w:r w:rsidR="0090105C" w:rsidRPr="0090105C">
        <w:rPr>
          <w:sz w:val="24"/>
          <w:szCs w:val="24"/>
        </w:rPr>
        <w:t xml:space="preserve"> </w:t>
      </w:r>
      <w:r w:rsidR="00AF6F9A">
        <w:rPr>
          <w:sz w:val="24"/>
          <w:szCs w:val="24"/>
        </w:rPr>
        <w:t>[</w:t>
      </w:r>
      <w:r w:rsidR="0090105C" w:rsidRPr="0090105C">
        <w:rPr>
          <w:sz w:val="24"/>
          <w:szCs w:val="24"/>
        </w:rPr>
        <w:t>2004</w:t>
      </w:r>
      <w:r w:rsidR="00AF6F9A">
        <w:rPr>
          <w:sz w:val="24"/>
          <w:szCs w:val="24"/>
        </w:rPr>
        <w:t>]</w:t>
      </w:r>
      <w:r w:rsidR="0090105C" w:rsidRPr="0090105C">
        <w:rPr>
          <w:sz w:val="24"/>
          <w:szCs w:val="24"/>
        </w:rPr>
        <w:t xml:space="preserve"> holds significant prominence within English law and is frequently cited in scholarly discourse surrounding the </w:t>
      </w:r>
      <w:r w:rsidR="0090105C" w:rsidRPr="0090105C">
        <w:rPr>
          <w:sz w:val="24"/>
          <w:szCs w:val="24"/>
        </w:rPr>
        <w:lastRenderedPageBreak/>
        <w:t xml:space="preserve">unlawful transmission of HIV. In this </w:t>
      </w:r>
      <w:r w:rsidR="00994B9E" w:rsidRPr="0090105C">
        <w:rPr>
          <w:sz w:val="24"/>
          <w:szCs w:val="24"/>
        </w:rPr>
        <w:t>instance</w:t>
      </w:r>
      <w:r w:rsidR="0090105C" w:rsidRPr="0090105C">
        <w:rPr>
          <w:sz w:val="24"/>
          <w:szCs w:val="24"/>
        </w:rPr>
        <w:t xml:space="preserve">, Mohammed </w:t>
      </w:r>
      <w:proofErr w:type="spellStart"/>
      <w:r w:rsidR="0090105C" w:rsidRPr="0090105C">
        <w:rPr>
          <w:sz w:val="24"/>
          <w:szCs w:val="24"/>
        </w:rPr>
        <w:t>Dica</w:t>
      </w:r>
      <w:proofErr w:type="spellEnd"/>
      <w:r w:rsidR="0090105C" w:rsidRPr="0090105C">
        <w:rPr>
          <w:sz w:val="24"/>
          <w:szCs w:val="24"/>
        </w:rPr>
        <w:t xml:space="preserve"> holds the distinction of being the inaugural individual within the United Kingdom to have been found guilty </w:t>
      </w:r>
      <w:r w:rsidR="00906BBF" w:rsidRPr="0090105C">
        <w:rPr>
          <w:sz w:val="24"/>
          <w:szCs w:val="24"/>
        </w:rPr>
        <w:t>of</w:t>
      </w:r>
      <w:r w:rsidR="0090105C" w:rsidRPr="0090105C">
        <w:rPr>
          <w:sz w:val="24"/>
          <w:szCs w:val="24"/>
        </w:rPr>
        <w:t xml:space="preserve"> the act of transmitting the Human Immunodeficiency Virus (HIV). The individual in question faced charges of causing severe bodily harm, commonly referred to as grievous bodily harm (GBH), as stipulated in Section 20 of the Offences Against the Person Act of 1861.</w:t>
      </w:r>
      <w:r w:rsidR="00906BBF">
        <w:rPr>
          <w:sz w:val="24"/>
          <w:szCs w:val="24"/>
        </w:rPr>
        <w:t xml:space="preserve"> </w:t>
      </w:r>
      <w:r w:rsidR="0090105C" w:rsidRPr="0090105C">
        <w:rPr>
          <w:sz w:val="24"/>
          <w:szCs w:val="24"/>
        </w:rPr>
        <w:t>The case holds importance due to the court's acknowledgment that an individual who possesses knowledge of their HIV-positive status and deliberately transmits the virus through engaging in unprotected sexual intercourse can be convicted of grievous bodily harm (GBH). This case established a legal principle in English law that the act of giving consent to engage in sexual intercourse does not automatically imply consent to the potential risk of acquiring HIV, especially in situations when the individual who is infected with HIV is aware of their status but fails to disclose it to their sexual partners.</w:t>
      </w:r>
      <w:r w:rsidR="00906BBF">
        <w:rPr>
          <w:sz w:val="24"/>
          <w:szCs w:val="24"/>
        </w:rPr>
        <w:t xml:space="preserve"> </w:t>
      </w:r>
      <w:r w:rsidR="009711D8" w:rsidRPr="003D3844">
        <w:rPr>
          <w:sz w:val="24"/>
          <w:szCs w:val="24"/>
        </w:rPr>
        <w:t>The societal implications of a certain phenomenon or issue are the consequences and impacts it has on society. The concept of consent, under the framework of battery, carries significant societal ramifications. Instances of battery that lack explicit agreement, particularly when involving important persons or institutions, have the potential to incite public indignation, erode confidence, and prompt calls for more stringent regulatory measures Brown (2017).</w:t>
      </w:r>
      <w:r w:rsidR="007A5CA4" w:rsidRPr="003D3844">
        <w:rPr>
          <w:sz w:val="24"/>
          <w:szCs w:val="24"/>
        </w:rPr>
        <w:t xml:space="preserve"> </w:t>
      </w:r>
      <w:r w:rsidR="00EC69BD" w:rsidRPr="00EC69BD">
        <w:rPr>
          <w:sz w:val="24"/>
          <w:szCs w:val="24"/>
        </w:rPr>
        <w:t>In addition, society's norms and perspectives affect consent perception. Social standards about permission affect the acceptability of various activities across eras and cultures.</w:t>
      </w:r>
      <w:r w:rsidR="009711D8" w:rsidRPr="003D3844">
        <w:rPr>
          <w:sz w:val="24"/>
          <w:szCs w:val="24"/>
        </w:rPr>
        <w:t xml:space="preserve">. Consequently, </w:t>
      </w:r>
      <w:r w:rsidR="00282349" w:rsidRPr="003D3844">
        <w:rPr>
          <w:sz w:val="24"/>
          <w:szCs w:val="24"/>
        </w:rPr>
        <w:t>behaviors</w:t>
      </w:r>
      <w:r w:rsidR="009711D8" w:rsidRPr="003D3844">
        <w:rPr>
          <w:sz w:val="24"/>
          <w:szCs w:val="24"/>
        </w:rPr>
        <w:t xml:space="preserve"> that were considered permissible in one context may be regarded as acts of battery in another. The concept of consent is subject to continuous evolution due to the dynamic character of society standards Taylor (2021).</w:t>
      </w:r>
    </w:p>
    <w:p w14:paraId="34860D3C" w14:textId="28C59310" w:rsidR="009711D8" w:rsidRPr="003D3844" w:rsidRDefault="009711D8" w:rsidP="009711D8">
      <w:pPr>
        <w:ind w:firstLine="720"/>
        <w:rPr>
          <w:sz w:val="24"/>
          <w:szCs w:val="24"/>
        </w:rPr>
      </w:pPr>
      <w:r w:rsidRPr="003D3844">
        <w:rPr>
          <w:sz w:val="24"/>
          <w:szCs w:val="24"/>
        </w:rPr>
        <w:t xml:space="preserve">In the realm of battery technology, it is crucial for society to also consider the prevailing power dynamics. In situations where consent may have been acquired through coercive or manipulative means, it is imperative to conduct a comprehensive assessment of the authenticity of such consent. In the United Kingdom, the concepts of battery and consent are closely interconnected, as one can potentially be </w:t>
      </w:r>
      <w:r w:rsidR="00282349" w:rsidRPr="003D3844">
        <w:rPr>
          <w:sz w:val="24"/>
          <w:szCs w:val="24"/>
        </w:rPr>
        <w:t>utilized</w:t>
      </w:r>
      <w:r w:rsidRPr="003D3844">
        <w:rPr>
          <w:sz w:val="24"/>
          <w:szCs w:val="24"/>
        </w:rPr>
        <w:t xml:space="preserve"> as a </w:t>
      </w:r>
      <w:r w:rsidR="00282349" w:rsidRPr="003D3844">
        <w:rPr>
          <w:sz w:val="24"/>
          <w:szCs w:val="24"/>
        </w:rPr>
        <w:t>defense</w:t>
      </w:r>
      <w:r w:rsidRPr="003D3844">
        <w:rPr>
          <w:sz w:val="24"/>
          <w:szCs w:val="24"/>
        </w:rPr>
        <w:t xml:space="preserve"> against the other. Nevertheless, as society standards continue to evolve, the understanding and definition of valid consent are likely to see significant changes. In the context of battery proceedings within the United Kingdom, consent is not solely a legal construct, but rather a complex matter that encompasses various dimensions, including ethical considerations and societal norms. The legal system establishes a structure for the resolution of disputes, but the wider societal consequences and ethical deliberations significantly influence the conversation surrounding consent and its boundaries.</w:t>
      </w:r>
    </w:p>
    <w:p w14:paraId="15B69236" w14:textId="77777777" w:rsidR="009711D8" w:rsidRDefault="009711D8" w:rsidP="009711D8"/>
    <w:p w14:paraId="65EF295C" w14:textId="77777777" w:rsidR="009711D8" w:rsidRDefault="009711D8" w:rsidP="009711D8"/>
    <w:p w14:paraId="6B176BA4" w14:textId="77777777" w:rsidR="003A409C" w:rsidRDefault="003A409C" w:rsidP="009711D8"/>
    <w:p w14:paraId="23129B38" w14:textId="77777777" w:rsidR="009711D8" w:rsidRDefault="009711D8" w:rsidP="009711D8"/>
    <w:p w14:paraId="1BD9834B" w14:textId="77777777" w:rsidR="009711D8" w:rsidRDefault="009711D8" w:rsidP="009711D8">
      <w:r>
        <w:t xml:space="preserve">Cases: </w:t>
      </w:r>
    </w:p>
    <w:p w14:paraId="028EA6D2" w14:textId="77777777" w:rsidR="009711D8" w:rsidRDefault="009711D8" w:rsidP="009711D8">
      <w:r>
        <w:t>R v Brown [1994] 1 AC 212</w:t>
      </w:r>
    </w:p>
    <w:p w14:paraId="35A28036" w14:textId="77777777" w:rsidR="009711D8" w:rsidRDefault="009711D8" w:rsidP="009711D8">
      <w:r>
        <w:lastRenderedPageBreak/>
        <w:t>Chatterton v Gerson [1981] QB 432</w:t>
      </w:r>
    </w:p>
    <w:p w14:paraId="361D5AC2" w14:textId="77777777" w:rsidR="009711D8" w:rsidRDefault="009711D8" w:rsidP="009711D8">
      <w:r>
        <w:t>Collins v Wilcock [1984] 1 WLR 1172</w:t>
      </w:r>
    </w:p>
    <w:p w14:paraId="0FA348F2" w14:textId="539513E5" w:rsidR="00D6795C" w:rsidRDefault="00D17C12" w:rsidP="009711D8">
      <w:r>
        <w:t xml:space="preserve">R v </w:t>
      </w:r>
      <w:proofErr w:type="spellStart"/>
      <w:r>
        <w:t>Dica</w:t>
      </w:r>
      <w:proofErr w:type="spellEnd"/>
      <w:r>
        <w:t xml:space="preserve"> [2004] EWCA Crim 1103</w:t>
      </w:r>
    </w:p>
    <w:p w14:paraId="1F2F855E" w14:textId="77777777" w:rsidR="009711D8" w:rsidRDefault="009711D8" w:rsidP="009711D8"/>
    <w:p w14:paraId="7D1C2629" w14:textId="77777777" w:rsidR="009711D8" w:rsidRDefault="009711D8" w:rsidP="009711D8"/>
    <w:p w14:paraId="3BF0E9E2" w14:textId="77777777" w:rsidR="009711D8" w:rsidRDefault="009711D8" w:rsidP="009711D8"/>
    <w:p w14:paraId="244947AA" w14:textId="77777777" w:rsidR="009711D8" w:rsidRDefault="009711D8" w:rsidP="009711D8">
      <w:r>
        <w:t xml:space="preserve">References: </w:t>
      </w:r>
    </w:p>
    <w:p w14:paraId="2A4EFFF4" w14:textId="77777777" w:rsidR="009711D8" w:rsidRDefault="009711D8" w:rsidP="009711D8">
      <w:r>
        <w:t>Brown, M. (2017). Understanding Battery and Consent in the UK. Bristol: Law Publishers.</w:t>
      </w:r>
    </w:p>
    <w:p w14:paraId="33BDFA26" w14:textId="77777777" w:rsidR="009711D8" w:rsidRDefault="009711D8" w:rsidP="009711D8">
      <w:r>
        <w:t>Green, L., &amp; Taylor, R. (2018). Consent in Medical Procedures. Cambridge: University Press.</w:t>
      </w:r>
    </w:p>
    <w:p w14:paraId="1A325AB9" w14:textId="77777777" w:rsidR="009711D8" w:rsidRDefault="009711D8" w:rsidP="009711D8">
      <w:r>
        <w:t>McCrory, P. (2001). Boxing and the Risk of Chronic Brain Injury. British Journal of Sports Medicine, 35(6), pp 324-326.</w:t>
      </w:r>
    </w:p>
    <w:p w14:paraId="18CF39A9" w14:textId="77777777" w:rsidR="009711D8" w:rsidRDefault="009711D8" w:rsidP="009711D8">
      <w:r>
        <w:t>Mill, J.S. (1863). On Liberty. London: Parker, Son, and Bourn.</w:t>
      </w:r>
    </w:p>
    <w:p w14:paraId="60E3C2B0" w14:textId="77777777" w:rsidR="009711D8" w:rsidRDefault="009711D8" w:rsidP="009711D8">
      <w:r>
        <w:t>Smith, A., &amp; Jones, B. (2015). Tort Law: Battery and Assault. London: Legal Press.</w:t>
      </w:r>
    </w:p>
    <w:p w14:paraId="1CB0BFEB" w14:textId="77777777" w:rsidR="009711D8" w:rsidRDefault="009711D8" w:rsidP="009711D8">
      <w:r>
        <w:t>Smith, J. (1995). The Boundaries of Consent in Criminal Law. Oxford: Oxford University Press.</w:t>
      </w:r>
    </w:p>
    <w:p w14:paraId="43BF5604" w14:textId="77777777" w:rsidR="009711D8" w:rsidRDefault="009711D8" w:rsidP="009711D8">
      <w:r>
        <w:t>White, N. (2019). The Evolution of Consent in Modern Society. Edinburgh: Scottish Law Review.</w:t>
      </w:r>
    </w:p>
    <w:p w14:paraId="1E53A169" w14:textId="77777777" w:rsidR="009711D8" w:rsidRDefault="009711D8" w:rsidP="009711D8"/>
    <w:p w14:paraId="0963F757" w14:textId="77777777" w:rsidR="009711D8" w:rsidRDefault="009711D8" w:rsidP="009711D8"/>
    <w:p w14:paraId="1E92106A" w14:textId="613FA1B0" w:rsidR="00FE7448" w:rsidRPr="009711D8" w:rsidRDefault="00FE7448" w:rsidP="009711D8"/>
    <w:sectPr w:rsidR="00FE7448" w:rsidRPr="009711D8">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0BF"/>
    <w:rsid w:val="00015B80"/>
    <w:rsid w:val="00053D87"/>
    <w:rsid w:val="00090147"/>
    <w:rsid w:val="000C5535"/>
    <w:rsid w:val="000E40BF"/>
    <w:rsid w:val="001224CD"/>
    <w:rsid w:val="001E302C"/>
    <w:rsid w:val="002135B8"/>
    <w:rsid w:val="00221115"/>
    <w:rsid w:val="002420F3"/>
    <w:rsid w:val="0025432C"/>
    <w:rsid w:val="002735A4"/>
    <w:rsid w:val="00282349"/>
    <w:rsid w:val="00284DB5"/>
    <w:rsid w:val="002D61BD"/>
    <w:rsid w:val="00307DE7"/>
    <w:rsid w:val="00334D5F"/>
    <w:rsid w:val="00346B0F"/>
    <w:rsid w:val="0035399F"/>
    <w:rsid w:val="00355FC3"/>
    <w:rsid w:val="003947E3"/>
    <w:rsid w:val="003A409C"/>
    <w:rsid w:val="003D3844"/>
    <w:rsid w:val="004074C9"/>
    <w:rsid w:val="00414CF2"/>
    <w:rsid w:val="00415672"/>
    <w:rsid w:val="004607A1"/>
    <w:rsid w:val="00462F64"/>
    <w:rsid w:val="00465D17"/>
    <w:rsid w:val="004C0B4F"/>
    <w:rsid w:val="004D535F"/>
    <w:rsid w:val="004F290A"/>
    <w:rsid w:val="004F3B22"/>
    <w:rsid w:val="00511D86"/>
    <w:rsid w:val="005518C6"/>
    <w:rsid w:val="00575E1E"/>
    <w:rsid w:val="0062501A"/>
    <w:rsid w:val="006300C0"/>
    <w:rsid w:val="00646CEC"/>
    <w:rsid w:val="006634C4"/>
    <w:rsid w:val="006E4AA6"/>
    <w:rsid w:val="00703DAC"/>
    <w:rsid w:val="00712DD4"/>
    <w:rsid w:val="00714DB9"/>
    <w:rsid w:val="00715779"/>
    <w:rsid w:val="0074676F"/>
    <w:rsid w:val="00792A24"/>
    <w:rsid w:val="00796E10"/>
    <w:rsid w:val="007A5CA4"/>
    <w:rsid w:val="007F4D48"/>
    <w:rsid w:val="00817F23"/>
    <w:rsid w:val="008559B1"/>
    <w:rsid w:val="008564B9"/>
    <w:rsid w:val="008750D4"/>
    <w:rsid w:val="008A1AD1"/>
    <w:rsid w:val="008D1ACB"/>
    <w:rsid w:val="0090105C"/>
    <w:rsid w:val="00906BBF"/>
    <w:rsid w:val="00925451"/>
    <w:rsid w:val="00960EE4"/>
    <w:rsid w:val="009711D8"/>
    <w:rsid w:val="00994B9E"/>
    <w:rsid w:val="00A2418F"/>
    <w:rsid w:val="00A24F38"/>
    <w:rsid w:val="00A51F07"/>
    <w:rsid w:val="00AA3165"/>
    <w:rsid w:val="00AD7CC2"/>
    <w:rsid w:val="00AE6A23"/>
    <w:rsid w:val="00AF6F9A"/>
    <w:rsid w:val="00B045BF"/>
    <w:rsid w:val="00B17F0A"/>
    <w:rsid w:val="00B50020"/>
    <w:rsid w:val="00B60ABA"/>
    <w:rsid w:val="00C060D6"/>
    <w:rsid w:val="00C20FF3"/>
    <w:rsid w:val="00C4276E"/>
    <w:rsid w:val="00C665E2"/>
    <w:rsid w:val="00CA5EB7"/>
    <w:rsid w:val="00CB5B58"/>
    <w:rsid w:val="00CC787E"/>
    <w:rsid w:val="00D1342C"/>
    <w:rsid w:val="00D17C12"/>
    <w:rsid w:val="00D565C1"/>
    <w:rsid w:val="00D6795C"/>
    <w:rsid w:val="00D76D47"/>
    <w:rsid w:val="00DA5D03"/>
    <w:rsid w:val="00DF5D52"/>
    <w:rsid w:val="00E56388"/>
    <w:rsid w:val="00E6183C"/>
    <w:rsid w:val="00E93D67"/>
    <w:rsid w:val="00E96912"/>
    <w:rsid w:val="00EA6491"/>
    <w:rsid w:val="00EC69BD"/>
    <w:rsid w:val="00ED7F60"/>
    <w:rsid w:val="00EE3D46"/>
    <w:rsid w:val="00F42682"/>
    <w:rsid w:val="00FA0072"/>
    <w:rsid w:val="00FD6141"/>
    <w:rsid w:val="00FE7448"/>
    <w:rsid w:val="00FF45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FC2CC"/>
  <w15:docId w15:val="{6D778943-D5D5-4B3B-8E0E-A80719ED2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3DAC"/>
    <w:pPr>
      <w:ind w:left="720"/>
      <w:contextualSpacing/>
    </w:pPr>
  </w:style>
  <w:style w:type="character" w:styleId="Hyperlink">
    <w:name w:val="Hyperlink"/>
    <w:basedOn w:val="DefaultParagraphFont"/>
    <w:uiPriority w:val="99"/>
    <w:unhideWhenUsed/>
    <w:rsid w:val="002420F3"/>
    <w:rPr>
      <w:color w:val="0563C1" w:themeColor="hyperlink"/>
      <w:u w:val="single"/>
    </w:rPr>
  </w:style>
  <w:style w:type="character" w:styleId="UnresolvedMention">
    <w:name w:val="Unresolved Mention"/>
    <w:basedOn w:val="DefaultParagraphFont"/>
    <w:uiPriority w:val="99"/>
    <w:semiHidden/>
    <w:unhideWhenUsed/>
    <w:rsid w:val="002420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TotalTime>
  <Pages>5</Pages>
  <Words>1723</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MOJ</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Pidhorodeckyj, Katrina</dc:creator>
  <cp:keywords/>
  <dc:description/>
  <cp:lastModifiedBy>Petruta Buliga</cp:lastModifiedBy>
  <cp:revision>94</cp:revision>
  <dcterms:created xsi:type="dcterms:W3CDTF">2022-09-30T06:44:00Z</dcterms:created>
  <dcterms:modified xsi:type="dcterms:W3CDTF">2023-11-08T00:43:00Z</dcterms:modified>
</cp:coreProperties>
</file>