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5391C1" w14:textId="4EC98C21" w:rsidR="00872CEE" w:rsidRDefault="0004603E" w:rsidP="00730CC1">
      <w:pPr>
        <w:spacing w:line="360" w:lineRule="auto"/>
      </w:pPr>
      <w:r>
        <w:t>Q. Discuss the role of the royal women during the Amarna Age. To what extent does their position fit into the development of the 18</w:t>
      </w:r>
      <w:r>
        <w:rPr>
          <w:vertAlign w:val="superscript"/>
        </w:rPr>
        <w:t>th</w:t>
      </w:r>
      <w:r>
        <w:t xml:space="preserve"> </w:t>
      </w:r>
      <w:r w:rsidR="009166E0">
        <w:t>Dynasty</w:t>
      </w:r>
      <w:r>
        <w:t xml:space="preserve"> before the Amarna Period? Refer y</w:t>
      </w:r>
      <w:r w:rsidR="00872CEE">
        <w:t>our answer to particular women.</w:t>
      </w:r>
    </w:p>
    <w:p w14:paraId="200B4686" w14:textId="5EE188C3" w:rsidR="003E2F7A" w:rsidRDefault="003E2F7A" w:rsidP="00730CC1">
      <w:pPr>
        <w:spacing w:line="360" w:lineRule="auto"/>
      </w:pPr>
      <w:r>
        <w:t xml:space="preserve">The Amarna period is one of the most influential within Egyptology as it </w:t>
      </w:r>
      <w:r w:rsidR="009166E0">
        <w:t xml:space="preserve">is </w:t>
      </w:r>
      <w:r>
        <w:t>surround</w:t>
      </w:r>
      <w:r w:rsidR="009166E0">
        <w:t>ed</w:t>
      </w:r>
      <w:r>
        <w:t xml:space="preserve"> with so much controversy and uncertainty. </w:t>
      </w:r>
      <w:r w:rsidR="008843BF">
        <w:t>T</w:t>
      </w:r>
      <w:r>
        <w:t xml:space="preserve">he period of time known as the Amarna </w:t>
      </w:r>
      <w:r w:rsidR="009166E0">
        <w:t>a</w:t>
      </w:r>
      <w:r>
        <w:t>ge began in the 18</w:t>
      </w:r>
      <w:r w:rsidRPr="003E2F7A">
        <w:rPr>
          <w:vertAlign w:val="superscript"/>
        </w:rPr>
        <w:t>th</w:t>
      </w:r>
      <w:r>
        <w:t xml:space="preserve"> </w:t>
      </w:r>
      <w:r w:rsidR="009166E0">
        <w:t>Dynasty</w:t>
      </w:r>
      <w:r>
        <w:t xml:space="preserve"> with the Pharaoh </w:t>
      </w:r>
      <w:r w:rsidR="003B62C6">
        <w:t xml:space="preserve">Akhenaten, who </w:t>
      </w:r>
      <w:r w:rsidR="00886031">
        <w:t>is c</w:t>
      </w:r>
      <w:r w:rsidR="003B62C6">
        <w:t>onsidered by scholars the</w:t>
      </w:r>
      <w:r>
        <w:t xml:space="preserve"> ‘heretic king’ </w:t>
      </w:r>
      <w:r w:rsidR="003B62C6">
        <w:t>of the 18</w:t>
      </w:r>
      <w:r w:rsidR="003B62C6" w:rsidRPr="003B62C6">
        <w:rPr>
          <w:vertAlign w:val="superscript"/>
        </w:rPr>
        <w:t>th</w:t>
      </w:r>
      <w:r w:rsidR="003B62C6">
        <w:t xml:space="preserve"> </w:t>
      </w:r>
      <w:r w:rsidR="009166E0">
        <w:t>Dynasty,</w:t>
      </w:r>
      <w:r w:rsidR="00E526EC">
        <w:t xml:space="preserve"> </w:t>
      </w:r>
      <w:r w:rsidR="009166E0">
        <w:t>although</w:t>
      </w:r>
      <w:r w:rsidR="003B62C6" w:rsidRPr="00E526EC">
        <w:t xml:space="preserve"> evidence suggests </w:t>
      </w:r>
      <w:r w:rsidR="009166E0">
        <w:t xml:space="preserve">that </w:t>
      </w:r>
      <w:r w:rsidR="003B62C6" w:rsidRPr="00E526EC">
        <w:t>this is significantly untrue.</w:t>
      </w:r>
      <w:r w:rsidR="00E526EC">
        <w:t xml:space="preserve"> Akhenaten was seen </w:t>
      </w:r>
      <w:r w:rsidR="00912918">
        <w:t>to create significant</w:t>
      </w:r>
      <w:r w:rsidR="009166E0">
        <w:t xml:space="preserve"> </w:t>
      </w:r>
      <w:r w:rsidR="00912918">
        <w:t>changes to the religion of Ancient Egypt</w:t>
      </w:r>
      <w:r w:rsidR="00E526EC">
        <w:t xml:space="preserve"> du</w:t>
      </w:r>
      <w:r w:rsidR="003B62C6" w:rsidRPr="00E526EC">
        <w:t>e to his movement away from the principle God of Th</w:t>
      </w:r>
      <w:r w:rsidR="00E526EC" w:rsidRPr="00E526EC">
        <w:t>ebes</w:t>
      </w:r>
      <w:r w:rsidR="009166E0">
        <w:t>,</w:t>
      </w:r>
      <w:r w:rsidR="00E526EC" w:rsidRPr="00E526EC">
        <w:t xml:space="preserve"> Amun, to</w:t>
      </w:r>
      <w:r w:rsidR="003B62C6" w:rsidRPr="00E526EC">
        <w:t xml:space="preserve"> a new principle </w:t>
      </w:r>
      <w:r w:rsidR="009166E0">
        <w:t>g</w:t>
      </w:r>
      <w:r w:rsidR="003B62C6" w:rsidRPr="00E526EC">
        <w:t>od</w:t>
      </w:r>
      <w:r w:rsidR="009166E0">
        <w:t xml:space="preserve">: </w:t>
      </w:r>
      <w:r w:rsidR="003B62C6" w:rsidRPr="00E526EC">
        <w:t>the Aten in Amarna</w:t>
      </w:r>
      <w:r w:rsidRPr="00E526EC">
        <w:t>.</w:t>
      </w:r>
      <w:r>
        <w:t xml:space="preserve"> Although this essay will focus on the woman of the Amarna age</w:t>
      </w:r>
      <w:r w:rsidR="009166E0">
        <w:t>,</w:t>
      </w:r>
      <w:r>
        <w:t xml:space="preserve"> it is significant to suggest that without Akhenaten these royal women would not have left such an important mark on history. </w:t>
      </w:r>
    </w:p>
    <w:p w14:paraId="6B9D3900" w14:textId="30E5ACAE" w:rsidR="00872CEE" w:rsidRDefault="00637648" w:rsidP="00730CC1">
      <w:pPr>
        <w:spacing w:line="360" w:lineRule="auto"/>
      </w:pPr>
      <w:r>
        <w:t>Royal wom</w:t>
      </w:r>
      <w:r w:rsidR="00FA4CCC">
        <w:t>an in Amarna for many years ha</w:t>
      </w:r>
      <w:r w:rsidR="009166E0">
        <w:t>ve</w:t>
      </w:r>
      <w:r>
        <w:t xml:space="preserve"> </w:t>
      </w:r>
      <w:r w:rsidR="009166E0">
        <w:t xml:space="preserve">generated </w:t>
      </w:r>
      <w:r>
        <w:t>considerable controversy</w:t>
      </w:r>
      <w:r w:rsidR="00057142">
        <w:t xml:space="preserve"> within the field of Egyptology. The royal women of Amarna</w:t>
      </w:r>
      <w:r>
        <w:t xml:space="preserve"> are the </w:t>
      </w:r>
      <w:r w:rsidR="00726A51">
        <w:t xml:space="preserve">individuals </w:t>
      </w:r>
      <w:r w:rsidR="009166E0">
        <w:t xml:space="preserve">for </w:t>
      </w:r>
      <w:r w:rsidR="00726A51">
        <w:t xml:space="preserve">which we have the most information </w:t>
      </w:r>
      <w:r w:rsidR="00FA4CCC">
        <w:t>than any other</w:t>
      </w:r>
      <w:r w:rsidR="006173C8">
        <w:t>s</w:t>
      </w:r>
      <w:r w:rsidR="009166E0">
        <w:t xml:space="preserve"> </w:t>
      </w:r>
      <w:r w:rsidR="001E5DB9">
        <w:t>throughout</w:t>
      </w:r>
      <w:r w:rsidR="00FA4CCC">
        <w:t xml:space="preserve"> Egypt’s</w:t>
      </w:r>
      <w:r w:rsidR="001E5DB9">
        <w:t xml:space="preserve"> history</w:t>
      </w:r>
      <w:r w:rsidR="009166E0">
        <w:t>.</w:t>
      </w:r>
      <w:r w:rsidR="00FA4CCC">
        <w:rPr>
          <w:rStyle w:val="FootnoteReference"/>
        </w:rPr>
        <w:footnoteReference w:id="1"/>
      </w:r>
      <w:r w:rsidR="00057142">
        <w:t xml:space="preserve"> Furthermore, </w:t>
      </w:r>
      <w:r w:rsidR="006173C8">
        <w:t>although</w:t>
      </w:r>
      <w:r w:rsidR="009166E0">
        <w:t xml:space="preserve"> </w:t>
      </w:r>
      <w:r w:rsidR="00057142">
        <w:t>the Amarna period is still not fully understood</w:t>
      </w:r>
      <w:r w:rsidR="009166E0">
        <w:t>,</w:t>
      </w:r>
      <w:r w:rsidR="00057142">
        <w:t xml:space="preserve"> </w:t>
      </w:r>
      <w:r w:rsidR="00726A51">
        <w:t>one thing is certain</w:t>
      </w:r>
      <w:r w:rsidR="009166E0">
        <w:t>:</w:t>
      </w:r>
      <w:r w:rsidR="00726A51">
        <w:t xml:space="preserve"> </w:t>
      </w:r>
      <w:r w:rsidR="00057142">
        <w:t>royal women of</w:t>
      </w:r>
      <w:r w:rsidR="00726A51">
        <w:t xml:space="preserve"> the Amarna period play the most significant roles in the building </w:t>
      </w:r>
      <w:r w:rsidR="001A0CB4">
        <w:t xml:space="preserve">and maintaining </w:t>
      </w:r>
      <w:r w:rsidR="00726A51">
        <w:t xml:space="preserve">of the empire of </w:t>
      </w:r>
      <w:r w:rsidR="001A0CB4">
        <w:t>Egypt</w:t>
      </w:r>
      <w:r w:rsidR="00726A51">
        <w:t xml:space="preserve"> than they do in any other time throughout Egyptian history. </w:t>
      </w:r>
      <w:r w:rsidR="001E5DB9">
        <w:t>T</w:t>
      </w:r>
      <w:r w:rsidR="001A0CB4">
        <w:t>hroughout this essay I will look at a number of royal women of the Amarna period and how the role of the God</w:t>
      </w:r>
      <w:r w:rsidR="009166E0">
        <w:t>’</w:t>
      </w:r>
      <w:r w:rsidR="001A0CB4">
        <w:t>s wife of Amun, one of the most important roles for royal women in the 18</w:t>
      </w:r>
      <w:r w:rsidR="001A0CB4" w:rsidRPr="001A0CB4">
        <w:rPr>
          <w:vertAlign w:val="superscript"/>
        </w:rPr>
        <w:t>th</w:t>
      </w:r>
      <w:r w:rsidR="001A0CB4">
        <w:t xml:space="preserve"> </w:t>
      </w:r>
      <w:r w:rsidR="009166E0">
        <w:t>D</w:t>
      </w:r>
      <w:r w:rsidR="001A0CB4">
        <w:t>ynasty</w:t>
      </w:r>
      <w:r w:rsidR="009166E0">
        <w:t>,</w:t>
      </w:r>
      <w:r w:rsidR="001A0CB4">
        <w:t xml:space="preserve"> was carried out throughout the Amarna period and how this role developed. </w:t>
      </w:r>
    </w:p>
    <w:p w14:paraId="09A0A94B" w14:textId="3BDE6269" w:rsidR="00E05A3C" w:rsidRDefault="007A34E4" w:rsidP="00730CC1">
      <w:pPr>
        <w:spacing w:line="360" w:lineRule="auto"/>
      </w:pPr>
      <w:r>
        <w:t>The ‘Gods Wife of Amun’</w:t>
      </w:r>
      <w:r w:rsidR="00057142">
        <w:t xml:space="preserve"> was one of the most prestigious</w:t>
      </w:r>
      <w:r>
        <w:t xml:space="preserve"> positions royal women could hold in the 18</w:t>
      </w:r>
      <w:r w:rsidRPr="007A34E4">
        <w:rPr>
          <w:vertAlign w:val="superscript"/>
        </w:rPr>
        <w:t>th</w:t>
      </w:r>
      <w:r>
        <w:t xml:space="preserve"> </w:t>
      </w:r>
      <w:r w:rsidR="009166E0">
        <w:t>Dynasty</w:t>
      </w:r>
      <w:r>
        <w:t xml:space="preserve">. </w:t>
      </w:r>
      <w:r w:rsidR="00EE0D2E">
        <w:t xml:space="preserve">It began with </w:t>
      </w:r>
      <w:proofErr w:type="spellStart"/>
      <w:r w:rsidR="00EE0D2E">
        <w:t>Ahmose</w:t>
      </w:r>
      <w:proofErr w:type="spellEnd"/>
      <w:r w:rsidR="00EE0D2E">
        <w:t xml:space="preserve"> </w:t>
      </w:r>
      <w:proofErr w:type="spellStart"/>
      <w:r w:rsidR="00EE0D2E">
        <w:t>Nefertari</w:t>
      </w:r>
      <w:proofErr w:type="spellEnd"/>
      <w:r w:rsidR="00F93214">
        <w:t>,</w:t>
      </w:r>
      <w:r w:rsidR="00EE0D2E">
        <w:t xml:space="preserve"> the first Queen of the 18</w:t>
      </w:r>
      <w:r w:rsidR="00EE0D2E" w:rsidRPr="00EE0D2E">
        <w:rPr>
          <w:vertAlign w:val="superscript"/>
        </w:rPr>
        <w:t>th</w:t>
      </w:r>
      <w:r w:rsidR="00EE0D2E">
        <w:t xml:space="preserve"> </w:t>
      </w:r>
      <w:r w:rsidR="009166E0">
        <w:t>Dynasty</w:t>
      </w:r>
      <w:r w:rsidR="00F93214">
        <w:t xml:space="preserve">, </w:t>
      </w:r>
      <w:r w:rsidR="00EE0D2E">
        <w:t>and continued until 26</w:t>
      </w:r>
      <w:r w:rsidR="00EE0D2E" w:rsidRPr="00EE0D2E">
        <w:rPr>
          <w:vertAlign w:val="superscript"/>
        </w:rPr>
        <w:t>th</w:t>
      </w:r>
      <w:r w:rsidR="00EE0D2E">
        <w:t xml:space="preserve"> </w:t>
      </w:r>
      <w:r w:rsidR="009166E0">
        <w:t>Dynasty</w:t>
      </w:r>
      <w:r w:rsidR="00F93214">
        <w:t>.</w:t>
      </w:r>
      <w:r w:rsidR="00EE0D2E">
        <w:rPr>
          <w:rStyle w:val="FootnoteReference"/>
        </w:rPr>
        <w:footnoteReference w:id="2"/>
      </w:r>
      <w:r w:rsidR="00EE0D2E">
        <w:t xml:space="preserve"> </w:t>
      </w:r>
      <w:r>
        <w:t xml:space="preserve">The office primarily was held by the </w:t>
      </w:r>
      <w:r w:rsidR="004815FB">
        <w:t>king’s</w:t>
      </w:r>
      <w:r>
        <w:t xml:space="preserve"> wife or </w:t>
      </w:r>
      <w:r w:rsidR="004815FB">
        <w:t>king’s</w:t>
      </w:r>
      <w:r>
        <w:t xml:space="preserve"> daughter, and was used to represent the divine connection the king had to his principle god Amun.</w:t>
      </w:r>
      <w:r w:rsidR="00B94B0F">
        <w:rPr>
          <w:rStyle w:val="FootnoteReference"/>
        </w:rPr>
        <w:footnoteReference w:id="3"/>
      </w:r>
      <w:r>
        <w:t xml:space="preserve"> Another significant connection of this position was the reference to the myth of divine birth</w:t>
      </w:r>
      <w:r w:rsidR="004815FB">
        <w:t xml:space="preserve">, the </w:t>
      </w:r>
      <w:r w:rsidR="00502C38">
        <w:t>myth suggests</w:t>
      </w:r>
      <w:r w:rsidR="004815FB">
        <w:t xml:space="preserve"> the God Amun impregnated the Pharaoh</w:t>
      </w:r>
      <w:r w:rsidR="00F93214">
        <w:t>’</w:t>
      </w:r>
      <w:r w:rsidR="004815FB">
        <w:t>s mother in order for the new Pharaoh of Egypt to be born.</w:t>
      </w:r>
      <w:r w:rsidR="00B94B0F">
        <w:rPr>
          <w:rStyle w:val="FootnoteReference"/>
        </w:rPr>
        <w:footnoteReference w:id="4"/>
      </w:r>
      <w:r w:rsidR="004815FB">
        <w:t xml:space="preserve"> This was seen as an aspect of not only dedication but also the divine intention that the pharaoh w</w:t>
      </w:r>
      <w:r w:rsidR="00CB0B23">
        <w:t xml:space="preserve">as the rightful ruler of Egypt. </w:t>
      </w:r>
      <w:r w:rsidR="00B94B0F">
        <w:t>T</w:t>
      </w:r>
      <w:r w:rsidR="00EE0D2E">
        <w:t xml:space="preserve">his role was also considered to be both the female counterpart of the </w:t>
      </w:r>
      <w:r w:rsidR="00EE0D2E">
        <w:lastRenderedPageBreak/>
        <w:t xml:space="preserve">Pharaoh and of the High Priest of Amun as these royal women would accompany the High Priest in many of the main religious ceremonies. </w:t>
      </w:r>
      <w:r w:rsidR="00EE0D2E">
        <w:rPr>
          <w:rStyle w:val="FootnoteReference"/>
        </w:rPr>
        <w:footnoteReference w:id="5"/>
      </w:r>
    </w:p>
    <w:p w14:paraId="738B521F" w14:textId="7E420246" w:rsidR="00E31E60" w:rsidRDefault="00F93214" w:rsidP="00730CC1">
      <w:pPr>
        <w:spacing w:line="360" w:lineRule="auto"/>
      </w:pPr>
      <w:r>
        <w:t>B</w:t>
      </w:r>
      <w:r w:rsidR="009E3950">
        <w:t xml:space="preserve">efore the development </w:t>
      </w:r>
      <w:r w:rsidR="00A24D22">
        <w:t xml:space="preserve">of the </w:t>
      </w:r>
      <w:r w:rsidR="00B94B0F">
        <w:t>Amarna</w:t>
      </w:r>
      <w:r w:rsidR="00A24D22">
        <w:t xml:space="preserve"> </w:t>
      </w:r>
      <w:r>
        <w:t>age The God’s Wife of Amun</w:t>
      </w:r>
      <w:r w:rsidR="00A24D22">
        <w:t xml:space="preserve"> was a position given to only the most </w:t>
      </w:r>
      <w:r w:rsidR="00502C38">
        <w:t xml:space="preserve">important </w:t>
      </w:r>
      <w:r w:rsidR="00A24D22">
        <w:t>royal woman of the 18</w:t>
      </w:r>
      <w:r w:rsidR="00A24D22" w:rsidRPr="00A24D22">
        <w:rPr>
          <w:vertAlign w:val="superscript"/>
        </w:rPr>
        <w:t>th</w:t>
      </w:r>
      <w:r w:rsidR="00A24D22">
        <w:t xml:space="preserve"> </w:t>
      </w:r>
      <w:r w:rsidR="009166E0">
        <w:t>Dynasty</w:t>
      </w:r>
      <w:r>
        <w:t>;</w:t>
      </w:r>
      <w:r w:rsidR="00A24D22">
        <w:t xml:space="preserve"> </w:t>
      </w:r>
      <w:r w:rsidR="009F6A3F">
        <w:t xml:space="preserve">the only known </w:t>
      </w:r>
      <w:r w:rsidR="00B94B0F">
        <w:t>examples of the G</w:t>
      </w:r>
      <w:r w:rsidR="00544554">
        <w:t xml:space="preserve">ods wife of Amun before the </w:t>
      </w:r>
      <w:r w:rsidR="00B94B0F">
        <w:t xml:space="preserve">Amarna age are </w:t>
      </w:r>
      <w:proofErr w:type="spellStart"/>
      <w:r w:rsidR="00B94B0F">
        <w:t>A</w:t>
      </w:r>
      <w:r w:rsidR="00E31E60">
        <w:t>hmose</w:t>
      </w:r>
      <w:proofErr w:type="spellEnd"/>
      <w:r w:rsidR="00E31E60">
        <w:t xml:space="preserve"> </w:t>
      </w:r>
      <w:proofErr w:type="spellStart"/>
      <w:r w:rsidR="00E31E60">
        <w:t>Nefertari</w:t>
      </w:r>
      <w:proofErr w:type="spellEnd"/>
      <w:r w:rsidR="00B94B0F">
        <w:t xml:space="preserve">, Hatshepsut and her daughter </w:t>
      </w:r>
      <w:proofErr w:type="spellStart"/>
      <w:r w:rsidR="00B94B0F" w:rsidRPr="00B94B0F">
        <w:t>Neferure</w:t>
      </w:r>
      <w:proofErr w:type="spellEnd"/>
      <w:r w:rsidR="00B94B0F">
        <w:t>.</w:t>
      </w:r>
      <w:r w:rsidR="00DD75E8">
        <w:rPr>
          <w:rStyle w:val="FootnoteReference"/>
        </w:rPr>
        <w:footnoteReference w:id="6"/>
      </w:r>
      <w:r w:rsidR="00B94B0F">
        <w:t xml:space="preserve"> These women are considered to be some of the most powerful throughout ancient Egyptian history. </w:t>
      </w:r>
      <w:proofErr w:type="spellStart"/>
      <w:r w:rsidR="00B94B0F">
        <w:t>Ahmose</w:t>
      </w:r>
      <w:proofErr w:type="spellEnd"/>
      <w:r w:rsidR="00E31E60">
        <w:t xml:space="preserve"> </w:t>
      </w:r>
      <w:proofErr w:type="spellStart"/>
      <w:r w:rsidR="00E31E60">
        <w:t>Nefertari</w:t>
      </w:r>
      <w:proofErr w:type="spellEnd"/>
      <w:r w:rsidR="00E31E60">
        <w:t xml:space="preserve"> was the wife of Ahmose</w:t>
      </w:r>
      <w:r>
        <w:t>,</w:t>
      </w:r>
      <w:r w:rsidR="00E31E60">
        <w:t xml:space="preserve"> the first Pharaoh of the 18</w:t>
      </w:r>
      <w:r w:rsidR="00E31E60" w:rsidRPr="00E31E60">
        <w:rPr>
          <w:vertAlign w:val="superscript"/>
        </w:rPr>
        <w:t>th</w:t>
      </w:r>
      <w:r w:rsidR="00E31E60">
        <w:t xml:space="preserve"> </w:t>
      </w:r>
      <w:r w:rsidR="009166E0">
        <w:t>Dynasty</w:t>
      </w:r>
      <w:r>
        <w:t>,</w:t>
      </w:r>
      <w:r w:rsidR="00E31E60">
        <w:t xml:space="preserve"> and the first wom</w:t>
      </w:r>
      <w:r>
        <w:t>a</w:t>
      </w:r>
      <w:r w:rsidR="00E31E60">
        <w:t>n to receive this title</w:t>
      </w:r>
      <w:r w:rsidR="00E31E60">
        <w:rPr>
          <w:rStyle w:val="FootnoteReference"/>
        </w:rPr>
        <w:footnoteReference w:id="7"/>
      </w:r>
      <w:r w:rsidR="00E31E60">
        <w:t xml:space="preserve">. During her religious duties of the Gods Wife of Amun, it allowed </w:t>
      </w:r>
      <w:proofErr w:type="spellStart"/>
      <w:r w:rsidR="00E31E60">
        <w:t>Ahmose</w:t>
      </w:r>
      <w:proofErr w:type="spellEnd"/>
      <w:r w:rsidR="00E31E60">
        <w:t xml:space="preserve"> </w:t>
      </w:r>
      <w:proofErr w:type="spellStart"/>
      <w:r w:rsidR="00E31E60">
        <w:t>Nefertari</w:t>
      </w:r>
      <w:proofErr w:type="spellEnd"/>
      <w:r w:rsidR="00E31E60">
        <w:t xml:space="preserve"> to gain considerable control over elements of the administration of the temple, therefore increasing her economic power.</w:t>
      </w:r>
      <w:r w:rsidR="00E31E60">
        <w:rPr>
          <w:rStyle w:val="FootnoteReference"/>
        </w:rPr>
        <w:footnoteReference w:id="8"/>
      </w:r>
      <w:r w:rsidR="00E31E60">
        <w:t xml:space="preserve"> </w:t>
      </w:r>
      <w:r>
        <w:t xml:space="preserve"> </w:t>
      </w:r>
      <w:r w:rsidR="00E31E60">
        <w:t>Another noteworthy possessor of the title of God</w:t>
      </w:r>
      <w:r>
        <w:t>’</w:t>
      </w:r>
      <w:r w:rsidR="00E31E60">
        <w:t>s wife of Amun was Hatshepsut. Hatshepsut is considered one of the most powerful women in the whole of ancient Egyptian history as after ruling as co</w:t>
      </w:r>
      <w:r>
        <w:t>-</w:t>
      </w:r>
      <w:r w:rsidR="00E31E60">
        <w:t>regent for her son Thutmose II she took over the male office of kingship and became Pharaoh in her own right.</w:t>
      </w:r>
      <w:r w:rsidR="00BA1F02">
        <w:rPr>
          <w:rStyle w:val="FootnoteReference"/>
        </w:rPr>
        <w:footnoteReference w:id="9"/>
      </w:r>
      <w:r w:rsidR="00E31E60">
        <w:t xml:space="preserve"> Once </w:t>
      </w:r>
      <w:r w:rsidR="00936496">
        <w:t>Hatshepsut became Pharaoh</w:t>
      </w:r>
      <w:r>
        <w:t>,</w:t>
      </w:r>
      <w:r w:rsidR="00936496">
        <w:t xml:space="preserve"> to be accepted as the rightful ruler of Egypt </w:t>
      </w:r>
      <w:r>
        <w:t xml:space="preserve">she needed a female counterpart, </w:t>
      </w:r>
      <w:r w:rsidR="00936496">
        <w:t>and by marr</w:t>
      </w:r>
      <w:r>
        <w:t>y</w:t>
      </w:r>
      <w:r w:rsidR="00936496">
        <w:t xml:space="preserve">ing her daughter </w:t>
      </w:r>
      <w:proofErr w:type="spellStart"/>
      <w:r w:rsidR="00936496">
        <w:t>Neferure</w:t>
      </w:r>
      <w:proofErr w:type="spellEnd"/>
      <w:r w:rsidR="00936496">
        <w:t xml:space="preserve"> and giving her the title God</w:t>
      </w:r>
      <w:r>
        <w:t>’</w:t>
      </w:r>
      <w:r w:rsidR="00936496">
        <w:t>s Wife of Amun</w:t>
      </w:r>
      <w:r>
        <w:t>,</w:t>
      </w:r>
      <w:r w:rsidR="00936496">
        <w:t xml:space="preserve"> Hatshepsut partly legitimised her rule. </w:t>
      </w:r>
    </w:p>
    <w:p w14:paraId="2A182730" w14:textId="77777777" w:rsidR="00E353CD" w:rsidRDefault="00BE2D40" w:rsidP="00730CC1">
      <w:pPr>
        <w:spacing w:line="360" w:lineRule="auto"/>
      </w:pPr>
      <w:r>
        <w:rPr>
          <w:noProof/>
          <w:lang w:eastAsia="en-GB"/>
        </w:rPr>
        <mc:AlternateContent>
          <mc:Choice Requires="wps">
            <w:drawing>
              <wp:anchor distT="0" distB="0" distL="114300" distR="114300" simplePos="0" relativeHeight="251663360" behindDoc="0" locked="0" layoutInCell="1" allowOverlap="1" wp14:anchorId="403A0522" wp14:editId="38B6F3B3">
                <wp:simplePos x="0" y="0"/>
                <wp:positionH relativeFrom="margin">
                  <wp:posOffset>3421380</wp:posOffset>
                </wp:positionH>
                <wp:positionV relativeFrom="paragraph">
                  <wp:posOffset>2825750</wp:posOffset>
                </wp:positionV>
                <wp:extent cx="2209800" cy="69342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09800" cy="693420"/>
                        </a:xfrm>
                        <a:prstGeom prst="rect">
                          <a:avLst/>
                        </a:prstGeom>
                        <a:noFill/>
                        <a:ln w="6350">
                          <a:noFill/>
                        </a:ln>
                      </wps:spPr>
                      <wps:txbx>
                        <w:txbxContent>
                          <w:p w14:paraId="7480C2B9" w14:textId="47DBBA01" w:rsidR="00DC10E9" w:rsidRPr="00DC10E9" w:rsidRDefault="0069522C" w:rsidP="00DC10E9">
                            <w:pPr>
                              <w:spacing w:line="360" w:lineRule="auto"/>
                              <w:rPr>
                                <w:color w:val="FFFFFF" w:themeColor="background1"/>
                                <w:sz w:val="14"/>
                                <w:u w:val="single"/>
                              </w:rPr>
                            </w:pPr>
                            <w:r>
                              <w:rPr>
                                <w:color w:val="FFFFFF" w:themeColor="background1"/>
                                <w:sz w:val="14"/>
                              </w:rPr>
                              <w:t xml:space="preserve">Figure 1- </w:t>
                            </w:r>
                            <w:r w:rsidR="00DC10E9" w:rsidRPr="00DC10E9">
                              <w:rPr>
                                <w:color w:val="FFFFFF" w:themeColor="background1"/>
                                <w:sz w:val="14"/>
                              </w:rPr>
                              <w:t xml:space="preserve">Nefertiti smiting the enemy. Available at URL: </w:t>
                            </w:r>
                            <w:hyperlink r:id="rId7" w:history="1">
                              <w:r w:rsidR="00DC10E9" w:rsidRPr="00DC10E9">
                                <w:rPr>
                                  <w:rStyle w:val="Hyperlink"/>
                                  <w:color w:val="FFFFFF" w:themeColor="background1"/>
                                  <w:sz w:val="14"/>
                                </w:rPr>
                                <w:t>http://gorffennol.swansea.ac.uk/wp-content/uploads/2016/01/8-masculine-iconography.pdf</w:t>
                              </w:r>
                            </w:hyperlink>
                          </w:p>
                          <w:p w14:paraId="0ABB29D2" w14:textId="77777777" w:rsidR="00DC10E9" w:rsidRDefault="00DC10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3A0522" id="_x0000_t202" coordsize="21600,21600" o:spt="202" path="m,l,21600r21600,l21600,xe">
                <v:stroke joinstyle="miter"/>
                <v:path gradientshapeok="t" o:connecttype="rect"/>
              </v:shapetype>
              <v:shape id="Text Box 3" o:spid="_x0000_s1026" type="#_x0000_t202" style="position:absolute;margin-left:269.4pt;margin-top:222.5pt;width:174pt;height:54.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" filled="f" stroked="f" strokeweight=".5pt">
                <v:textbox>
                  <w:txbxContent>
                    <w:p w14:paraId="7480C2B9" w14:textId="47DBBA01" w:rsidR="00DC10E9" w:rsidRPr="00DC10E9" w:rsidRDefault="0069522C" w:rsidP="00DC10E9">
                      <w:pPr>
                        <w:spacing w:line="360" w:lineRule="auto"/>
                        <w:rPr>
                          <w:color w:val="FFFFFF" w:themeColor="background1"/>
                          <w:sz w:val="14"/>
                          <w:u w:val="single"/>
                        </w:rPr>
                      </w:pPr>
                      <w:r>
                        <w:rPr>
                          <w:color w:val="FFFFFF" w:themeColor="background1"/>
                          <w:sz w:val="14"/>
                        </w:rPr>
                        <w:t xml:space="preserve">Figure 1- </w:t>
                      </w:r>
                      <w:r w:rsidR="00DC10E9" w:rsidRPr="00DC10E9">
                        <w:rPr>
                          <w:color w:val="FFFFFF" w:themeColor="background1"/>
                          <w:sz w:val="14"/>
                        </w:rPr>
                        <w:t xml:space="preserve">Nefertiti smiting the enemy. Available at URL: </w:t>
                      </w:r>
                      <w:hyperlink r:id="rId8" w:history="1">
                        <w:r w:rsidR="00DC10E9" w:rsidRPr="00DC10E9">
                          <w:rPr>
                            <w:rStyle w:val="Hyperlink"/>
                            <w:color w:val="FFFFFF" w:themeColor="background1"/>
                            <w:sz w:val="14"/>
                          </w:rPr>
                          <w:t>http://gorffennol.swansea.ac.uk/wp-content/uploads/2016/01/8-masculine-iconography.pdf</w:t>
                        </w:r>
                      </w:hyperlink>
                    </w:p>
                    <w:p w14:paraId="0ABB29D2" w14:textId="77777777" w:rsidR="00DC10E9" w:rsidRDefault="00DC10E9"/>
                  </w:txbxContent>
                </v:textbox>
                <w10:wrap anchorx="margin"/>
              </v:shape>
            </w:pict>
          </mc:Fallback>
        </mc:AlternateContent>
      </w:r>
      <w:r w:rsidR="00CD7AF8">
        <w:rPr>
          <w:noProof/>
          <w:lang w:eastAsia="en-GB"/>
        </w:rPr>
        <w:drawing>
          <wp:anchor distT="0" distB="0" distL="114300" distR="114300" simplePos="0" relativeHeight="251658240" behindDoc="1" locked="0" layoutInCell="1" allowOverlap="1" wp14:anchorId="180C08C1" wp14:editId="330FECEC">
            <wp:simplePos x="0" y="0"/>
            <wp:positionH relativeFrom="column">
              <wp:posOffset>3451860</wp:posOffset>
            </wp:positionH>
            <wp:positionV relativeFrom="paragraph">
              <wp:posOffset>1073150</wp:posOffset>
            </wp:positionV>
            <wp:extent cx="2153285" cy="2460625"/>
            <wp:effectExtent l="0" t="0" r="0" b="0"/>
            <wp:wrapTight wrapText="bothSides">
              <wp:wrapPolygon edited="0">
                <wp:start x="0" y="0"/>
                <wp:lineTo x="0" y="21405"/>
                <wp:lineTo x="21403" y="21405"/>
                <wp:lineTo x="214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rfertiti.jpg"/>
                    <pic:cNvPicPr/>
                  </pic:nvPicPr>
                  <pic:blipFill>
                    <a:blip r:embed="rId9">
                      <a:extLst>
                        <a:ext uri="{28A0092B-C50C-407E-A947-70E740481C1C}">
                          <a14:useLocalDpi xmlns:a14="http://schemas.microsoft.com/office/drawing/2010/main" val="0"/>
                        </a:ext>
                      </a:extLst>
                    </a:blip>
                    <a:stretch>
                      <a:fillRect/>
                    </a:stretch>
                  </pic:blipFill>
                  <pic:spPr>
                    <a:xfrm>
                      <a:off x="0" y="0"/>
                      <a:ext cx="2153285" cy="2460625"/>
                    </a:xfrm>
                    <a:prstGeom prst="rect">
                      <a:avLst/>
                    </a:prstGeom>
                  </pic:spPr>
                </pic:pic>
              </a:graphicData>
            </a:graphic>
          </wp:anchor>
        </w:drawing>
      </w:r>
      <w:r w:rsidR="00E05A3C">
        <w:t xml:space="preserve">Although the </w:t>
      </w:r>
      <w:r w:rsidR="00F93214">
        <w:t>G</w:t>
      </w:r>
      <w:r w:rsidR="00E05A3C">
        <w:t>od</w:t>
      </w:r>
      <w:r w:rsidR="00F93214">
        <w:t>’</w:t>
      </w:r>
      <w:r w:rsidR="00E05A3C">
        <w:t xml:space="preserve">s </w:t>
      </w:r>
      <w:r w:rsidR="00F93214">
        <w:t>W</w:t>
      </w:r>
      <w:r w:rsidR="00E05A3C">
        <w:t>i</w:t>
      </w:r>
      <w:r w:rsidR="00F93214">
        <w:t>f</w:t>
      </w:r>
      <w:r w:rsidR="00E05A3C">
        <w:t xml:space="preserve">e of Amun was one of the most </w:t>
      </w:r>
      <w:r w:rsidR="00D52FBD">
        <w:t xml:space="preserve">prestigious </w:t>
      </w:r>
      <w:r w:rsidR="00E05A3C">
        <w:t>roles for royal women within the 18</w:t>
      </w:r>
      <w:r w:rsidR="00E05A3C" w:rsidRPr="00965777">
        <w:rPr>
          <w:vertAlign w:val="superscript"/>
        </w:rPr>
        <w:t>th</w:t>
      </w:r>
      <w:r w:rsidR="00E05A3C">
        <w:t xml:space="preserve"> </w:t>
      </w:r>
      <w:r w:rsidR="009166E0">
        <w:t>Dynasty</w:t>
      </w:r>
      <w:r w:rsidR="00E05A3C">
        <w:t>, with the turn of the Amarna period, the role of royal woman changed and progressed</w:t>
      </w:r>
      <w:r w:rsidR="00F93214">
        <w:t xml:space="preserve">, </w:t>
      </w:r>
      <w:r w:rsidR="00E05A3C">
        <w:t>much like many aspects of the Amar</w:t>
      </w:r>
      <w:r w:rsidR="00F93214">
        <w:t>n</w:t>
      </w:r>
      <w:r w:rsidR="00E05A3C">
        <w:t xml:space="preserve">a period. The role of the </w:t>
      </w:r>
      <w:r w:rsidR="00F93214">
        <w:t>G</w:t>
      </w:r>
      <w:r w:rsidR="00E05A3C">
        <w:t xml:space="preserve">od’s </w:t>
      </w:r>
      <w:r w:rsidR="00F93214">
        <w:t>W</w:t>
      </w:r>
      <w:r w:rsidR="00E05A3C">
        <w:t>ife of Amun was g</w:t>
      </w:r>
      <w:r w:rsidR="00936496">
        <w:t>iven a new name, the Great Royal W</w:t>
      </w:r>
      <w:r w:rsidR="00E05A3C">
        <w:t xml:space="preserve">ife, which in the Amarna period had a greater importance than the </w:t>
      </w:r>
      <w:r w:rsidR="00F93214">
        <w:t>G</w:t>
      </w:r>
      <w:r w:rsidR="00E05A3C">
        <w:t xml:space="preserve">od’s </w:t>
      </w:r>
      <w:r w:rsidR="00F93214">
        <w:t>W</w:t>
      </w:r>
      <w:r w:rsidR="00E05A3C">
        <w:t>ife of Amun as it was believed to be equal to the pharaoh</w:t>
      </w:r>
      <w:r w:rsidR="00936496">
        <w:t xml:space="preserve">. As in many </w:t>
      </w:r>
      <w:r w:rsidR="00EA6ABE">
        <w:t xml:space="preserve">aspects throughout </w:t>
      </w:r>
      <w:r w:rsidR="00936496">
        <w:t>the Amarna period it can be suggested that the Great Royal W</w:t>
      </w:r>
      <w:r w:rsidR="00E05A3C">
        <w:t>ife could perform rituals</w:t>
      </w:r>
      <w:r w:rsidR="00936496">
        <w:t xml:space="preserve"> alone</w:t>
      </w:r>
      <w:r w:rsidR="00E05A3C">
        <w:t xml:space="preserve"> without the king being present.</w:t>
      </w:r>
    </w:p>
    <w:p w14:paraId="42DA7216" w14:textId="35BA1AF9" w:rsidR="00A52F7E" w:rsidRDefault="00F33306" w:rsidP="00730CC1">
      <w:pPr>
        <w:spacing w:line="360" w:lineRule="auto"/>
      </w:pPr>
      <w:r>
        <w:t xml:space="preserve"> Furthermore, during the</w:t>
      </w:r>
      <w:r w:rsidR="00E353CD">
        <w:t xml:space="preserve"> Amarna period many royal women are given the role of Great royal wife, however the most notable is Queen Nefertiti. Nefertiti was the first wife of Akhenaten and had significant power unlike many queens before her.</w:t>
      </w:r>
      <w:r w:rsidR="00E05A3C">
        <w:t xml:space="preserve"> </w:t>
      </w:r>
      <w:r w:rsidR="00580E23">
        <w:t xml:space="preserve">In many depictions of the royal couple </w:t>
      </w:r>
      <w:r w:rsidR="00580E23">
        <w:lastRenderedPageBreak/>
        <w:t>we can see Nefertiti making offerings to the god Aten which is highly unusual for many queens of the 18</w:t>
      </w:r>
      <w:r w:rsidR="00580E23" w:rsidRPr="00580E23">
        <w:rPr>
          <w:vertAlign w:val="superscript"/>
        </w:rPr>
        <w:t>th</w:t>
      </w:r>
      <w:r w:rsidR="00580E23">
        <w:t xml:space="preserve"> dynasty as it is usual for queens to assist in the ritual rather than activity take part. </w:t>
      </w:r>
      <w:r w:rsidR="00171C06">
        <w:rPr>
          <w:rStyle w:val="FootnoteReference"/>
        </w:rPr>
        <w:footnoteReference w:id="10"/>
      </w:r>
      <w:r w:rsidR="00DD4016">
        <w:t xml:space="preserve">Another </w:t>
      </w:r>
      <w:r w:rsidR="0042010F">
        <w:t xml:space="preserve">important </w:t>
      </w:r>
      <w:r w:rsidR="00DD4016">
        <w:t xml:space="preserve">role held by the </w:t>
      </w:r>
      <w:r w:rsidR="00B30D05">
        <w:t>G</w:t>
      </w:r>
      <w:r w:rsidR="00DD4016">
        <w:t xml:space="preserve">reat </w:t>
      </w:r>
      <w:r w:rsidR="00B30D05">
        <w:t>R</w:t>
      </w:r>
      <w:r w:rsidR="00DD4016">
        <w:t xml:space="preserve">oyal </w:t>
      </w:r>
      <w:r w:rsidR="00B30D05">
        <w:t>W</w:t>
      </w:r>
      <w:r w:rsidR="00DD4016">
        <w:t>ife in Amarna was not only a religious function but one of a political nature as well</w:t>
      </w:r>
      <w:r w:rsidR="00B30D05">
        <w:t>:</w:t>
      </w:r>
      <w:r w:rsidR="00DD4016">
        <w:t xml:space="preserve"> we have some examples of Nefertiti</w:t>
      </w:r>
      <w:r w:rsidR="00B30D05">
        <w:t xml:space="preserve"> </w:t>
      </w:r>
      <w:r w:rsidR="00DD4016">
        <w:t xml:space="preserve">carrying out duties that </w:t>
      </w:r>
      <w:r w:rsidR="00B30D05">
        <w:t xml:space="preserve">were </w:t>
      </w:r>
      <w:r w:rsidR="00DD4016">
        <w:t xml:space="preserve">traditionally equated only </w:t>
      </w:r>
      <w:r w:rsidR="00B30D05">
        <w:t xml:space="preserve">with </w:t>
      </w:r>
      <w:r w:rsidR="00DD4016">
        <w:t>the pharaoh such as smiting of the ene</w:t>
      </w:r>
      <w:r w:rsidR="00CD7AF8">
        <w:t xml:space="preserve">my which we can see in figure 1. </w:t>
      </w:r>
      <w:r w:rsidR="00DD4016">
        <w:t>This scene suggests that Nefertiti</w:t>
      </w:r>
      <w:r w:rsidR="00B30D05">
        <w:t xml:space="preserve">, </w:t>
      </w:r>
      <w:r w:rsidR="00DD4016">
        <w:t xml:space="preserve">although a </w:t>
      </w:r>
      <w:r w:rsidR="00B30D05">
        <w:t>Q</w:t>
      </w:r>
      <w:r w:rsidR="00DD4016">
        <w:t xml:space="preserve">ueen or a </w:t>
      </w:r>
      <w:r w:rsidR="00B30D05">
        <w:t>G</w:t>
      </w:r>
      <w:r w:rsidR="00DD4016">
        <w:t xml:space="preserve">reat </w:t>
      </w:r>
      <w:r w:rsidR="00B30D05">
        <w:t>R</w:t>
      </w:r>
      <w:r w:rsidR="00DD4016">
        <w:t xml:space="preserve">oyal </w:t>
      </w:r>
      <w:r w:rsidR="00B30D05">
        <w:t>W</w:t>
      </w:r>
      <w:r w:rsidR="00DD4016">
        <w:t>ife in her own right</w:t>
      </w:r>
      <w:r w:rsidR="00B30D05">
        <w:t>,</w:t>
      </w:r>
      <w:r w:rsidR="00DD4016">
        <w:t xml:space="preserve"> had the privileges and respect that equalled her husband the pharaoh</w:t>
      </w:r>
      <w:r w:rsidR="00B30D05">
        <w:t>.</w:t>
      </w:r>
      <w:r w:rsidR="00DD4016">
        <w:t xml:space="preserve"> </w:t>
      </w:r>
      <w:r w:rsidR="00B30D05">
        <w:t>T</w:t>
      </w:r>
      <w:r w:rsidR="00DD4016">
        <w:t>his scen</w:t>
      </w:r>
      <w:r w:rsidR="00B30D05">
        <w:t>ario</w:t>
      </w:r>
      <w:r w:rsidR="00DD4016">
        <w:t xml:space="preserve"> is unique to the Amarna period</w:t>
      </w:r>
      <w:r w:rsidR="00B30D05">
        <w:t>:</w:t>
      </w:r>
      <w:r w:rsidR="00DD4016">
        <w:t xml:space="preserve"> no other period of Egyptian history shows such power given to royal women. </w:t>
      </w:r>
      <w:r w:rsidR="000503C4">
        <w:t>It can be argued within the Amarna p</w:t>
      </w:r>
      <w:r w:rsidR="007A70B6">
        <w:t>eriod that it was the royal women that controlled the political running of the country</w:t>
      </w:r>
      <w:r w:rsidR="00B30D05">
        <w:t xml:space="preserve"> </w:t>
      </w:r>
      <w:r w:rsidR="007A70B6">
        <w:t xml:space="preserve">as it seems Akhenaten was only concerned with the religious </w:t>
      </w:r>
      <w:r w:rsidR="00B30D05">
        <w:t>situation,</w:t>
      </w:r>
      <w:r w:rsidR="007A70B6">
        <w:t xml:space="preserve"> and this fact in itself is significantly unusual in Egyptian history as for the first time royal women ruling as queens have equal</w:t>
      </w:r>
      <w:r w:rsidR="00B30D05">
        <w:t>,</w:t>
      </w:r>
      <w:r w:rsidR="007A70B6">
        <w:t xml:space="preserve"> </w:t>
      </w:r>
      <w:r w:rsidR="00B30D05">
        <w:t xml:space="preserve">and </w:t>
      </w:r>
      <w:r w:rsidR="007A70B6">
        <w:t xml:space="preserve">sometimes maybe more power than the pharaoh. </w:t>
      </w:r>
    </w:p>
    <w:p w14:paraId="51579586" w14:textId="33972183" w:rsidR="00D92B6B" w:rsidRDefault="00BE2D40" w:rsidP="00E05A3C">
      <w:pPr>
        <w:spacing w:line="360" w:lineRule="auto"/>
      </w:pPr>
      <w:r>
        <w:rPr>
          <w:noProof/>
          <w:lang w:eastAsia="en-GB"/>
        </w:rPr>
        <mc:AlternateContent>
          <mc:Choice Requires="wps">
            <w:drawing>
              <wp:anchor distT="0" distB="0" distL="114300" distR="114300" simplePos="0" relativeHeight="251665408" behindDoc="0" locked="0" layoutInCell="1" allowOverlap="1" wp14:anchorId="616D4694" wp14:editId="64CFC344">
                <wp:simplePos x="0" y="0"/>
                <wp:positionH relativeFrom="margin">
                  <wp:align>right</wp:align>
                </wp:positionH>
                <wp:positionV relativeFrom="paragraph">
                  <wp:posOffset>5351145</wp:posOffset>
                </wp:positionV>
                <wp:extent cx="2887980" cy="55626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87980" cy="556260"/>
                        </a:xfrm>
                        <a:prstGeom prst="rect">
                          <a:avLst/>
                        </a:prstGeom>
                        <a:noFill/>
                        <a:ln w="6350">
                          <a:noFill/>
                        </a:ln>
                      </wps:spPr>
                      <wps:txbx>
                        <w:txbxContent>
                          <w:p w14:paraId="3CE95D2E" w14:textId="0C31D69A" w:rsidR="00DC10E9" w:rsidRPr="00DC10E9" w:rsidRDefault="00B75F79" w:rsidP="00DC10E9">
                            <w:pPr>
                              <w:spacing w:line="360" w:lineRule="auto"/>
                              <w:rPr>
                                <w:sz w:val="14"/>
                                <w:szCs w:val="16"/>
                                <w:u w:val="single"/>
                              </w:rPr>
                            </w:pPr>
                            <w:r>
                              <w:rPr>
                                <w:sz w:val="14"/>
                                <w:szCs w:val="16"/>
                              </w:rPr>
                              <w:t xml:space="preserve">Figure 3- </w:t>
                            </w:r>
                            <w:r w:rsidR="00DC10E9" w:rsidRPr="00DC10E9">
                              <w:rPr>
                                <w:sz w:val="14"/>
                                <w:szCs w:val="16"/>
                              </w:rPr>
                              <w:t xml:space="preserve">Tiye depicted twice as sphinx at Sedeniga. Available at URL: </w:t>
                            </w:r>
                            <w:hyperlink r:id="rId10" w:history="1">
                              <w:r w:rsidR="00DC10E9" w:rsidRPr="00DC10E9">
                                <w:rPr>
                                  <w:rStyle w:val="Hyperlink"/>
                                  <w:color w:val="auto"/>
                                  <w:sz w:val="14"/>
                                  <w:szCs w:val="16"/>
                                </w:rPr>
                                <w:t>http://gorffennol.swansea.ac.uk/wp-content/uploads/2016/01/8-masculine-iconography.pdf</w:t>
                              </w:r>
                            </w:hyperlink>
                          </w:p>
                          <w:p w14:paraId="5FA89496" w14:textId="77777777" w:rsidR="00DC10E9" w:rsidRDefault="00DC10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D4694" id="Text Box 6" o:spid="_x0000_s1027" type="#_x0000_t202" style="position:absolute;margin-left:176.2pt;margin-top:421.35pt;width:227.4pt;height:43.8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" filled="f" stroked="f" strokeweight=".5pt">
                <v:textbox>
                  <w:txbxContent>
                    <w:p w14:paraId="3CE95D2E" w14:textId="0C31D69A" w:rsidR="00DC10E9" w:rsidRPr="00DC10E9" w:rsidRDefault="00B75F79" w:rsidP="00DC10E9">
                      <w:pPr>
                        <w:spacing w:line="360" w:lineRule="auto"/>
                        <w:rPr>
                          <w:sz w:val="14"/>
                          <w:szCs w:val="16"/>
                          <w:u w:val="single"/>
                        </w:rPr>
                      </w:pPr>
                      <w:r>
                        <w:rPr>
                          <w:sz w:val="14"/>
                          <w:szCs w:val="16"/>
                        </w:rPr>
                        <w:t xml:space="preserve">Figure 3- </w:t>
                      </w:r>
                      <w:r w:rsidR="00DC10E9" w:rsidRPr="00DC10E9">
                        <w:rPr>
                          <w:sz w:val="14"/>
                          <w:szCs w:val="16"/>
                        </w:rPr>
                        <w:t xml:space="preserve">Tiye depicted twice as sphinx at Sedeniga. Available at URL: </w:t>
                      </w:r>
                      <w:hyperlink r:id="rId11" w:history="1">
                        <w:r w:rsidR="00DC10E9" w:rsidRPr="00DC10E9">
                          <w:rPr>
                            <w:rStyle w:val="Hyperlink"/>
                            <w:color w:val="auto"/>
                            <w:sz w:val="14"/>
                            <w:szCs w:val="16"/>
                          </w:rPr>
                          <w:t>http://gorffennol.swansea.ac.uk/wp-content/uploads/2016/01/8-masculine-iconography.pdf</w:t>
                        </w:r>
                      </w:hyperlink>
                    </w:p>
                    <w:p w14:paraId="5FA89496" w14:textId="77777777" w:rsidR="00DC10E9" w:rsidRDefault="00DC10E9"/>
                  </w:txbxContent>
                </v:textbox>
                <w10:wrap anchorx="margin"/>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24CEB5C" wp14:editId="2C31B422">
                <wp:simplePos x="0" y="0"/>
                <wp:positionH relativeFrom="column">
                  <wp:posOffset>-152400</wp:posOffset>
                </wp:positionH>
                <wp:positionV relativeFrom="paragraph">
                  <wp:posOffset>3308985</wp:posOffset>
                </wp:positionV>
                <wp:extent cx="1691640" cy="51054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91640" cy="510540"/>
                        </a:xfrm>
                        <a:prstGeom prst="rect">
                          <a:avLst/>
                        </a:prstGeom>
                        <a:noFill/>
                        <a:ln w="6350">
                          <a:noFill/>
                        </a:ln>
                      </wps:spPr>
                      <wps:txbx>
                        <w:txbxContent>
                          <w:p w14:paraId="34490C8F" w14:textId="340E3BD2" w:rsidR="00DC10E9" w:rsidRPr="00DC10E9" w:rsidRDefault="00B75F79">
                            <w:pPr>
                              <w:rPr>
                                <w:color w:val="FFFFFF" w:themeColor="background1"/>
                                <w:sz w:val="14"/>
                              </w:rPr>
                            </w:pPr>
                            <w:r>
                              <w:rPr>
                                <w:color w:val="FFFFFF" w:themeColor="background1"/>
                                <w:sz w:val="14"/>
                              </w:rPr>
                              <w:t xml:space="preserve">Figure 2- </w:t>
                            </w:r>
                            <w:r w:rsidR="00DC10E9" w:rsidRPr="00DC10E9">
                              <w:rPr>
                                <w:color w:val="FFFFFF" w:themeColor="background1"/>
                                <w:sz w:val="14"/>
                              </w:rPr>
                              <w:t xml:space="preserve">Bust of Tiye, </w:t>
                            </w:r>
                            <w:proofErr w:type="spellStart"/>
                            <w:r w:rsidR="00DC10E9" w:rsidRPr="00DC10E9">
                              <w:rPr>
                                <w:color w:val="FFFFFF" w:themeColor="background1"/>
                                <w:sz w:val="14"/>
                              </w:rPr>
                              <w:t>Agyptisches</w:t>
                            </w:r>
                            <w:proofErr w:type="spellEnd"/>
                            <w:r w:rsidR="00DC10E9" w:rsidRPr="00DC10E9">
                              <w:rPr>
                                <w:color w:val="FFFFFF" w:themeColor="background1"/>
                                <w:sz w:val="14"/>
                              </w:rPr>
                              <w:t xml:space="preserve"> Museum, Berlin. Available at URL: https://en.m.wikipedia.org/wiki/Tiye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CEB5C" id="Text Box 5" o:spid="_x0000_s1028" type="#_x0000_t202" style="position:absolute;margin-left:-12pt;margin-top:260.55pt;width:133.2pt;height:4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" filled="f" stroked="f" strokeweight=".5pt">
                <v:textbox>
                  <w:txbxContent>
                    <w:p w14:paraId="34490C8F" w14:textId="340E3BD2" w:rsidR="00DC10E9" w:rsidRPr="00DC10E9" w:rsidRDefault="00B75F79">
                      <w:pPr>
                        <w:rPr>
                          <w:color w:val="FFFFFF" w:themeColor="background1"/>
                          <w:sz w:val="14"/>
                        </w:rPr>
                      </w:pPr>
                      <w:r>
                        <w:rPr>
                          <w:color w:val="FFFFFF" w:themeColor="background1"/>
                          <w:sz w:val="14"/>
                        </w:rPr>
                        <w:t xml:space="preserve">Figure 2- </w:t>
                      </w:r>
                      <w:r w:rsidR="00DC10E9" w:rsidRPr="00DC10E9">
                        <w:rPr>
                          <w:color w:val="FFFFFF" w:themeColor="background1"/>
                          <w:sz w:val="14"/>
                        </w:rPr>
                        <w:t xml:space="preserve">Bust of Tiye, </w:t>
                      </w:r>
                      <w:proofErr w:type="spellStart"/>
                      <w:r w:rsidR="00DC10E9" w:rsidRPr="00DC10E9">
                        <w:rPr>
                          <w:color w:val="FFFFFF" w:themeColor="background1"/>
                          <w:sz w:val="14"/>
                        </w:rPr>
                        <w:t>Agyptisches</w:t>
                      </w:r>
                      <w:proofErr w:type="spellEnd"/>
                      <w:r w:rsidR="00DC10E9" w:rsidRPr="00DC10E9">
                        <w:rPr>
                          <w:color w:val="FFFFFF" w:themeColor="background1"/>
                          <w:sz w:val="14"/>
                        </w:rPr>
                        <w:t xml:space="preserve"> Museum, Berlin. Available at URL: https://en.m.wikipedia.org/wiki/Tiye</w:t>
                      </w:r>
                    </w:p>
                  </w:txbxContent>
                </v:textbox>
              </v:shape>
            </w:pict>
          </mc:Fallback>
        </mc:AlternateContent>
      </w:r>
      <w:r w:rsidR="00B72273">
        <w:rPr>
          <w:noProof/>
          <w:lang w:eastAsia="en-GB"/>
        </w:rPr>
        <w:drawing>
          <wp:anchor distT="0" distB="0" distL="114300" distR="114300" simplePos="0" relativeHeight="251662336" behindDoc="1" locked="0" layoutInCell="1" allowOverlap="1" wp14:anchorId="5F701458" wp14:editId="69C96B2D">
            <wp:simplePos x="0" y="0"/>
            <wp:positionH relativeFrom="column">
              <wp:posOffset>-146304</wp:posOffset>
            </wp:positionH>
            <wp:positionV relativeFrom="paragraph">
              <wp:posOffset>278396</wp:posOffset>
            </wp:positionV>
            <wp:extent cx="1645920" cy="3506712"/>
            <wp:effectExtent l="0" t="0" r="5080" b="0"/>
            <wp:wrapTight wrapText="bothSides">
              <wp:wrapPolygon edited="0">
                <wp:start x="0" y="0"/>
                <wp:lineTo x="0" y="21514"/>
                <wp:lineTo x="21500" y="21514"/>
                <wp:lineTo x="2150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45920" cy="3506712"/>
                    </a:xfrm>
                    <a:prstGeom prst="rect">
                      <a:avLst/>
                    </a:prstGeom>
                  </pic:spPr>
                </pic:pic>
              </a:graphicData>
            </a:graphic>
          </wp:anchor>
        </w:drawing>
      </w:r>
      <w:r w:rsidR="00EA688B" w:rsidRPr="00CD7AF8">
        <w:rPr>
          <w:noProof/>
          <w:lang w:eastAsia="en-GB"/>
        </w:rPr>
        <w:drawing>
          <wp:anchor distT="0" distB="0" distL="114300" distR="114300" simplePos="0" relativeHeight="251659264" behindDoc="1" locked="0" layoutInCell="1" allowOverlap="1" wp14:anchorId="6F219D2C" wp14:editId="77979C8A">
            <wp:simplePos x="0" y="0"/>
            <wp:positionH relativeFrom="column">
              <wp:posOffset>2827655</wp:posOffset>
            </wp:positionH>
            <wp:positionV relativeFrom="paragraph">
              <wp:posOffset>3879850</wp:posOffset>
            </wp:positionV>
            <wp:extent cx="2971165" cy="1996440"/>
            <wp:effectExtent l="0" t="0" r="635" b="3810"/>
            <wp:wrapTight wrapText="bothSides">
              <wp:wrapPolygon edited="0">
                <wp:start x="0" y="0"/>
                <wp:lineTo x="0" y="21435"/>
                <wp:lineTo x="21466" y="21435"/>
                <wp:lineTo x="21466" y="0"/>
                <wp:lineTo x="0" y="0"/>
              </wp:wrapPolygon>
            </wp:wrapTight>
            <wp:docPr id="2" name="Picture 2" descr="C:\Users\User\OneDrive\Pictures\Screenshots\2019-06-09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Pictures\Screenshots\2019-06-09 (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1165" cy="1996440"/>
                    </a:xfrm>
                    <a:prstGeom prst="rect">
                      <a:avLst/>
                    </a:prstGeom>
                    <a:noFill/>
                    <a:ln>
                      <a:noFill/>
                    </a:ln>
                  </pic:spPr>
                </pic:pic>
              </a:graphicData>
            </a:graphic>
          </wp:anchor>
        </w:drawing>
      </w:r>
      <w:r w:rsidR="005A3779">
        <w:t>The roles given to</w:t>
      </w:r>
      <w:r w:rsidR="007A70B6">
        <w:t xml:space="preserve"> royal women throughout the </w:t>
      </w:r>
      <w:r w:rsidR="005A3779">
        <w:t>entirety</w:t>
      </w:r>
      <w:r w:rsidR="007A70B6">
        <w:t xml:space="preserve"> of the 18</w:t>
      </w:r>
      <w:r w:rsidR="007A70B6" w:rsidRPr="007A70B6">
        <w:rPr>
          <w:vertAlign w:val="superscript"/>
        </w:rPr>
        <w:t>th</w:t>
      </w:r>
      <w:r w:rsidR="007A70B6">
        <w:t xml:space="preserve"> </w:t>
      </w:r>
      <w:r w:rsidR="009166E0">
        <w:t>Dynasty</w:t>
      </w:r>
      <w:r w:rsidR="007A70B6">
        <w:t xml:space="preserve"> including the Amarna period is very significant and powerful as in</w:t>
      </w:r>
      <w:r w:rsidR="00412B6C">
        <w:t xml:space="preserve"> many ways</w:t>
      </w:r>
      <w:r w:rsidR="00740065">
        <w:t xml:space="preserve"> </w:t>
      </w:r>
      <w:r w:rsidR="00B30D05">
        <w:t xml:space="preserve">they show </w:t>
      </w:r>
      <w:r w:rsidR="00740065">
        <w:t>a</w:t>
      </w:r>
      <w:r w:rsidR="005A3779">
        <w:t xml:space="preserve"> step</w:t>
      </w:r>
      <w:r w:rsidR="00412B6C">
        <w:t xml:space="preserve"> forward for </w:t>
      </w:r>
      <w:r w:rsidR="005A3779">
        <w:t xml:space="preserve">the gain of </w:t>
      </w:r>
      <w:r w:rsidR="00412B6C">
        <w:t xml:space="preserve">power and the maintaining of Egypt’s greatness. </w:t>
      </w:r>
      <w:r w:rsidR="00E05A3C">
        <w:t>Queen Tiye</w:t>
      </w:r>
      <w:r w:rsidR="00B30D05">
        <w:t>,</w:t>
      </w:r>
      <w:r w:rsidR="00E05A3C">
        <w:t xml:space="preserve"> the wife of Amenhotep II</w:t>
      </w:r>
      <w:r w:rsidR="00740065">
        <w:t>I</w:t>
      </w:r>
      <w:r w:rsidR="00B30D05">
        <w:t>,</w:t>
      </w:r>
      <w:r w:rsidR="007B037C">
        <w:t xml:space="preserve"> was </w:t>
      </w:r>
      <w:r w:rsidR="00B30D05">
        <w:t xml:space="preserve">the </w:t>
      </w:r>
      <w:r w:rsidR="007B037C">
        <w:t xml:space="preserve">last royal women in a position of power before the beginning of the </w:t>
      </w:r>
      <w:r w:rsidR="007037D7">
        <w:t>Amarna period.</w:t>
      </w:r>
      <w:r w:rsidR="005A3779">
        <w:t xml:space="preserve"> Although Queen Tiye was the mother of Akhenaten and seems to have </w:t>
      </w:r>
      <w:r w:rsidR="00BF556A">
        <w:t>had so</w:t>
      </w:r>
      <w:r w:rsidR="00B30D05">
        <w:t>me</w:t>
      </w:r>
      <w:r w:rsidR="005A3779">
        <w:t xml:space="preserve"> input into the creation </w:t>
      </w:r>
      <w:r w:rsidR="00BF556A">
        <w:t>and maintaining o</w:t>
      </w:r>
      <w:r w:rsidR="005A3779">
        <w:t xml:space="preserve">f </w:t>
      </w:r>
      <w:proofErr w:type="spellStart"/>
      <w:r w:rsidR="005A3779">
        <w:t>Akhet-Aten</w:t>
      </w:r>
      <w:proofErr w:type="spellEnd"/>
      <w:r w:rsidR="005A3779">
        <w:t>, the majority of her power began beforehand during the rule of her husband.</w:t>
      </w:r>
      <w:r w:rsidR="00BF556A">
        <w:t xml:space="preserve"> It could</w:t>
      </w:r>
      <w:r w:rsidR="00B30D05">
        <w:t xml:space="preserve"> </w:t>
      </w:r>
      <w:r w:rsidR="00BF556A">
        <w:t xml:space="preserve">also be argued that Amenhotep III was </w:t>
      </w:r>
      <w:r w:rsidR="00CA68A5">
        <w:t xml:space="preserve">important </w:t>
      </w:r>
      <w:r w:rsidR="00BF556A">
        <w:t>due to the influenc</w:t>
      </w:r>
      <w:r w:rsidR="00CA68A5">
        <w:t>e</w:t>
      </w:r>
      <w:r w:rsidR="00BF556A">
        <w:t xml:space="preserve"> </w:t>
      </w:r>
      <w:r w:rsidR="00B30D05">
        <w:t>T</w:t>
      </w:r>
      <w:r w:rsidR="00BF556A">
        <w:t>iye posses</w:t>
      </w:r>
      <w:r w:rsidR="00CA68A5">
        <w:t>sed</w:t>
      </w:r>
      <w:r w:rsidR="00BF556A">
        <w:t xml:space="preserve"> </w:t>
      </w:r>
      <w:r w:rsidR="00CA68A5">
        <w:t>with</w:t>
      </w:r>
      <w:r w:rsidR="00BF556A">
        <w:t xml:space="preserve"> the Egyptian people both politically and religiously.</w:t>
      </w:r>
      <w:r w:rsidR="00BF556A">
        <w:rPr>
          <w:rStyle w:val="FootnoteReference"/>
        </w:rPr>
        <w:footnoteReference w:id="11"/>
      </w:r>
      <w:r w:rsidR="005A3779">
        <w:t xml:space="preserve"> </w:t>
      </w:r>
      <w:r w:rsidR="007037D7">
        <w:t xml:space="preserve"> She</w:t>
      </w:r>
      <w:r w:rsidR="005A3779">
        <w:t xml:space="preserve"> </w:t>
      </w:r>
      <w:r w:rsidR="00E05A3C">
        <w:t>held a very unique position within the 18</w:t>
      </w:r>
      <w:r w:rsidR="00E05A3C" w:rsidRPr="00F2058F">
        <w:rPr>
          <w:vertAlign w:val="superscript"/>
        </w:rPr>
        <w:t>th</w:t>
      </w:r>
      <w:r w:rsidR="00E05A3C">
        <w:t xml:space="preserve"> </w:t>
      </w:r>
      <w:r w:rsidR="009166E0">
        <w:t>Dynasty</w:t>
      </w:r>
      <w:r w:rsidR="00CA68A5">
        <w:t>:</w:t>
      </w:r>
      <w:r w:rsidR="00E05A3C">
        <w:t xml:space="preserve"> </w:t>
      </w:r>
      <w:r w:rsidR="005A3779">
        <w:t xml:space="preserve">although </w:t>
      </w:r>
      <w:r w:rsidR="00E05A3C">
        <w:t xml:space="preserve">she </w:t>
      </w:r>
      <w:r w:rsidR="007037D7">
        <w:t xml:space="preserve">is not referenced in any evidence to </w:t>
      </w:r>
      <w:r w:rsidR="00CA68A5">
        <w:t xml:space="preserve">have </w:t>
      </w:r>
      <w:r w:rsidR="007037D7">
        <w:t>be</w:t>
      </w:r>
      <w:r w:rsidR="00CA68A5">
        <w:t>en</w:t>
      </w:r>
      <w:r w:rsidR="007037D7">
        <w:t xml:space="preserve"> given the specific title of </w:t>
      </w:r>
      <w:r w:rsidR="00CA68A5">
        <w:t>G</w:t>
      </w:r>
      <w:r w:rsidR="007037D7">
        <w:t>od</w:t>
      </w:r>
      <w:r w:rsidR="00CA68A5">
        <w:t>’</w:t>
      </w:r>
      <w:r w:rsidR="007037D7">
        <w:t xml:space="preserve">s </w:t>
      </w:r>
      <w:r w:rsidR="00CA68A5">
        <w:t>W</w:t>
      </w:r>
      <w:r w:rsidR="007037D7">
        <w:t>ife of Amun</w:t>
      </w:r>
      <w:r w:rsidR="00CA68A5">
        <w:t>,</w:t>
      </w:r>
      <w:r w:rsidR="00907D63">
        <w:t xml:space="preserve"> she </w:t>
      </w:r>
      <w:r w:rsidR="00CA68A5">
        <w:t xml:space="preserve">was </w:t>
      </w:r>
      <w:r w:rsidR="00907D63">
        <w:t>however given the name</w:t>
      </w:r>
      <w:r w:rsidR="007037D7">
        <w:t xml:space="preserve"> </w:t>
      </w:r>
      <w:r w:rsidR="00E05A3C">
        <w:t xml:space="preserve">the </w:t>
      </w:r>
      <w:r w:rsidR="00CA68A5">
        <w:t>G</w:t>
      </w:r>
      <w:r w:rsidR="00E05A3C">
        <w:t xml:space="preserve">reat </w:t>
      </w:r>
      <w:r w:rsidR="00CA68A5">
        <w:t>R</w:t>
      </w:r>
      <w:r w:rsidR="00E05A3C">
        <w:t xml:space="preserve">oyal </w:t>
      </w:r>
      <w:r w:rsidR="00CA68A5">
        <w:t>W</w:t>
      </w:r>
      <w:r w:rsidR="00E05A3C">
        <w:t xml:space="preserve">ife in her lifetime. </w:t>
      </w:r>
      <w:r w:rsidR="00907D63">
        <w:t xml:space="preserve">Although she did not have the </w:t>
      </w:r>
      <w:r w:rsidR="00CA68A5">
        <w:t xml:space="preserve">former </w:t>
      </w:r>
      <w:r w:rsidR="00907D63">
        <w:t>title she is depicted in m</w:t>
      </w:r>
      <w:r w:rsidR="00DC5699">
        <w:t>an</w:t>
      </w:r>
      <w:r w:rsidR="00907D63">
        <w:t xml:space="preserve">y ways </w:t>
      </w:r>
      <w:r w:rsidR="00D150AC">
        <w:t xml:space="preserve">to have completed similar if not greater </w:t>
      </w:r>
      <w:r w:rsidR="00BA2D3C">
        <w:t xml:space="preserve">roles than the queens that came before her. </w:t>
      </w:r>
      <w:r w:rsidR="00412B6C">
        <w:t xml:space="preserve">She ruled </w:t>
      </w:r>
      <w:r w:rsidR="00412B6C">
        <w:lastRenderedPageBreak/>
        <w:t>alongside her husband in the capital at the time in Thebes</w:t>
      </w:r>
      <w:r w:rsidR="00CA68A5">
        <w:t>,</w:t>
      </w:r>
      <w:r w:rsidR="00412B6C">
        <w:t xml:space="preserve"> </w:t>
      </w:r>
      <w:r w:rsidR="00BA2D3C">
        <w:t>with the majority of evidence depicting Tiye as a queen with connections to Amu</w:t>
      </w:r>
      <w:r w:rsidR="006B265F">
        <w:t>n as seen in figure 2. Another interesting aspect</w:t>
      </w:r>
      <w:r w:rsidR="00A72D8E">
        <w:t xml:space="preserve"> of Queen Tiye is the temples that were built by Amenhotep III.</w:t>
      </w:r>
      <w:r w:rsidR="00415502">
        <w:rPr>
          <w:rStyle w:val="FootnoteReference"/>
        </w:rPr>
        <w:footnoteReference w:id="12"/>
      </w:r>
      <w:r w:rsidR="00A72D8E">
        <w:t xml:space="preserve"> in Nubia a small temple was built onto the Soleb complex at </w:t>
      </w:r>
      <w:proofErr w:type="spellStart"/>
      <w:r w:rsidR="00A72D8E">
        <w:t>Sedeniga</w:t>
      </w:r>
      <w:proofErr w:type="spellEnd"/>
      <w:r w:rsidR="00A72D8E">
        <w:t xml:space="preserve"> and was dedicated to Queen Tiye.</w:t>
      </w:r>
      <w:r w:rsidR="00415502">
        <w:rPr>
          <w:rStyle w:val="FootnoteReference"/>
        </w:rPr>
        <w:footnoteReference w:id="13"/>
      </w:r>
      <w:r w:rsidR="00415502">
        <w:t xml:space="preserve"> In many of the reliefs</w:t>
      </w:r>
      <w:r w:rsidR="00A72D8E">
        <w:t xml:space="preserve"> in this temple</w:t>
      </w:r>
      <w:r w:rsidR="00CA68A5">
        <w:t>, T</w:t>
      </w:r>
      <w:r w:rsidR="00A72D8E">
        <w:t>iye is depicted as a sphinx</w:t>
      </w:r>
      <w:r w:rsidR="00CD7AF8">
        <w:t xml:space="preserve"> (Figure </w:t>
      </w:r>
      <w:r w:rsidR="00BA2D3C">
        <w:t>3</w:t>
      </w:r>
      <w:r w:rsidR="00CD7AF8">
        <w:t>). This is highly unusual as in ancient Egypt the sphinx was seen as</w:t>
      </w:r>
      <w:r w:rsidR="00730CC1">
        <w:t xml:space="preserve"> one of the key representation</w:t>
      </w:r>
      <w:r w:rsidR="00CD7AF8">
        <w:t>s of kingship</w:t>
      </w:r>
      <w:r w:rsidR="00CA68A5">
        <w:t xml:space="preserve">, </w:t>
      </w:r>
      <w:r w:rsidR="00730CC1">
        <w:t>suggesting not only was she a queen in her own right</w:t>
      </w:r>
      <w:r w:rsidR="00CA68A5">
        <w:t>,</w:t>
      </w:r>
      <w:r w:rsidR="00730CC1">
        <w:t xml:space="preserve"> in many ways she was equal to her husband the pharaoh in the duties she performed. </w:t>
      </w:r>
      <w:r w:rsidR="00A72D8E">
        <w:t>Furthermore</w:t>
      </w:r>
      <w:r w:rsidR="00CA68A5">
        <w:t>,</w:t>
      </w:r>
      <w:r w:rsidR="00415502">
        <w:t xml:space="preserve"> this</w:t>
      </w:r>
      <w:r w:rsidR="00FC4895">
        <w:t xml:space="preserve"> depiction being placed in her </w:t>
      </w:r>
      <w:r w:rsidR="00415502">
        <w:t xml:space="preserve">temple in Nubia rather than Egypt is significantly unusual </w:t>
      </w:r>
      <w:r w:rsidR="00CA68A5">
        <w:t xml:space="preserve">and </w:t>
      </w:r>
      <w:r w:rsidR="00415502">
        <w:t xml:space="preserve">implies that although there is a movement away from traditional roles of royal women it could have been met with controversy </w:t>
      </w:r>
      <w:r w:rsidR="00D92B6B">
        <w:t xml:space="preserve">from the people of Ancient Egypt. </w:t>
      </w:r>
    </w:p>
    <w:p w14:paraId="28102639" w14:textId="1D29E3A6" w:rsidR="00A67A41" w:rsidRDefault="0066419D" w:rsidP="00E05A3C">
      <w:pPr>
        <w:spacing w:line="360" w:lineRule="auto"/>
      </w:pPr>
      <w:r>
        <w:t>The only</w:t>
      </w:r>
      <w:r w:rsidR="00E05A3C">
        <w:t xml:space="preserve"> royal woman of </w:t>
      </w:r>
      <w:r w:rsidR="00DD4016">
        <w:t>Amarna</w:t>
      </w:r>
      <w:r w:rsidR="00E05A3C">
        <w:t xml:space="preserve"> that held </w:t>
      </w:r>
      <w:r w:rsidR="00412B6C">
        <w:t>both these</w:t>
      </w:r>
      <w:r w:rsidR="00E05A3C">
        <w:t xml:space="preserve"> significant title</w:t>
      </w:r>
      <w:r w:rsidR="00412B6C">
        <w:t>s</w:t>
      </w:r>
      <w:r w:rsidR="00E05A3C">
        <w:t xml:space="preserve"> was the wife of Tutankhamen, Ankhesenamun</w:t>
      </w:r>
      <w:r w:rsidR="00CA68A5">
        <w:t>,</w:t>
      </w:r>
      <w:r w:rsidR="00E05A3C">
        <w:t xml:space="preserve"> originally named </w:t>
      </w:r>
      <w:proofErr w:type="spellStart"/>
      <w:r w:rsidR="00E05A3C">
        <w:t>Ankhespena</w:t>
      </w:r>
      <w:r w:rsidR="00DD4016">
        <w:t>a</w:t>
      </w:r>
      <w:r w:rsidR="00E05A3C">
        <w:t>ten</w:t>
      </w:r>
      <w:proofErr w:type="spellEnd"/>
      <w:r w:rsidR="00E05A3C">
        <w:t>.</w:t>
      </w:r>
      <w:r w:rsidR="00FC4895">
        <w:rPr>
          <w:rStyle w:val="FootnoteReference"/>
        </w:rPr>
        <w:footnoteReference w:id="14"/>
      </w:r>
      <w:r w:rsidR="00E05A3C">
        <w:t xml:space="preserve"> </w:t>
      </w:r>
      <w:proofErr w:type="spellStart"/>
      <w:r w:rsidR="007A70B6">
        <w:t>Ankhespenaaten</w:t>
      </w:r>
      <w:proofErr w:type="spellEnd"/>
      <w:r w:rsidR="007A70B6">
        <w:t xml:space="preserve"> was the third daughter of Akhenaten and Nefertiti</w:t>
      </w:r>
      <w:r w:rsidR="00CA68A5">
        <w:t>,</w:t>
      </w:r>
      <w:r w:rsidR="00FC4895">
        <w:t xml:space="preserve"> born  in the 7</w:t>
      </w:r>
      <w:r w:rsidR="00FC4895" w:rsidRPr="00FC4895">
        <w:rPr>
          <w:vertAlign w:val="superscript"/>
        </w:rPr>
        <w:t>th</w:t>
      </w:r>
      <w:r w:rsidR="00FC4895">
        <w:t xml:space="preserve"> or 8</w:t>
      </w:r>
      <w:r w:rsidR="00FC4895" w:rsidRPr="00FC4895">
        <w:rPr>
          <w:vertAlign w:val="superscript"/>
        </w:rPr>
        <w:t>th</w:t>
      </w:r>
      <w:r w:rsidR="00FC4895">
        <w:t xml:space="preserve"> regnal year; she</w:t>
      </w:r>
      <w:r w:rsidR="007A70B6">
        <w:t xml:space="preserve"> </w:t>
      </w:r>
      <w:r w:rsidR="00412B6C">
        <w:t>received the title of the Great Royal W</w:t>
      </w:r>
      <w:r w:rsidR="00E05A3C">
        <w:t xml:space="preserve">ife when she </w:t>
      </w:r>
      <w:r w:rsidR="007A70B6">
        <w:t>possibly</w:t>
      </w:r>
      <w:r w:rsidR="00FC4895">
        <w:t xml:space="preserve"> married her father. Moreover, it is possible she</w:t>
      </w:r>
      <w:r w:rsidR="00E05A3C">
        <w:t xml:space="preserve"> took on the religious</w:t>
      </w:r>
      <w:r w:rsidR="00412B6C">
        <w:t xml:space="preserve"> and political</w:t>
      </w:r>
      <w:r w:rsidR="00E05A3C">
        <w:t xml:space="preserve"> duties</w:t>
      </w:r>
      <w:r w:rsidR="00412B6C">
        <w:t xml:space="preserve"> </w:t>
      </w:r>
      <w:r w:rsidR="00FC4895">
        <w:t xml:space="preserve">of royal women </w:t>
      </w:r>
      <w:r w:rsidR="00412B6C">
        <w:t>at Amarna</w:t>
      </w:r>
      <w:r w:rsidR="00FC4895">
        <w:t xml:space="preserve"> </w:t>
      </w:r>
      <w:r w:rsidR="007A70B6">
        <w:t>after both her elder sisters Meritaten an</w:t>
      </w:r>
      <w:r w:rsidR="00FC4895">
        <w:t xml:space="preserve">d </w:t>
      </w:r>
      <w:proofErr w:type="spellStart"/>
      <w:r w:rsidR="00FC4895">
        <w:t>M</w:t>
      </w:r>
      <w:r w:rsidR="00412B6C">
        <w:t>ekatenan</w:t>
      </w:r>
      <w:proofErr w:type="spellEnd"/>
      <w:r w:rsidR="00412B6C">
        <w:t xml:space="preserve"> had done </w:t>
      </w:r>
      <w:r w:rsidR="00CA68A5">
        <w:t xml:space="preserve">so </w:t>
      </w:r>
      <w:r w:rsidR="00412B6C">
        <w:t>before her.</w:t>
      </w:r>
      <w:r w:rsidR="00FA1781">
        <w:t xml:space="preserve"> Until 2012,</w:t>
      </w:r>
      <w:r w:rsidR="00412B6C">
        <w:t xml:space="preserve"> </w:t>
      </w:r>
      <w:r w:rsidR="00FA1781">
        <w:t xml:space="preserve">it </w:t>
      </w:r>
      <w:r w:rsidR="00CA68A5">
        <w:t>was</w:t>
      </w:r>
      <w:r w:rsidR="00FA1781">
        <w:t xml:space="preserve"> argued that the role each of Akhenaten</w:t>
      </w:r>
      <w:r w:rsidR="00CA68A5">
        <w:t>’s</w:t>
      </w:r>
      <w:r w:rsidR="00FA1781">
        <w:t xml:space="preserve">  daughters took within the main</w:t>
      </w:r>
      <w:r w:rsidR="0006109E">
        <w:t>tain</w:t>
      </w:r>
      <w:r w:rsidR="00FA1781">
        <w:t xml:space="preserve">ing  </w:t>
      </w:r>
      <w:r w:rsidR="0006109E">
        <w:t>of A</w:t>
      </w:r>
      <w:r w:rsidR="00FA1781">
        <w:t>marna was due to the death of their mother Nefertiti. However</w:t>
      </w:r>
      <w:r w:rsidR="00CA68A5">
        <w:t>,</w:t>
      </w:r>
      <w:r w:rsidR="00FA1781">
        <w:t xml:space="preserve"> </w:t>
      </w:r>
      <w:r w:rsidR="0006109E">
        <w:t xml:space="preserve">the inscription found in Dayr Abu </w:t>
      </w:r>
      <w:proofErr w:type="spellStart"/>
      <w:r w:rsidR="0006109E">
        <w:t>Hinnis</w:t>
      </w:r>
      <w:proofErr w:type="spellEnd"/>
      <w:r w:rsidR="0006109E">
        <w:t xml:space="preserve"> quarry suggesting that Nefertiti was alive in regnal year 1</w:t>
      </w:r>
      <w:r w:rsidR="00AB02FA">
        <w:t>6</w:t>
      </w:r>
      <w:r w:rsidR="0006109E">
        <w:t xml:space="preserve">  suggests </w:t>
      </w:r>
      <w:r w:rsidR="00CA68A5">
        <w:t xml:space="preserve">that </w:t>
      </w:r>
      <w:r w:rsidR="0006109E">
        <w:t>the daughters may have taken up these roles</w:t>
      </w:r>
      <w:r w:rsidR="00412B6C">
        <w:t xml:space="preserve"> along with the guidance of her mother Nefertiti or to allow Nefertiti to rest after an illness or injury</w:t>
      </w:r>
      <w:r w:rsidR="00E05A3C">
        <w:t xml:space="preserve"> in the 14-16</w:t>
      </w:r>
      <w:r w:rsidR="00E05A3C" w:rsidRPr="00914A4B">
        <w:rPr>
          <w:vertAlign w:val="superscript"/>
        </w:rPr>
        <w:t>th</w:t>
      </w:r>
      <w:r w:rsidR="00E05A3C">
        <w:t xml:space="preserve"> regal year.</w:t>
      </w:r>
      <w:r w:rsidR="00AB02FA">
        <w:rPr>
          <w:rStyle w:val="FootnoteReference"/>
        </w:rPr>
        <w:footnoteReference w:id="15"/>
      </w:r>
      <w:r w:rsidR="00E825E7">
        <w:t xml:space="preserve">Although there is very little evidence </w:t>
      </w:r>
      <w:r w:rsidR="00B70F93">
        <w:t xml:space="preserve">to prove the marriage of </w:t>
      </w:r>
      <w:r w:rsidR="00047AC9">
        <w:t>Akhenaten to three of his daughters</w:t>
      </w:r>
      <w:r w:rsidR="006E7280">
        <w:t>. H</w:t>
      </w:r>
      <w:r w:rsidR="00047AC9">
        <w:t xml:space="preserve">owever </w:t>
      </w:r>
      <w:r w:rsidR="006E7280">
        <w:t xml:space="preserve">it can </w:t>
      </w:r>
      <w:r w:rsidR="00047AC9">
        <w:t xml:space="preserve">suggest that unlike any other time within Egyptian religion that within religious ritual there always needed to be a female aspect, again reinstating the significance royal women played in Amarna. </w:t>
      </w:r>
    </w:p>
    <w:p w14:paraId="0E972BCE" w14:textId="7E04354D" w:rsidR="00C45C46" w:rsidRPr="006B7156" w:rsidRDefault="00705D5D" w:rsidP="00E05A3C">
      <w:pPr>
        <w:spacing w:line="360" w:lineRule="auto"/>
      </w:pPr>
      <w:r>
        <w:t xml:space="preserve">Another significant royal </w:t>
      </w:r>
      <w:r w:rsidR="00205DC2">
        <w:t>woman</w:t>
      </w:r>
      <w:r>
        <w:t xml:space="preserve"> within the Amarna age was the first daughter of </w:t>
      </w:r>
      <w:r w:rsidR="00205DC2">
        <w:t>Akhenaten</w:t>
      </w:r>
      <w:r>
        <w:t xml:space="preserve"> and Nefertiti</w:t>
      </w:r>
      <w:r w:rsidR="00177459">
        <w:t>, Meritaten.</w:t>
      </w:r>
      <w:r w:rsidR="00BE774E">
        <w:t xml:space="preserve"> </w:t>
      </w:r>
      <w:r w:rsidR="00A07FC5">
        <w:t xml:space="preserve">Meritaten was one of the most </w:t>
      </w:r>
      <w:r w:rsidR="000253FB">
        <w:t>significant of the six daughters of Akhenaten, she was born possibly before her father came to the thron</w:t>
      </w:r>
      <w:r w:rsidR="00CA68A5">
        <w:t>e</w:t>
      </w:r>
      <w:r w:rsidR="000253FB">
        <w:t>.</w:t>
      </w:r>
      <w:r w:rsidR="00D40BCE">
        <w:rPr>
          <w:rStyle w:val="FootnoteReference"/>
        </w:rPr>
        <w:footnoteReference w:id="16"/>
      </w:r>
      <w:r w:rsidR="000253FB">
        <w:t xml:space="preserve"> </w:t>
      </w:r>
      <w:r w:rsidR="00C92FA7">
        <w:t>In her younger years Meritaten appears most often with her family in reliefs from all over Amarna</w:t>
      </w:r>
      <w:r w:rsidR="007228F0">
        <w:t>. However</w:t>
      </w:r>
      <w:r w:rsidR="00CA68A5">
        <w:t>,</w:t>
      </w:r>
      <w:r w:rsidR="007228F0">
        <w:t xml:space="preserve"> when she became older it is possible she </w:t>
      </w:r>
      <w:r w:rsidR="009D79C8">
        <w:t>took on greater religious roles as she is often dep</w:t>
      </w:r>
      <w:r w:rsidR="00FD6AB8">
        <w:t xml:space="preserve">icted alongside her </w:t>
      </w:r>
      <w:r w:rsidR="006B7156">
        <w:t xml:space="preserve">parents </w:t>
      </w:r>
      <w:r w:rsidR="006B7156">
        <w:lastRenderedPageBreak/>
        <w:t xml:space="preserve">praising the </w:t>
      </w:r>
      <w:r w:rsidR="00CA68A5">
        <w:t>A</w:t>
      </w:r>
      <w:r w:rsidR="006B7156">
        <w:t xml:space="preserve">ten. </w:t>
      </w:r>
      <w:r w:rsidR="00186324">
        <w:rPr>
          <w:rStyle w:val="FootnoteReference"/>
        </w:rPr>
        <w:footnoteReference w:id="17"/>
      </w:r>
      <w:r w:rsidR="00CA68A5">
        <w:t xml:space="preserve"> </w:t>
      </w:r>
      <w:r w:rsidR="00B54760">
        <w:t xml:space="preserve">Another significant role Meritaten possessed within the </w:t>
      </w:r>
      <w:r w:rsidR="00CA68A5">
        <w:t>A</w:t>
      </w:r>
      <w:r w:rsidR="00B54760">
        <w:t xml:space="preserve">marna period was the Great Royal Wife, which insists that at some point </w:t>
      </w:r>
      <w:r w:rsidR="00C307BC">
        <w:t xml:space="preserve">within </w:t>
      </w:r>
      <w:r w:rsidR="0018202B">
        <w:t xml:space="preserve">his </w:t>
      </w:r>
      <w:r w:rsidR="00C307BC">
        <w:t xml:space="preserve">reign Akhenaten must have married his daughter. However it could be suggested that this marriage was purely </w:t>
      </w:r>
      <w:r w:rsidR="0018202B">
        <w:t xml:space="preserve">for </w:t>
      </w:r>
      <w:r w:rsidR="00C307BC">
        <w:t>religious reasons</w:t>
      </w:r>
      <w:r w:rsidR="0018202B">
        <w:t>,</w:t>
      </w:r>
      <w:r w:rsidR="00C307BC">
        <w:t xml:space="preserve"> not unlike his marriage to other daughters in the family. </w:t>
      </w:r>
      <w:r w:rsidR="00D236D3">
        <w:t xml:space="preserve">Although it can not be proven </w:t>
      </w:r>
      <w:r w:rsidR="0018202B">
        <w:t xml:space="preserve">whether </w:t>
      </w:r>
      <w:r w:rsidR="00D236D3">
        <w:t xml:space="preserve">Meritaten and her sisters married their father we can state that Meritaten married </w:t>
      </w:r>
      <w:r w:rsidR="00C45C46">
        <w:t xml:space="preserve">Akhenaten’s successor </w:t>
      </w:r>
      <w:proofErr w:type="spellStart"/>
      <w:r w:rsidR="00C45C46">
        <w:t>Smenkhare</w:t>
      </w:r>
      <w:proofErr w:type="spellEnd"/>
      <w:r w:rsidR="00C45C46">
        <w:t>, and was again given the title of Great Royal wife and the most influentia</w:t>
      </w:r>
      <w:r w:rsidR="0066419D">
        <w:t xml:space="preserve">l royal position and is seen in reliefs preforming rituals alongside and equal to her husband. </w:t>
      </w:r>
    </w:p>
    <w:p w14:paraId="5878422B" w14:textId="00BFDC2F" w:rsidR="00B46719" w:rsidRDefault="00705D5D" w:rsidP="00E05A3C">
      <w:pPr>
        <w:spacing w:line="360" w:lineRule="auto"/>
      </w:pPr>
      <w:r>
        <w:t>T</w:t>
      </w:r>
      <w:r w:rsidR="00B46719">
        <w:t>he role of royal women in both the early 18</w:t>
      </w:r>
      <w:r w:rsidR="00B46719" w:rsidRPr="00E01C7F">
        <w:rPr>
          <w:vertAlign w:val="superscript"/>
        </w:rPr>
        <w:t>th</w:t>
      </w:r>
      <w:r w:rsidR="00B46719">
        <w:t xml:space="preserve"> </w:t>
      </w:r>
      <w:r w:rsidR="009166E0">
        <w:t>Dynasty</w:t>
      </w:r>
      <w:r w:rsidR="00B46719">
        <w:t xml:space="preserve"> and the Amarna period </w:t>
      </w:r>
      <w:r w:rsidR="0018202B">
        <w:t xml:space="preserve">is </w:t>
      </w:r>
      <w:r w:rsidR="00B46719">
        <w:t>important for many reasons</w:t>
      </w:r>
      <w:r w:rsidR="0018202B">
        <w:t>:</w:t>
      </w:r>
      <w:r w:rsidR="00B46719">
        <w:t xml:space="preserve"> it is evident within material culture that these women were the most powerful of </w:t>
      </w:r>
      <w:r w:rsidR="00A67A41">
        <w:t>their</w:t>
      </w:r>
      <w:r w:rsidR="00B46719">
        <w:t xml:space="preserve"> time</w:t>
      </w:r>
      <w:r w:rsidR="0018202B">
        <w:t xml:space="preserve">, </w:t>
      </w:r>
      <w:r w:rsidR="00B46719">
        <w:t>possibly even more than the pharaoh.</w:t>
      </w:r>
      <w:r>
        <w:t xml:space="preserve"> Although the role of royal women in Amarna may have gained greater influence </w:t>
      </w:r>
      <w:r w:rsidR="0018202B">
        <w:t xml:space="preserve">over </w:t>
      </w:r>
      <w:r>
        <w:t xml:space="preserve">both the politics and religious actions of Egypt, without the actions of the queens that came before them it would not have been possible. </w:t>
      </w:r>
    </w:p>
    <w:p w14:paraId="188F5EA4" w14:textId="714AF64F" w:rsidR="009E3950" w:rsidRDefault="00B46719" w:rsidP="00E05A3C">
      <w:pPr>
        <w:spacing w:line="360" w:lineRule="auto"/>
      </w:pPr>
      <w:r>
        <w:t xml:space="preserve">In conclusion, </w:t>
      </w:r>
      <w:r w:rsidR="006F02F4">
        <w:t xml:space="preserve">many scholars </w:t>
      </w:r>
      <w:r w:rsidR="0092244E">
        <w:t>b</w:t>
      </w:r>
      <w:r w:rsidR="006F02F4">
        <w:t xml:space="preserve">elieve that the </w:t>
      </w:r>
      <w:r w:rsidR="0003707D">
        <w:t>A</w:t>
      </w:r>
      <w:r w:rsidR="0092244E">
        <w:t>marna</w:t>
      </w:r>
      <w:r w:rsidR="006F02F4">
        <w:t xml:space="preserve"> period is completely individualistic with</w:t>
      </w:r>
      <w:r>
        <w:t>in the history of ancient Egypt. H</w:t>
      </w:r>
      <w:r w:rsidR="006F02F4">
        <w:t>oweve</w:t>
      </w:r>
      <w:r>
        <w:t>r, when looking at the role of royal women</w:t>
      </w:r>
      <w:r w:rsidR="00A06DA2">
        <w:t xml:space="preserve"> and the impact they created on both religion and politics within Egypt; </w:t>
      </w:r>
      <w:r>
        <w:t xml:space="preserve"> it is clear to state</w:t>
      </w:r>
      <w:r w:rsidR="006F02F4">
        <w:t xml:space="preserve"> that the</w:t>
      </w:r>
      <w:r>
        <w:t>ir roles</w:t>
      </w:r>
      <w:r w:rsidR="006F02F4">
        <w:t xml:space="preserve"> only</w:t>
      </w:r>
      <w:r>
        <w:t xml:space="preserve"> developed and became more significant in the maintaining of the greatness of Egypt from their predecessors.  </w:t>
      </w:r>
    </w:p>
    <w:p w14:paraId="4F2E6616" w14:textId="77777777" w:rsidR="009666D4" w:rsidRDefault="009666D4" w:rsidP="00872CEE">
      <w:pPr>
        <w:spacing w:line="360" w:lineRule="auto"/>
      </w:pPr>
    </w:p>
    <w:p w14:paraId="420F2FC9" w14:textId="09724885" w:rsidR="0095135A" w:rsidRDefault="0095135A" w:rsidP="00872CEE">
      <w:pPr>
        <w:spacing w:line="360" w:lineRule="auto"/>
      </w:pPr>
    </w:p>
    <w:p w14:paraId="71B61BAE" w14:textId="7250DE5E" w:rsidR="00AC3D82" w:rsidRDefault="00AC3D82" w:rsidP="00872CEE">
      <w:pPr>
        <w:spacing w:line="360" w:lineRule="auto"/>
      </w:pPr>
    </w:p>
    <w:p w14:paraId="236FAC2B" w14:textId="0E2CB661" w:rsidR="00AC3D82" w:rsidRDefault="00AC3D82" w:rsidP="00872CEE">
      <w:pPr>
        <w:spacing w:line="360" w:lineRule="auto"/>
      </w:pPr>
    </w:p>
    <w:p w14:paraId="645D6906" w14:textId="6E92F773" w:rsidR="00AC3D82" w:rsidRDefault="00AC3D82" w:rsidP="00872CEE">
      <w:pPr>
        <w:spacing w:line="360" w:lineRule="auto"/>
      </w:pPr>
    </w:p>
    <w:p w14:paraId="172BE2AD" w14:textId="09A3CFE8" w:rsidR="00AC3D82" w:rsidRDefault="00AC3D82" w:rsidP="00872CEE">
      <w:pPr>
        <w:spacing w:line="360" w:lineRule="auto"/>
      </w:pPr>
    </w:p>
    <w:p w14:paraId="6C6BAE93" w14:textId="7A153F8D" w:rsidR="00AC3D82" w:rsidRDefault="00AC3D82" w:rsidP="00872CEE">
      <w:pPr>
        <w:spacing w:line="360" w:lineRule="auto"/>
      </w:pPr>
    </w:p>
    <w:p w14:paraId="1C33F1B2" w14:textId="44CD89E8" w:rsidR="00AC3D82" w:rsidRDefault="00AC3D82" w:rsidP="00872CEE">
      <w:pPr>
        <w:spacing w:line="360" w:lineRule="auto"/>
      </w:pPr>
    </w:p>
    <w:p w14:paraId="1F82F6AA" w14:textId="7E3D90ED" w:rsidR="00AC3D82" w:rsidRDefault="00AC3D82" w:rsidP="00872CEE">
      <w:pPr>
        <w:spacing w:line="360" w:lineRule="auto"/>
      </w:pPr>
    </w:p>
    <w:p w14:paraId="58093F5B" w14:textId="75D05AB9" w:rsidR="00AC3D82" w:rsidRDefault="00AC3D82" w:rsidP="00872CEE">
      <w:pPr>
        <w:spacing w:line="360" w:lineRule="auto"/>
      </w:pPr>
      <w:bookmarkStart w:id="0" w:name="_GoBack"/>
      <w:bookmarkEnd w:id="0"/>
    </w:p>
    <w:p w14:paraId="55357526" w14:textId="7EDC1C13" w:rsidR="00AC3D82" w:rsidRDefault="00AC3D82" w:rsidP="00872CEE">
      <w:pPr>
        <w:spacing w:line="360" w:lineRule="auto"/>
      </w:pPr>
    </w:p>
    <w:p w14:paraId="27CCAC7D" w14:textId="3D1C50F0" w:rsidR="00AC3D82" w:rsidRDefault="00AC3D82" w:rsidP="00872CEE">
      <w:pPr>
        <w:spacing w:line="360" w:lineRule="auto"/>
      </w:pPr>
      <w:r>
        <w:lastRenderedPageBreak/>
        <w:t>Bibliography</w:t>
      </w:r>
    </w:p>
    <w:p w14:paraId="2F6126DA" w14:textId="7B7C1C02" w:rsidR="009A042E" w:rsidRDefault="009A042E" w:rsidP="00872CEE">
      <w:pPr>
        <w:spacing w:line="360" w:lineRule="auto"/>
      </w:pPr>
      <w:r w:rsidRPr="009A042E">
        <w:t>Arnold, D. 1996. The Royal Women of Amarna: Images of Beauty from Ancient Egypt. New York: Metropolitan Museum of Art.</w:t>
      </w:r>
    </w:p>
    <w:p w14:paraId="634B678B" w14:textId="6897AEBF" w:rsidR="00C35E1E" w:rsidRDefault="00C35E1E" w:rsidP="00872CEE">
      <w:pPr>
        <w:spacing w:line="360" w:lineRule="auto"/>
      </w:pPr>
      <w:proofErr w:type="spellStart"/>
      <w:r>
        <w:t>Ayad</w:t>
      </w:r>
      <w:proofErr w:type="spellEnd"/>
      <w:r>
        <w:t xml:space="preserve">, F, M. </w:t>
      </w:r>
      <w:r w:rsidR="00164A38">
        <w:t xml:space="preserve">2009. </w:t>
      </w:r>
      <w:r w:rsidR="00BC3852">
        <w:t xml:space="preserve">Gods Wife Gods Servant: Gods Wife of Amun. </w:t>
      </w:r>
      <w:r w:rsidR="00CF308B">
        <w:t>London</w:t>
      </w:r>
      <w:r w:rsidR="00E740C3">
        <w:t xml:space="preserve">: </w:t>
      </w:r>
      <w:proofErr w:type="spellStart"/>
      <w:r w:rsidR="00E740C3">
        <w:t>Routledge</w:t>
      </w:r>
      <w:proofErr w:type="spellEnd"/>
    </w:p>
    <w:p w14:paraId="18EEAAD9" w14:textId="7459E40C" w:rsidR="00AC3D82" w:rsidRDefault="00FB7A5E" w:rsidP="00872CEE">
      <w:pPr>
        <w:spacing w:line="360" w:lineRule="auto"/>
      </w:pPr>
      <w:r>
        <w:t>Green, L</w:t>
      </w:r>
      <w:r w:rsidR="00993341" w:rsidRPr="00993341">
        <w:t xml:space="preserve"> 1996. The Royal Women of Amarna: Images of Beauty from Ancient Egypt. New York: Metropolitan Museum of Art</w:t>
      </w:r>
    </w:p>
    <w:p w14:paraId="016CCA58" w14:textId="4B915A1A" w:rsidR="00993341" w:rsidRDefault="00BD735F" w:rsidP="00872CEE">
      <w:pPr>
        <w:spacing w:line="360" w:lineRule="auto"/>
      </w:pPr>
      <w:r w:rsidRPr="00BD735F">
        <w:t>Kemp, B. 2012. The City of Akhenaten and Nefertiti: Amarna and Its People. London: Thames and Hudson.</w:t>
      </w:r>
    </w:p>
    <w:p w14:paraId="223A7303" w14:textId="0A1FA2DF" w:rsidR="00BD735F" w:rsidRDefault="00E63C8F" w:rsidP="00872CEE">
      <w:pPr>
        <w:spacing w:line="360" w:lineRule="auto"/>
      </w:pPr>
      <w:proofErr w:type="spellStart"/>
      <w:r w:rsidRPr="00E63C8F">
        <w:t>Onstine</w:t>
      </w:r>
      <w:proofErr w:type="spellEnd"/>
      <w:r w:rsidRPr="00E63C8F">
        <w:t xml:space="preserve">, S. 2016. ‘Women’s participation in the religious hierarchy of Ancient Egypt’. In </w:t>
      </w:r>
      <w:proofErr w:type="spellStart"/>
      <w:r w:rsidRPr="00E63C8F">
        <w:t>Budin</w:t>
      </w:r>
      <w:proofErr w:type="spellEnd"/>
      <w:r w:rsidRPr="00E63C8F">
        <w:t xml:space="preserve">, S.L. and </w:t>
      </w:r>
      <w:proofErr w:type="spellStart"/>
      <w:r w:rsidRPr="00E63C8F">
        <w:t>Turfa</w:t>
      </w:r>
      <w:proofErr w:type="spellEnd"/>
      <w:r w:rsidRPr="00E63C8F">
        <w:t xml:space="preserve">, J.M. (eds.) Women in Antiquity: Real women across the Ancient World. London: </w:t>
      </w:r>
      <w:proofErr w:type="spellStart"/>
      <w:r w:rsidRPr="00E63C8F">
        <w:t>Routledge</w:t>
      </w:r>
      <w:proofErr w:type="spellEnd"/>
      <w:r w:rsidRPr="00E63C8F">
        <w:t>.</w:t>
      </w:r>
    </w:p>
    <w:p w14:paraId="7AB7FF14" w14:textId="6933DFF9" w:rsidR="00821D2B" w:rsidRPr="00F52477" w:rsidRDefault="00821D2B" w:rsidP="00872CEE">
      <w:pPr>
        <w:spacing w:line="360" w:lineRule="auto"/>
        <w:rPr>
          <w:color w:val="000000" w:themeColor="text1"/>
        </w:rPr>
      </w:pPr>
      <w:r>
        <w:t>The Metropolitan Museum of Art</w:t>
      </w:r>
      <w:r w:rsidR="00132DF3">
        <w:t xml:space="preserve">. n.d. </w:t>
      </w:r>
      <w:r w:rsidR="00625A16">
        <w:t xml:space="preserve">Hatshepsut: From Queen to pharaoh. Available at URL: </w:t>
      </w:r>
      <w:hyperlink r:id="rId14" w:history="1">
        <w:r w:rsidR="00F52477" w:rsidRPr="0060007A">
          <w:rPr>
            <w:rStyle w:val="Hyperlink"/>
          </w:rPr>
          <w:t>https://www.metmuseum.org/art/metpublications/Hatshepsut_From_Queen_to_Pharaoh</w:t>
        </w:r>
      </w:hyperlink>
      <w:r w:rsidR="00F52477">
        <w:rPr>
          <w:rStyle w:val="Hyperlink"/>
        </w:rPr>
        <w:t xml:space="preserve"> </w:t>
      </w:r>
      <w:r w:rsidR="00F52477">
        <w:rPr>
          <w:rStyle w:val="Hyperlink"/>
          <w:color w:val="000000" w:themeColor="text1"/>
        </w:rPr>
        <w:t xml:space="preserve"> </w:t>
      </w:r>
      <w:r w:rsidR="00F52477">
        <w:rPr>
          <w:rStyle w:val="Hyperlink"/>
          <w:color w:val="000000" w:themeColor="text1"/>
          <w:u w:val="none"/>
        </w:rPr>
        <w:t>[</w:t>
      </w:r>
      <w:r w:rsidR="00A15016">
        <w:rPr>
          <w:rStyle w:val="Hyperlink"/>
          <w:color w:val="000000" w:themeColor="text1"/>
          <w:u w:val="none"/>
        </w:rPr>
        <w:t>Accessed</w:t>
      </w:r>
      <w:r w:rsidR="00F65F00">
        <w:rPr>
          <w:rStyle w:val="Hyperlink"/>
          <w:color w:val="000000" w:themeColor="text1"/>
          <w:u w:val="none"/>
        </w:rPr>
        <w:t xml:space="preserve"> on 5/6/19]</w:t>
      </w:r>
    </w:p>
    <w:p w14:paraId="4F32E86B" w14:textId="425BB11E" w:rsidR="009A042E" w:rsidRDefault="009A042E" w:rsidP="00872CEE">
      <w:pPr>
        <w:spacing w:line="360" w:lineRule="auto"/>
      </w:pPr>
      <w:r>
        <w:t>Wilkinson, T.</w:t>
      </w:r>
      <w:r w:rsidR="000118C9" w:rsidRPr="000118C9">
        <w:t xml:space="preserve"> 2005. The Thames &amp; Hudson dictionary of ancient Egypt, London: Thames &amp; Hudson.</w:t>
      </w:r>
    </w:p>
    <w:p w14:paraId="74470419" w14:textId="5FB0CBDF" w:rsidR="00FB7A5E" w:rsidRDefault="00FB7A5E" w:rsidP="00872CEE">
      <w:pPr>
        <w:spacing w:line="360" w:lineRule="auto"/>
      </w:pPr>
      <w:proofErr w:type="spellStart"/>
      <w:r w:rsidRPr="00FB7A5E">
        <w:t>Zinn</w:t>
      </w:r>
      <w:proofErr w:type="spellEnd"/>
      <w:r w:rsidRPr="00FB7A5E">
        <w:t xml:space="preserve">, K. 2016. ‘Women in Amarna: legendary royals, forgotten elite, unknown populace?’. In </w:t>
      </w:r>
      <w:proofErr w:type="spellStart"/>
      <w:r w:rsidRPr="00FB7A5E">
        <w:t>Budin</w:t>
      </w:r>
      <w:proofErr w:type="spellEnd"/>
      <w:r w:rsidRPr="00FB7A5E">
        <w:t xml:space="preserve">, S.L. and </w:t>
      </w:r>
      <w:proofErr w:type="spellStart"/>
      <w:r w:rsidRPr="00FB7A5E">
        <w:t>Turfa</w:t>
      </w:r>
      <w:proofErr w:type="spellEnd"/>
      <w:r w:rsidRPr="00FB7A5E">
        <w:t xml:space="preserve">, J.M. (eds.) Women in Antiquity: Real women across the Ancient World. London: </w:t>
      </w:r>
      <w:proofErr w:type="spellStart"/>
      <w:r w:rsidRPr="00FB7A5E">
        <w:t>Routledge</w:t>
      </w:r>
      <w:proofErr w:type="spellEnd"/>
      <w:r w:rsidRPr="00FB7A5E">
        <w:t>.</w:t>
      </w:r>
    </w:p>
    <w:p w14:paraId="60B68D87" w14:textId="77777777" w:rsidR="00E63C8F" w:rsidRPr="004A65C1" w:rsidRDefault="00E63C8F" w:rsidP="00872CEE">
      <w:pPr>
        <w:spacing w:line="360" w:lineRule="auto"/>
      </w:pPr>
    </w:p>
    <w:sectPr w:rsidR="00E63C8F" w:rsidRPr="004A65C1" w:rsidSect="001F2E2B">
      <w:head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FC526A" w14:textId="77777777" w:rsidR="000D5C3F" w:rsidRDefault="000D5C3F">
      <w:pPr>
        <w:spacing w:after="0" w:line="240" w:lineRule="auto"/>
      </w:pPr>
      <w:r>
        <w:separator/>
      </w:r>
    </w:p>
  </w:endnote>
  <w:endnote w:type="continuationSeparator" w:id="0">
    <w:p w14:paraId="10591839" w14:textId="77777777" w:rsidR="000D5C3F" w:rsidRDefault="000D5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4FEAD" w14:textId="77777777" w:rsidR="000D5C3F" w:rsidRDefault="000D5C3F">
      <w:pPr>
        <w:spacing w:after="0" w:line="240" w:lineRule="auto"/>
      </w:pPr>
      <w:r>
        <w:rPr>
          <w:color w:val="000000"/>
        </w:rPr>
        <w:separator/>
      </w:r>
    </w:p>
  </w:footnote>
  <w:footnote w:type="continuationSeparator" w:id="0">
    <w:p w14:paraId="34175058" w14:textId="77777777" w:rsidR="000D5C3F" w:rsidRDefault="000D5C3F">
      <w:pPr>
        <w:spacing w:after="0" w:line="240" w:lineRule="auto"/>
      </w:pPr>
      <w:r>
        <w:continuationSeparator/>
      </w:r>
    </w:p>
  </w:footnote>
  <w:footnote w:id="1">
    <w:p w14:paraId="281AACBF" w14:textId="77777777" w:rsidR="00FA4CCC" w:rsidRDefault="00FA4CCC">
      <w:pPr>
        <w:pStyle w:val="FootnoteText"/>
      </w:pPr>
      <w:r>
        <w:rPr>
          <w:rStyle w:val="FootnoteReference"/>
        </w:rPr>
        <w:footnoteRef/>
      </w:r>
      <w:r>
        <w:t xml:space="preserve"> D, Arnold. (1996) 7 </w:t>
      </w:r>
    </w:p>
  </w:footnote>
  <w:footnote w:id="2">
    <w:p w14:paraId="2261E472" w14:textId="77777777" w:rsidR="00EE0D2E" w:rsidRDefault="00EE0D2E">
      <w:pPr>
        <w:pStyle w:val="FootnoteText"/>
      </w:pPr>
      <w:r>
        <w:rPr>
          <w:rStyle w:val="FootnoteReference"/>
        </w:rPr>
        <w:footnoteRef/>
      </w:r>
      <w:r w:rsidR="004A7834">
        <w:t xml:space="preserve"> S, Onstine</w:t>
      </w:r>
      <w:r>
        <w:t xml:space="preserve">. (2016) 223 </w:t>
      </w:r>
    </w:p>
  </w:footnote>
  <w:footnote w:id="3">
    <w:p w14:paraId="2085A0B7" w14:textId="77777777" w:rsidR="00B94B0F" w:rsidRDefault="00B94B0F">
      <w:pPr>
        <w:pStyle w:val="FootnoteText"/>
      </w:pPr>
      <w:r>
        <w:rPr>
          <w:rStyle w:val="FootnoteReference"/>
        </w:rPr>
        <w:footnoteRef/>
      </w:r>
      <w:r>
        <w:t xml:space="preserve"> T, Wilkinson. (2005) 93</w:t>
      </w:r>
    </w:p>
  </w:footnote>
  <w:footnote w:id="4">
    <w:p w14:paraId="417341E8" w14:textId="77777777" w:rsidR="00B94B0F" w:rsidRDefault="00B94B0F">
      <w:pPr>
        <w:pStyle w:val="FootnoteText"/>
      </w:pPr>
      <w:r>
        <w:rPr>
          <w:rStyle w:val="FootnoteReference"/>
        </w:rPr>
        <w:footnoteRef/>
      </w:r>
      <w:r>
        <w:t xml:space="preserve"> T, Wilkinson. (2005) 93</w:t>
      </w:r>
    </w:p>
  </w:footnote>
  <w:footnote w:id="5">
    <w:p w14:paraId="7DB4284F" w14:textId="77777777" w:rsidR="00EE0D2E" w:rsidRDefault="00EE0D2E">
      <w:pPr>
        <w:pStyle w:val="FootnoteText"/>
      </w:pPr>
      <w:r>
        <w:rPr>
          <w:rStyle w:val="FootnoteReference"/>
        </w:rPr>
        <w:footnoteRef/>
      </w:r>
      <w:r w:rsidR="004A7834">
        <w:t>S, Onstine</w:t>
      </w:r>
      <w:r>
        <w:t xml:space="preserve">. (2016) 224 </w:t>
      </w:r>
    </w:p>
  </w:footnote>
  <w:footnote w:id="6">
    <w:p w14:paraId="037B6666" w14:textId="77777777" w:rsidR="00DD75E8" w:rsidRDefault="00DD75E8">
      <w:pPr>
        <w:pStyle w:val="FootnoteText"/>
      </w:pPr>
      <w:r>
        <w:rPr>
          <w:rStyle w:val="FootnoteReference"/>
        </w:rPr>
        <w:footnoteRef/>
      </w:r>
      <w:r w:rsidR="00706BD9">
        <w:t>M, F, Ayad.(</w:t>
      </w:r>
      <w:r w:rsidR="00945B2E">
        <w:t xml:space="preserve">2009) 4 </w:t>
      </w:r>
    </w:p>
  </w:footnote>
  <w:footnote w:id="7">
    <w:p w14:paraId="301408BC" w14:textId="77777777" w:rsidR="00E31E60" w:rsidRDefault="00E31E60">
      <w:pPr>
        <w:pStyle w:val="FootnoteText"/>
      </w:pPr>
      <w:r>
        <w:rPr>
          <w:rStyle w:val="FootnoteReference"/>
        </w:rPr>
        <w:footnoteRef/>
      </w:r>
      <w:r>
        <w:t xml:space="preserve"> T, Wilkinson. (2005) 15</w:t>
      </w:r>
    </w:p>
  </w:footnote>
  <w:footnote w:id="8">
    <w:p w14:paraId="0B9FD82F" w14:textId="77777777" w:rsidR="00E31E60" w:rsidRDefault="00E31E60">
      <w:pPr>
        <w:pStyle w:val="FootnoteText"/>
      </w:pPr>
      <w:r>
        <w:rPr>
          <w:rStyle w:val="FootnoteReference"/>
        </w:rPr>
        <w:footnoteRef/>
      </w:r>
      <w:r>
        <w:t xml:space="preserve"> T, Wilkinson. (2005) 15</w:t>
      </w:r>
    </w:p>
  </w:footnote>
  <w:footnote w:id="9">
    <w:p w14:paraId="0E354C48" w14:textId="77777777" w:rsidR="00BA1F02" w:rsidRDefault="00BA1F02">
      <w:pPr>
        <w:pStyle w:val="FootnoteText"/>
      </w:pPr>
      <w:r>
        <w:rPr>
          <w:rStyle w:val="FootnoteReference"/>
        </w:rPr>
        <w:footnoteRef/>
      </w:r>
      <w:r>
        <w:t xml:space="preserve"> The Metropolitan Museum of Art Website. (n.d) </w:t>
      </w:r>
    </w:p>
  </w:footnote>
  <w:footnote w:id="10">
    <w:p w14:paraId="3FA9842B" w14:textId="14B00269" w:rsidR="00171C06" w:rsidRDefault="00171C06">
      <w:pPr>
        <w:pStyle w:val="FootnoteText"/>
      </w:pPr>
      <w:r>
        <w:rPr>
          <w:rStyle w:val="FootnoteReference"/>
        </w:rPr>
        <w:footnoteRef/>
      </w:r>
      <w:r>
        <w:t xml:space="preserve"> D, Arnold. (2016) </w:t>
      </w:r>
      <w:r w:rsidR="00052231">
        <w:t xml:space="preserve">85 </w:t>
      </w:r>
    </w:p>
  </w:footnote>
  <w:footnote w:id="11">
    <w:p w14:paraId="2DBC2B64" w14:textId="77777777" w:rsidR="00BF556A" w:rsidRDefault="00BF556A">
      <w:pPr>
        <w:pStyle w:val="FootnoteText"/>
      </w:pPr>
      <w:r>
        <w:rPr>
          <w:rStyle w:val="FootnoteReference"/>
        </w:rPr>
        <w:footnoteRef/>
      </w:r>
      <w:r>
        <w:t xml:space="preserve"> L, Green. (1996) 7 </w:t>
      </w:r>
    </w:p>
  </w:footnote>
  <w:footnote w:id="12">
    <w:p w14:paraId="26D96EE0" w14:textId="77777777" w:rsidR="00415502" w:rsidRDefault="00415502">
      <w:pPr>
        <w:pStyle w:val="FootnoteText"/>
      </w:pPr>
      <w:r>
        <w:rPr>
          <w:rStyle w:val="FootnoteReference"/>
        </w:rPr>
        <w:footnoteRef/>
      </w:r>
      <w:r>
        <w:t xml:space="preserve"> K, Zinn. (2016) 256</w:t>
      </w:r>
    </w:p>
  </w:footnote>
  <w:footnote w:id="13">
    <w:p w14:paraId="7E7F4F27" w14:textId="77777777" w:rsidR="00415502" w:rsidRDefault="00415502">
      <w:pPr>
        <w:pStyle w:val="FootnoteText"/>
      </w:pPr>
      <w:r>
        <w:rPr>
          <w:rStyle w:val="FootnoteReference"/>
        </w:rPr>
        <w:footnoteRef/>
      </w:r>
      <w:r>
        <w:t xml:space="preserve"> K, Zinn. (2016) 256 </w:t>
      </w:r>
    </w:p>
  </w:footnote>
  <w:footnote w:id="14">
    <w:p w14:paraId="750C8BD1" w14:textId="77777777" w:rsidR="00FC4895" w:rsidRDefault="00FC4895">
      <w:pPr>
        <w:pStyle w:val="FootnoteText"/>
      </w:pPr>
      <w:r>
        <w:rPr>
          <w:rStyle w:val="FootnoteReference"/>
        </w:rPr>
        <w:footnoteRef/>
      </w:r>
      <w:r>
        <w:t xml:space="preserve"> </w:t>
      </w:r>
      <w:r w:rsidR="00B35B1E">
        <w:t xml:space="preserve">B, Kemp. (2012) 14 </w:t>
      </w:r>
    </w:p>
  </w:footnote>
  <w:footnote w:id="15">
    <w:p w14:paraId="3B4AA5E5" w14:textId="097E7B00" w:rsidR="00AB02FA" w:rsidRDefault="00AB02FA">
      <w:pPr>
        <w:pStyle w:val="FootnoteText"/>
      </w:pPr>
      <w:r>
        <w:rPr>
          <w:rStyle w:val="FootnoteReference"/>
        </w:rPr>
        <w:footnoteRef/>
      </w:r>
      <w:r>
        <w:t xml:space="preserve"> K, Zinn. (2016) 260</w:t>
      </w:r>
    </w:p>
  </w:footnote>
  <w:footnote w:id="16">
    <w:p w14:paraId="6C1D78C0" w14:textId="77777777" w:rsidR="00D40BCE" w:rsidRDefault="00D40BCE">
      <w:pPr>
        <w:pStyle w:val="FootnoteText"/>
      </w:pPr>
      <w:r>
        <w:rPr>
          <w:rStyle w:val="FootnoteReference"/>
        </w:rPr>
        <w:footnoteRef/>
      </w:r>
      <w:r>
        <w:t xml:space="preserve"> L, Green. (1996) </w:t>
      </w:r>
      <w:r w:rsidR="00B54760">
        <w:t>10</w:t>
      </w:r>
    </w:p>
  </w:footnote>
  <w:footnote w:id="17">
    <w:p w14:paraId="41AE5782" w14:textId="77777777" w:rsidR="00186324" w:rsidRDefault="00186324">
      <w:pPr>
        <w:pStyle w:val="FootnoteText"/>
      </w:pPr>
      <w:r>
        <w:rPr>
          <w:rStyle w:val="FootnoteReference"/>
        </w:rPr>
        <w:footnoteRef/>
      </w:r>
      <w:r>
        <w:t xml:space="preserve"> L, Green. (1996) 11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AC4ECB" w14:textId="77777777" w:rsidR="00B66DA2" w:rsidRDefault="00B66DA2">
    <w:pPr>
      <w:pStyle w:val="Header"/>
    </w:pPr>
    <w:r>
      <w:t>HPAH6003</w:t>
    </w:r>
    <w:r>
      <w:ptab w:relativeTo="margin" w:alignment="center" w:leader="none"/>
    </w:r>
    <w:r>
      <w:t>Assessment 4</w:t>
    </w:r>
    <w:r>
      <w:ptab w:relativeTo="margin" w:alignment="right" w:leader="none"/>
    </w:r>
    <w:r>
      <w:t>1600196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C1D"/>
    <w:rsid w:val="000118C9"/>
    <w:rsid w:val="000209C5"/>
    <w:rsid w:val="000253FB"/>
    <w:rsid w:val="000302B7"/>
    <w:rsid w:val="0003707D"/>
    <w:rsid w:val="00043F81"/>
    <w:rsid w:val="0004603E"/>
    <w:rsid w:val="00047AC9"/>
    <w:rsid w:val="000503C4"/>
    <w:rsid w:val="000513C5"/>
    <w:rsid w:val="00052231"/>
    <w:rsid w:val="00057142"/>
    <w:rsid w:val="0006109E"/>
    <w:rsid w:val="0008135F"/>
    <w:rsid w:val="0008481D"/>
    <w:rsid w:val="000D5C3F"/>
    <w:rsid w:val="00111DFE"/>
    <w:rsid w:val="00132DF3"/>
    <w:rsid w:val="00157E29"/>
    <w:rsid w:val="00164A38"/>
    <w:rsid w:val="00171C06"/>
    <w:rsid w:val="00177459"/>
    <w:rsid w:val="0018202B"/>
    <w:rsid w:val="0018317E"/>
    <w:rsid w:val="00186324"/>
    <w:rsid w:val="001A0CB4"/>
    <w:rsid w:val="001D2C26"/>
    <w:rsid w:val="001E5DB9"/>
    <w:rsid w:val="001F2E2B"/>
    <w:rsid w:val="002020A4"/>
    <w:rsid w:val="00205DC2"/>
    <w:rsid w:val="00252A1E"/>
    <w:rsid w:val="00254F98"/>
    <w:rsid w:val="0025523D"/>
    <w:rsid w:val="002A6C1D"/>
    <w:rsid w:val="002F25EF"/>
    <w:rsid w:val="003463A6"/>
    <w:rsid w:val="003A2AE7"/>
    <w:rsid w:val="003B62C6"/>
    <w:rsid w:val="003D75A1"/>
    <w:rsid w:val="003E2F7A"/>
    <w:rsid w:val="004113C7"/>
    <w:rsid w:val="00412B6C"/>
    <w:rsid w:val="00415502"/>
    <w:rsid w:val="0042010F"/>
    <w:rsid w:val="004651FF"/>
    <w:rsid w:val="004815FB"/>
    <w:rsid w:val="004A65C1"/>
    <w:rsid w:val="004A7834"/>
    <w:rsid w:val="004E1E1B"/>
    <w:rsid w:val="00502C38"/>
    <w:rsid w:val="0050380D"/>
    <w:rsid w:val="00544554"/>
    <w:rsid w:val="00580E23"/>
    <w:rsid w:val="005A31F7"/>
    <w:rsid w:val="005A3779"/>
    <w:rsid w:val="005D79D4"/>
    <w:rsid w:val="006173C8"/>
    <w:rsid w:val="00625A16"/>
    <w:rsid w:val="00637648"/>
    <w:rsid w:val="00642C0B"/>
    <w:rsid w:val="0066419D"/>
    <w:rsid w:val="0069522C"/>
    <w:rsid w:val="006B265F"/>
    <w:rsid w:val="006B6E37"/>
    <w:rsid w:val="006B7156"/>
    <w:rsid w:val="006B728D"/>
    <w:rsid w:val="006D1FEF"/>
    <w:rsid w:val="006E7280"/>
    <w:rsid w:val="006F02F4"/>
    <w:rsid w:val="007037D7"/>
    <w:rsid w:val="00705D5D"/>
    <w:rsid w:val="00706BD9"/>
    <w:rsid w:val="007228F0"/>
    <w:rsid w:val="00726A51"/>
    <w:rsid w:val="00730CC1"/>
    <w:rsid w:val="00740065"/>
    <w:rsid w:val="00757323"/>
    <w:rsid w:val="007615FD"/>
    <w:rsid w:val="007A34E4"/>
    <w:rsid w:val="007A70B6"/>
    <w:rsid w:val="007B037C"/>
    <w:rsid w:val="007D7A13"/>
    <w:rsid w:val="007F1B40"/>
    <w:rsid w:val="00821D2B"/>
    <w:rsid w:val="00825ED0"/>
    <w:rsid w:val="00845044"/>
    <w:rsid w:val="00872CEE"/>
    <w:rsid w:val="008843BF"/>
    <w:rsid w:val="00886031"/>
    <w:rsid w:val="00907D63"/>
    <w:rsid w:val="00912918"/>
    <w:rsid w:val="009166E0"/>
    <w:rsid w:val="0092244E"/>
    <w:rsid w:val="00936496"/>
    <w:rsid w:val="00945B2E"/>
    <w:rsid w:val="0095135A"/>
    <w:rsid w:val="00953AF7"/>
    <w:rsid w:val="009666D4"/>
    <w:rsid w:val="00986FD0"/>
    <w:rsid w:val="00993341"/>
    <w:rsid w:val="009A042E"/>
    <w:rsid w:val="009D79C8"/>
    <w:rsid w:val="009E3950"/>
    <w:rsid w:val="009F6A3F"/>
    <w:rsid w:val="00A06DA2"/>
    <w:rsid w:val="00A07FC5"/>
    <w:rsid w:val="00A100FC"/>
    <w:rsid w:val="00A15016"/>
    <w:rsid w:val="00A1532C"/>
    <w:rsid w:val="00A24D22"/>
    <w:rsid w:val="00A26F45"/>
    <w:rsid w:val="00A42681"/>
    <w:rsid w:val="00A4328D"/>
    <w:rsid w:val="00A52F7E"/>
    <w:rsid w:val="00A67A41"/>
    <w:rsid w:val="00A72D8E"/>
    <w:rsid w:val="00A80895"/>
    <w:rsid w:val="00AA1A04"/>
    <w:rsid w:val="00AB02FA"/>
    <w:rsid w:val="00AB7FAC"/>
    <w:rsid w:val="00AC3D82"/>
    <w:rsid w:val="00AE42A2"/>
    <w:rsid w:val="00AF7C3C"/>
    <w:rsid w:val="00B30D05"/>
    <w:rsid w:val="00B35B1E"/>
    <w:rsid w:val="00B46719"/>
    <w:rsid w:val="00B54760"/>
    <w:rsid w:val="00B66DA2"/>
    <w:rsid w:val="00B70F93"/>
    <w:rsid w:val="00B72273"/>
    <w:rsid w:val="00B75F79"/>
    <w:rsid w:val="00B94B0F"/>
    <w:rsid w:val="00BA1F02"/>
    <w:rsid w:val="00BA2D3C"/>
    <w:rsid w:val="00BC2E3E"/>
    <w:rsid w:val="00BC3852"/>
    <w:rsid w:val="00BD538B"/>
    <w:rsid w:val="00BD735F"/>
    <w:rsid w:val="00BE2D40"/>
    <w:rsid w:val="00BE774E"/>
    <w:rsid w:val="00BF556A"/>
    <w:rsid w:val="00C307BC"/>
    <w:rsid w:val="00C35E1E"/>
    <w:rsid w:val="00C3615B"/>
    <w:rsid w:val="00C45C46"/>
    <w:rsid w:val="00C57E14"/>
    <w:rsid w:val="00C75F40"/>
    <w:rsid w:val="00C92FA7"/>
    <w:rsid w:val="00CA68A5"/>
    <w:rsid w:val="00CB0B23"/>
    <w:rsid w:val="00CD7AF8"/>
    <w:rsid w:val="00CF1FAC"/>
    <w:rsid w:val="00CF308B"/>
    <w:rsid w:val="00D01CBA"/>
    <w:rsid w:val="00D150AC"/>
    <w:rsid w:val="00D236D3"/>
    <w:rsid w:val="00D36435"/>
    <w:rsid w:val="00D40BCE"/>
    <w:rsid w:val="00D52FBD"/>
    <w:rsid w:val="00D557B6"/>
    <w:rsid w:val="00D62054"/>
    <w:rsid w:val="00D92B6B"/>
    <w:rsid w:val="00DC10E9"/>
    <w:rsid w:val="00DC5699"/>
    <w:rsid w:val="00DD4016"/>
    <w:rsid w:val="00DD75E8"/>
    <w:rsid w:val="00E01C7F"/>
    <w:rsid w:val="00E03BE5"/>
    <w:rsid w:val="00E05A3C"/>
    <w:rsid w:val="00E31E60"/>
    <w:rsid w:val="00E353CD"/>
    <w:rsid w:val="00E526EC"/>
    <w:rsid w:val="00E63C8F"/>
    <w:rsid w:val="00E740C3"/>
    <w:rsid w:val="00E825E7"/>
    <w:rsid w:val="00EA688B"/>
    <w:rsid w:val="00EA6ABE"/>
    <w:rsid w:val="00EB0900"/>
    <w:rsid w:val="00EE0D2E"/>
    <w:rsid w:val="00F073AF"/>
    <w:rsid w:val="00F16FBB"/>
    <w:rsid w:val="00F33306"/>
    <w:rsid w:val="00F52477"/>
    <w:rsid w:val="00F56437"/>
    <w:rsid w:val="00F65F00"/>
    <w:rsid w:val="00F93214"/>
    <w:rsid w:val="00FA1781"/>
    <w:rsid w:val="00FA4CCC"/>
    <w:rsid w:val="00FB7A5E"/>
    <w:rsid w:val="00FC4895"/>
    <w:rsid w:val="00FD6A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E2759"/>
  <w15:docId w15:val="{85C99822-C21A-C047-91CE-06976E477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F2E2B"/>
    <w:pPr>
      <w:suppressAutoHyphens/>
    </w:pPr>
  </w:style>
  <w:style w:type="paragraph" w:styleId="Heading3">
    <w:name w:val="heading 3"/>
    <w:basedOn w:val="Normal"/>
    <w:link w:val="Heading3Char"/>
    <w:uiPriority w:val="9"/>
    <w:qFormat/>
    <w:rsid w:val="004A65C1"/>
    <w:pPr>
      <w:suppressAutoHyphens w:val="0"/>
      <w:autoSpaceDN/>
      <w:spacing w:before="100" w:beforeAutospacing="1" w:after="100" w:afterAutospacing="1" w:line="240" w:lineRule="auto"/>
      <w:textAlignment w:val="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6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DA2"/>
  </w:style>
  <w:style w:type="paragraph" w:styleId="Footer">
    <w:name w:val="footer"/>
    <w:basedOn w:val="Normal"/>
    <w:link w:val="FooterChar"/>
    <w:uiPriority w:val="99"/>
    <w:unhideWhenUsed/>
    <w:rsid w:val="00B66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DA2"/>
  </w:style>
  <w:style w:type="character" w:styleId="IntenseReference">
    <w:name w:val="Intense Reference"/>
    <w:basedOn w:val="DefaultParagraphFont"/>
    <w:uiPriority w:val="32"/>
    <w:qFormat/>
    <w:rsid w:val="00D01CBA"/>
    <w:rPr>
      <w:b/>
      <w:bCs/>
      <w:smallCaps/>
      <w:color w:val="5B9BD5" w:themeColor="accent1"/>
      <w:spacing w:val="5"/>
    </w:rPr>
  </w:style>
  <w:style w:type="character" w:customStyle="1" w:styleId="Heading3Char">
    <w:name w:val="Heading 3 Char"/>
    <w:basedOn w:val="DefaultParagraphFont"/>
    <w:link w:val="Heading3"/>
    <w:uiPriority w:val="9"/>
    <w:rsid w:val="004A65C1"/>
    <w:rPr>
      <w:rFonts w:ascii="Times New Roman" w:eastAsia="Times New Roman" w:hAnsi="Times New Roman"/>
      <w:b/>
      <w:bCs/>
      <w:sz w:val="27"/>
      <w:szCs w:val="27"/>
      <w:lang w:eastAsia="en-GB"/>
    </w:rPr>
  </w:style>
  <w:style w:type="character" w:customStyle="1" w:styleId="mntl-sc-block-headingtext">
    <w:name w:val="mntl-sc-block-heading__text"/>
    <w:basedOn w:val="DefaultParagraphFont"/>
    <w:rsid w:val="004A65C1"/>
  </w:style>
  <w:style w:type="paragraph" w:styleId="NoSpacing">
    <w:name w:val="No Spacing"/>
    <w:uiPriority w:val="1"/>
    <w:qFormat/>
    <w:rsid w:val="00872CEE"/>
    <w:pPr>
      <w:suppressAutoHyphens/>
      <w:spacing w:after="0" w:line="240" w:lineRule="auto"/>
    </w:pPr>
  </w:style>
  <w:style w:type="paragraph" w:styleId="FootnoteText">
    <w:name w:val="footnote text"/>
    <w:basedOn w:val="Normal"/>
    <w:link w:val="FootnoteTextChar"/>
    <w:uiPriority w:val="99"/>
    <w:semiHidden/>
    <w:unhideWhenUsed/>
    <w:rsid w:val="00FA4C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4CCC"/>
    <w:rPr>
      <w:sz w:val="20"/>
      <w:szCs w:val="20"/>
    </w:rPr>
  </w:style>
  <w:style w:type="character" w:styleId="FootnoteReference">
    <w:name w:val="footnote reference"/>
    <w:basedOn w:val="DefaultParagraphFont"/>
    <w:uiPriority w:val="99"/>
    <w:semiHidden/>
    <w:unhideWhenUsed/>
    <w:rsid w:val="00FA4CCC"/>
    <w:rPr>
      <w:vertAlign w:val="superscript"/>
    </w:rPr>
  </w:style>
  <w:style w:type="paragraph" w:styleId="BalloonText">
    <w:name w:val="Balloon Text"/>
    <w:basedOn w:val="Normal"/>
    <w:link w:val="BalloonTextChar"/>
    <w:uiPriority w:val="99"/>
    <w:semiHidden/>
    <w:unhideWhenUsed/>
    <w:rsid w:val="00AE42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2A2"/>
    <w:rPr>
      <w:rFonts w:ascii="Segoe UI" w:hAnsi="Segoe UI" w:cs="Segoe UI"/>
      <w:sz w:val="18"/>
      <w:szCs w:val="18"/>
    </w:rPr>
  </w:style>
  <w:style w:type="character" w:styleId="Hyperlink">
    <w:name w:val="Hyperlink"/>
    <w:basedOn w:val="DefaultParagraphFont"/>
    <w:uiPriority w:val="99"/>
    <w:unhideWhenUsed/>
    <w:rsid w:val="0095135A"/>
    <w:rPr>
      <w:color w:val="0563C1" w:themeColor="hyperlink"/>
      <w:u w:val="single"/>
    </w:rPr>
  </w:style>
  <w:style w:type="character" w:styleId="CommentReference">
    <w:name w:val="annotation reference"/>
    <w:basedOn w:val="DefaultParagraphFont"/>
    <w:uiPriority w:val="99"/>
    <w:semiHidden/>
    <w:unhideWhenUsed/>
    <w:rsid w:val="009166E0"/>
    <w:rPr>
      <w:sz w:val="16"/>
      <w:szCs w:val="16"/>
    </w:rPr>
  </w:style>
  <w:style w:type="paragraph" w:styleId="CommentText">
    <w:name w:val="annotation text"/>
    <w:basedOn w:val="Normal"/>
    <w:link w:val="CommentTextChar"/>
    <w:uiPriority w:val="99"/>
    <w:semiHidden/>
    <w:unhideWhenUsed/>
    <w:rsid w:val="009166E0"/>
    <w:pPr>
      <w:spacing w:line="240" w:lineRule="auto"/>
    </w:pPr>
    <w:rPr>
      <w:sz w:val="20"/>
      <w:szCs w:val="20"/>
    </w:rPr>
  </w:style>
  <w:style w:type="character" w:customStyle="1" w:styleId="CommentTextChar">
    <w:name w:val="Comment Text Char"/>
    <w:basedOn w:val="DefaultParagraphFont"/>
    <w:link w:val="CommentText"/>
    <w:uiPriority w:val="99"/>
    <w:semiHidden/>
    <w:rsid w:val="009166E0"/>
    <w:rPr>
      <w:sz w:val="20"/>
      <w:szCs w:val="20"/>
    </w:rPr>
  </w:style>
  <w:style w:type="paragraph" w:styleId="CommentSubject">
    <w:name w:val="annotation subject"/>
    <w:basedOn w:val="CommentText"/>
    <w:next w:val="CommentText"/>
    <w:link w:val="CommentSubjectChar"/>
    <w:uiPriority w:val="99"/>
    <w:semiHidden/>
    <w:unhideWhenUsed/>
    <w:rsid w:val="009166E0"/>
    <w:rPr>
      <w:b/>
      <w:bCs/>
    </w:rPr>
  </w:style>
  <w:style w:type="character" w:customStyle="1" w:styleId="CommentSubjectChar">
    <w:name w:val="Comment Subject Char"/>
    <w:basedOn w:val="CommentTextChar"/>
    <w:link w:val="CommentSubject"/>
    <w:uiPriority w:val="99"/>
    <w:semiHidden/>
    <w:rsid w:val="009166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8181012">
      <w:bodyDiv w:val="1"/>
      <w:marLeft w:val="0"/>
      <w:marRight w:val="0"/>
      <w:marTop w:val="0"/>
      <w:marBottom w:val="0"/>
      <w:divBdr>
        <w:top w:val="none" w:sz="0" w:space="0" w:color="auto"/>
        <w:left w:val="none" w:sz="0" w:space="0" w:color="auto"/>
        <w:bottom w:val="none" w:sz="0" w:space="0" w:color="auto"/>
        <w:right w:val="none" w:sz="0" w:space="0" w:color="auto"/>
      </w:divBdr>
    </w:div>
    <w:div w:id="2003391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gorffennol.swansea.ac.uk/wp-content/uploads/2016/01/8-masculine-iconography.pdf"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gorffennol.swansea.ac.uk/wp-content/uploads/2016/01/8-masculine-iconography.pdf"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orffennol.swansea.ac.uk/wp-content/uploads/2016/01/8-masculine-iconography.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gorffennol.swansea.ac.uk/wp-content/uploads/2016/01/8-masculine-iconography.pdf"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metmuseum.org/art/metpublications/Hatshepsut_From_Queen_to_Pharao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04296-6FA7-964B-A542-AF5F35CBB8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6</Pages>
  <Words>1872</Words>
  <Characters>10676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shannon farnon</dc:creator>
  <cp:lastModifiedBy>Shannon Farnon (1600196)</cp:lastModifiedBy>
  <cp:revision>44</cp:revision>
  <cp:lastPrinted>2019-06-07T08:20:00Z</cp:lastPrinted>
  <dcterms:created xsi:type="dcterms:W3CDTF">2019-06-09T21:10:00Z</dcterms:created>
  <dcterms:modified xsi:type="dcterms:W3CDTF">2019-06-10T01:47:00Z</dcterms:modified>
</cp:coreProperties>
</file>