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A1890" w14:textId="77777777" w:rsid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0BAA603D" w14:textId="1B5AC5EC" w:rsid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noProof/>
          <w:sz w:val="28"/>
          <w:szCs w:val="28"/>
          <w:lang w:val="en-US"/>
        </w:rPr>
        <w:drawing>
          <wp:inline distT="0" distB="0" distL="0" distR="0" wp14:anchorId="17867B2E" wp14:editId="2358A911">
            <wp:extent cx="4157980" cy="1329055"/>
            <wp:effectExtent l="0" t="0" r="0" b="0"/>
            <wp:docPr id="16982392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980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C149BC" w14:textId="4A10811D" w:rsidR="00CB313E" w:rsidRP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  <w:r w:rsidRPr="00CB313E">
        <w:rPr>
          <w:rFonts w:ascii="Arial" w:hAnsi="Arial" w:cs="Arial"/>
          <w:b/>
          <w:bCs/>
          <w:sz w:val="48"/>
          <w:szCs w:val="48"/>
          <w:lang w:val="en-US"/>
        </w:rPr>
        <w:t>BMHP6027_BIRM</w:t>
      </w:r>
    </w:p>
    <w:p w14:paraId="0289D30B" w14:textId="53174D21" w:rsidR="00CB313E" w:rsidRP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  <w:r w:rsidRPr="00CB313E">
        <w:rPr>
          <w:rFonts w:ascii="Arial" w:hAnsi="Arial" w:cs="Arial"/>
          <w:b/>
          <w:bCs/>
          <w:sz w:val="48"/>
          <w:szCs w:val="48"/>
          <w:lang w:val="en-US"/>
        </w:rPr>
        <w:t>Empowering The Older Person</w:t>
      </w:r>
    </w:p>
    <w:p w14:paraId="77068D69" w14:textId="77777777" w:rsidR="00CB313E" w:rsidRP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  <w:r w:rsidRPr="00CB313E">
        <w:rPr>
          <w:rFonts w:ascii="Arial" w:hAnsi="Arial" w:cs="Arial"/>
          <w:b/>
          <w:bCs/>
          <w:sz w:val="48"/>
          <w:szCs w:val="48"/>
          <w:lang w:val="en-US"/>
        </w:rPr>
        <w:t xml:space="preserve">Component 2: Debate </w:t>
      </w:r>
    </w:p>
    <w:p w14:paraId="0B7B0AA4" w14:textId="5F205916" w:rsidR="00CB313E" w:rsidRP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  <w:r w:rsidRPr="00CB313E">
        <w:rPr>
          <w:rFonts w:ascii="Arial" w:hAnsi="Arial" w:cs="Arial"/>
          <w:b/>
          <w:bCs/>
          <w:sz w:val="48"/>
          <w:szCs w:val="48"/>
          <w:lang w:val="en-US"/>
        </w:rPr>
        <w:t>(References)</w:t>
      </w:r>
    </w:p>
    <w:p w14:paraId="719504E3" w14:textId="49D590FC" w:rsidR="00CB313E" w:rsidRP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  <w:r w:rsidRPr="00CB313E">
        <w:rPr>
          <w:rFonts w:ascii="Arial" w:hAnsi="Arial" w:cs="Arial"/>
          <w:b/>
          <w:bCs/>
          <w:sz w:val="48"/>
          <w:szCs w:val="48"/>
          <w:lang w:val="en-US"/>
        </w:rPr>
        <w:t>Student Name: Nagish Aquil</w:t>
      </w:r>
    </w:p>
    <w:p w14:paraId="5C7FC953" w14:textId="0CC41501" w:rsidR="00CB313E" w:rsidRP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  <w:r w:rsidRPr="00CB313E">
        <w:rPr>
          <w:rFonts w:ascii="Arial" w:hAnsi="Arial" w:cs="Arial"/>
          <w:b/>
          <w:bCs/>
          <w:sz w:val="48"/>
          <w:szCs w:val="48"/>
          <w:lang w:val="en-US"/>
        </w:rPr>
        <w:t>Student ID: 2316023</w:t>
      </w:r>
    </w:p>
    <w:p w14:paraId="4A9A8641" w14:textId="6466D03D" w:rsidR="00CB313E" w:rsidRP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48"/>
          <w:szCs w:val="48"/>
          <w:lang w:val="en-US"/>
        </w:rPr>
      </w:pPr>
      <w:r w:rsidRPr="00CB313E">
        <w:rPr>
          <w:rFonts w:ascii="Arial" w:hAnsi="Arial" w:cs="Arial"/>
          <w:b/>
          <w:bCs/>
          <w:sz w:val="48"/>
          <w:szCs w:val="48"/>
          <w:lang w:val="en-US"/>
        </w:rPr>
        <w:t>Lecturer: Tomy Ada</w:t>
      </w:r>
      <w:r w:rsidR="001E57F3">
        <w:rPr>
          <w:rFonts w:ascii="Arial" w:hAnsi="Arial" w:cs="Arial"/>
          <w:b/>
          <w:bCs/>
          <w:sz w:val="48"/>
          <w:szCs w:val="48"/>
          <w:lang w:val="en-US"/>
        </w:rPr>
        <w:t>t</w:t>
      </w:r>
      <w:r w:rsidRPr="00CB313E">
        <w:rPr>
          <w:rFonts w:ascii="Arial" w:hAnsi="Arial" w:cs="Arial"/>
          <w:b/>
          <w:bCs/>
          <w:sz w:val="48"/>
          <w:szCs w:val="48"/>
          <w:lang w:val="en-US"/>
        </w:rPr>
        <w:t>tu Chacko</w:t>
      </w:r>
    </w:p>
    <w:p w14:paraId="73423217" w14:textId="77777777" w:rsid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55F36658" w14:textId="77777777" w:rsid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6E5F1EFA" w14:textId="77777777" w:rsid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5BC1BA19" w14:textId="77777777" w:rsidR="00CB313E" w:rsidRPr="00CB313E" w:rsidRDefault="00CB313E" w:rsidP="00CB313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114478AF" w14:textId="77777777" w:rsidR="00CB313E" w:rsidRPr="00CB313E" w:rsidRDefault="00CB313E" w:rsidP="00CB313E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65E2D10D" w14:textId="77777777" w:rsidR="00CB313E" w:rsidRDefault="00CB313E" w:rsidP="00CB313E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420BE02D" w14:textId="574F98CA" w:rsidR="00CB313E" w:rsidRPr="0043389B" w:rsidRDefault="00CB313E" w:rsidP="0043389B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43389B">
        <w:rPr>
          <w:rFonts w:ascii="Arial" w:hAnsi="Arial" w:cs="Arial"/>
          <w:b/>
          <w:bCs/>
          <w:u w:val="single"/>
          <w:lang w:val="en-US"/>
        </w:rPr>
        <w:lastRenderedPageBreak/>
        <w:t>References</w:t>
      </w:r>
    </w:p>
    <w:p w14:paraId="5CA3ED3F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 xml:space="preserve">Age UK (2022) </w:t>
      </w:r>
      <w:r w:rsidRPr="0043389B">
        <w:rPr>
          <w:rFonts w:ascii="Arial" w:hAnsi="Arial" w:cs="Arial"/>
          <w:i/>
          <w:iCs/>
        </w:rPr>
        <w:t xml:space="preserve">Later Life in the United Kingdom. </w:t>
      </w:r>
      <w:r w:rsidRPr="0043389B">
        <w:rPr>
          <w:rFonts w:ascii="Arial" w:hAnsi="Arial" w:cs="Arial"/>
        </w:rPr>
        <w:t xml:space="preserve">Available at: </w:t>
      </w:r>
      <w:hyperlink r:id="rId6" w:history="1">
        <w:r w:rsidRPr="0043389B">
          <w:rPr>
            <w:rStyle w:val="Hyperlink"/>
            <w:rFonts w:ascii="Arial" w:hAnsi="Arial" w:cs="Arial"/>
          </w:rPr>
          <w:t>Age UK | Let's change how we age</w:t>
        </w:r>
      </w:hyperlink>
      <w:r w:rsidRPr="0043389B">
        <w:rPr>
          <w:rFonts w:ascii="Arial" w:hAnsi="Arial" w:cs="Arial"/>
        </w:rPr>
        <w:t>, (Accessed 5 March 2026).</w:t>
      </w:r>
    </w:p>
    <w:p w14:paraId="17D16DFE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  <w:lang w:val="en-US"/>
        </w:rPr>
        <w:t>Beswick, A.D., Gooberman-Hill, R., Smith, A., Wylde, V. &amp; Ebrahim, S. (2010) Maintaining independence in olde people’</w:t>
      </w:r>
      <w:r w:rsidRPr="0043389B">
        <w:rPr>
          <w:rFonts w:ascii="Arial" w:hAnsi="Arial" w:cs="Arial"/>
          <w:i/>
          <w:iCs/>
          <w:lang w:val="en-US"/>
        </w:rPr>
        <w:t>, Reviews in clinical gerontology</w:t>
      </w:r>
      <w:r w:rsidRPr="0043389B">
        <w:rPr>
          <w:rFonts w:ascii="Arial" w:hAnsi="Arial" w:cs="Arial"/>
          <w:lang w:val="en-US"/>
        </w:rPr>
        <w:t xml:space="preserve">, 20(2). Available at: </w:t>
      </w:r>
      <w:hyperlink r:id="rId7" w:history="1">
        <w:r w:rsidRPr="0043389B">
          <w:rPr>
            <w:rStyle w:val="Hyperlink"/>
            <w:rFonts w:ascii="Arial" w:hAnsi="Arial" w:cs="Arial"/>
          </w:rPr>
          <w:t>Subcutaneous hydration by hypodermoclysis | Reviews in Clinical Gerontology | Cambridge Core</w:t>
        </w:r>
      </w:hyperlink>
      <w:r w:rsidRPr="0043389B">
        <w:rPr>
          <w:rFonts w:ascii="Arial" w:hAnsi="Arial" w:cs="Arial"/>
        </w:rPr>
        <w:t xml:space="preserve"> (Assessed: 4 march 2026).</w:t>
      </w:r>
    </w:p>
    <w:p w14:paraId="58757686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US"/>
        </w:rPr>
      </w:pPr>
      <w:r w:rsidRPr="0043389B">
        <w:rPr>
          <w:rFonts w:ascii="Arial" w:hAnsi="Arial" w:cs="Arial"/>
        </w:rPr>
        <w:t xml:space="preserve">Centre for Ageing Better (2021) </w:t>
      </w:r>
      <w:r w:rsidRPr="0043389B">
        <w:rPr>
          <w:rFonts w:ascii="Arial" w:hAnsi="Arial" w:cs="Arial"/>
          <w:i/>
          <w:iCs/>
        </w:rPr>
        <w:t xml:space="preserve">Home and Dry: Preventing independence. </w:t>
      </w:r>
      <w:r w:rsidRPr="0043389B">
        <w:rPr>
          <w:rFonts w:ascii="Arial" w:hAnsi="Arial" w:cs="Arial"/>
        </w:rPr>
        <w:t xml:space="preserve">Available at: </w:t>
      </w:r>
      <w:hyperlink r:id="rId8" w:history="1">
        <w:r w:rsidRPr="0043389B">
          <w:rPr>
            <w:rStyle w:val="Hyperlink"/>
            <w:rFonts w:ascii="Arial" w:hAnsi="Arial" w:cs="Arial"/>
          </w:rPr>
          <w:t>Centre for Ageing Better | Action today for all our tomorrows</w:t>
        </w:r>
      </w:hyperlink>
      <w:r w:rsidRPr="0043389B">
        <w:rPr>
          <w:rFonts w:ascii="Arial" w:hAnsi="Arial" w:cs="Arial"/>
        </w:rPr>
        <w:t>, (Accessed 5 March 2026).</w:t>
      </w:r>
    </w:p>
    <w:p w14:paraId="2D50D6EF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US"/>
        </w:rPr>
      </w:pPr>
      <w:r w:rsidRPr="0043389B">
        <w:rPr>
          <w:rFonts w:ascii="Arial" w:hAnsi="Arial" w:cs="Arial"/>
        </w:rPr>
        <w:t xml:space="preserve">Department of Health and Social Care (2021) </w:t>
      </w:r>
      <w:r w:rsidRPr="0043389B">
        <w:rPr>
          <w:rFonts w:ascii="Arial" w:hAnsi="Arial" w:cs="Arial"/>
          <w:i/>
          <w:iCs/>
        </w:rPr>
        <w:t xml:space="preserve">People at the heart of care: Adult Social Care Reform. Available at: </w:t>
      </w:r>
      <w:hyperlink r:id="rId9" w:history="1">
        <w:r w:rsidRPr="0043389B">
          <w:rPr>
            <w:rStyle w:val="Hyperlink"/>
            <w:rFonts w:ascii="Arial" w:hAnsi="Arial" w:cs="Arial"/>
          </w:rPr>
          <w:t>adult social care reform 2014 - Search - GOV.UK</w:t>
        </w:r>
      </w:hyperlink>
      <w:r w:rsidRPr="0043389B">
        <w:rPr>
          <w:rFonts w:ascii="Arial" w:hAnsi="Arial" w:cs="Arial"/>
        </w:rPr>
        <w:t>, ( Accessed 5 March 2026).</w:t>
      </w:r>
    </w:p>
    <w:p w14:paraId="11526A04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US"/>
        </w:rPr>
      </w:pPr>
      <w:r w:rsidRPr="0043389B">
        <w:rPr>
          <w:rFonts w:ascii="Arial" w:hAnsi="Arial" w:cs="Arial"/>
        </w:rPr>
        <w:t xml:space="preserve">European Commission (2018) </w:t>
      </w:r>
      <w:r w:rsidRPr="0043389B">
        <w:rPr>
          <w:rFonts w:ascii="Arial" w:hAnsi="Arial" w:cs="Arial"/>
          <w:i/>
          <w:iCs/>
        </w:rPr>
        <w:t xml:space="preserve">Ageing Europe: Looking at the Lives of Older people. </w:t>
      </w:r>
      <w:r w:rsidRPr="0043389B">
        <w:rPr>
          <w:rFonts w:ascii="Arial" w:hAnsi="Arial" w:cs="Arial"/>
        </w:rPr>
        <w:t xml:space="preserve">Available at: </w:t>
      </w:r>
      <w:hyperlink r:id="rId10" w:history="1">
        <w:r w:rsidRPr="0043389B">
          <w:rPr>
            <w:rStyle w:val="Hyperlink"/>
            <w:rFonts w:ascii="Arial" w:hAnsi="Arial" w:cs="Arial"/>
          </w:rPr>
          <w:t>European Commission, official website - European Commission</w:t>
        </w:r>
      </w:hyperlink>
      <w:r w:rsidRPr="0043389B">
        <w:rPr>
          <w:rFonts w:ascii="Arial" w:hAnsi="Arial" w:cs="Arial"/>
        </w:rPr>
        <w:t>, (Accessed: 5 March 2026).</w:t>
      </w:r>
    </w:p>
    <w:p w14:paraId="21B9D11B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 xml:space="preserve">Gitlin, L.N. (2023) ‘Conducting research on home environments’, </w:t>
      </w:r>
      <w:r w:rsidRPr="0043389B">
        <w:rPr>
          <w:rFonts w:ascii="Arial" w:hAnsi="Arial" w:cs="Arial"/>
          <w:i/>
          <w:iCs/>
        </w:rPr>
        <w:t xml:space="preserve">The Gerontologist, 43(5). </w:t>
      </w:r>
      <w:r w:rsidRPr="0043389B">
        <w:rPr>
          <w:rFonts w:ascii="Arial" w:hAnsi="Arial" w:cs="Arial"/>
        </w:rPr>
        <w:t xml:space="preserve">Available at: </w:t>
      </w:r>
      <w:hyperlink r:id="rId11" w:history="1">
        <w:r w:rsidRPr="0043389B">
          <w:rPr>
            <w:rStyle w:val="Hyperlink"/>
            <w:rFonts w:ascii="Arial" w:hAnsi="Arial" w:cs="Arial"/>
          </w:rPr>
          <w:t>Conducting Research on Home Environments: Lessons Learned and New Directions | The Gerontologist | Oxford Academic</w:t>
        </w:r>
      </w:hyperlink>
      <w:r w:rsidRPr="0043389B">
        <w:rPr>
          <w:rFonts w:ascii="Arial" w:hAnsi="Arial" w:cs="Arial"/>
        </w:rPr>
        <w:t>, (Accessed 6 March 2026).</w:t>
      </w:r>
    </w:p>
    <w:p w14:paraId="7097AE61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 xml:space="preserve">Greenfield, E.A. (2012) ‘Using ecological frameworks to advance a field of research’, </w:t>
      </w:r>
      <w:r w:rsidRPr="0043389B">
        <w:rPr>
          <w:rFonts w:ascii="Arial" w:hAnsi="Arial" w:cs="Arial"/>
          <w:i/>
          <w:iCs/>
        </w:rPr>
        <w:t xml:space="preserve">The Gerontologist, 52(1). </w:t>
      </w:r>
      <w:r w:rsidRPr="0043389B">
        <w:rPr>
          <w:rFonts w:ascii="Arial" w:hAnsi="Arial" w:cs="Arial"/>
        </w:rPr>
        <w:t xml:space="preserve">Available at: </w:t>
      </w:r>
      <w:hyperlink r:id="rId12" w:history="1">
        <w:r w:rsidRPr="0043389B">
          <w:rPr>
            <w:rStyle w:val="Hyperlink"/>
            <w:rFonts w:ascii="Arial" w:hAnsi="Arial" w:cs="Arial"/>
          </w:rPr>
          <w:t>Using Ecological Frameworks to Advance a Field of Research, Practice, and Policy on Aging-in-Place Initiatives | The Gerontologist | Oxford Academic</w:t>
        </w:r>
      </w:hyperlink>
      <w:r w:rsidRPr="0043389B">
        <w:rPr>
          <w:rFonts w:ascii="Arial" w:hAnsi="Arial" w:cs="Arial"/>
        </w:rPr>
        <w:t>, (Accessed 6 March 2026).</w:t>
      </w:r>
    </w:p>
    <w:p w14:paraId="0609BA93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US"/>
        </w:rPr>
      </w:pPr>
      <w:r w:rsidRPr="0043389B">
        <w:rPr>
          <w:rFonts w:ascii="Arial" w:hAnsi="Arial" w:cs="Arial"/>
        </w:rPr>
        <w:t xml:space="preserve">HM Government (2014) </w:t>
      </w:r>
      <w:r w:rsidRPr="0043389B">
        <w:rPr>
          <w:rFonts w:ascii="Arial" w:hAnsi="Arial" w:cs="Arial"/>
          <w:i/>
          <w:iCs/>
        </w:rPr>
        <w:t xml:space="preserve">Care Act 2014. </w:t>
      </w:r>
      <w:r w:rsidRPr="0043389B">
        <w:rPr>
          <w:rFonts w:ascii="Arial" w:hAnsi="Arial" w:cs="Arial"/>
        </w:rPr>
        <w:t xml:space="preserve">Available at: </w:t>
      </w:r>
      <w:hyperlink r:id="rId13" w:history="1">
        <w:r w:rsidRPr="0043389B">
          <w:rPr>
            <w:rStyle w:val="Hyperlink"/>
            <w:rFonts w:ascii="Arial" w:hAnsi="Arial" w:cs="Arial"/>
          </w:rPr>
          <w:t>Care Act 2014</w:t>
        </w:r>
      </w:hyperlink>
      <w:r w:rsidRPr="0043389B">
        <w:rPr>
          <w:rFonts w:ascii="Arial" w:hAnsi="Arial" w:cs="Arial"/>
        </w:rPr>
        <w:t>, (Accessed 6 March 2026).</w:t>
      </w:r>
    </w:p>
    <w:p w14:paraId="3E474C47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 xml:space="preserve">Ho, L., Malden, S., McGill, K., Shimonovich, M. et al. (2023) ‘Complex interventions for improving independent living and quality of life’, </w:t>
      </w:r>
      <w:r w:rsidRPr="0043389B">
        <w:rPr>
          <w:rFonts w:ascii="Arial" w:hAnsi="Arial" w:cs="Arial"/>
          <w:i/>
          <w:iCs/>
        </w:rPr>
        <w:t xml:space="preserve">Age and ageing, 52(7). </w:t>
      </w:r>
      <w:r w:rsidRPr="0043389B">
        <w:rPr>
          <w:rFonts w:ascii="Arial" w:hAnsi="Arial" w:cs="Arial"/>
        </w:rPr>
        <w:t xml:space="preserve">Available at: </w:t>
      </w:r>
      <w:hyperlink r:id="rId14" w:history="1">
        <w:r w:rsidRPr="0043389B">
          <w:rPr>
            <w:rStyle w:val="Hyperlink"/>
            <w:rFonts w:ascii="Arial" w:hAnsi="Arial" w:cs="Arial"/>
          </w:rPr>
          <w:t>Complex interventions for improving independent living and quality of life amongst community-dwelling older adults: a systematic review and meta-analysis | Age and Ageing | Oxford Academic</w:t>
        </w:r>
      </w:hyperlink>
      <w:r w:rsidRPr="0043389B">
        <w:rPr>
          <w:rFonts w:ascii="Arial" w:hAnsi="Arial" w:cs="Arial"/>
        </w:rPr>
        <w:t xml:space="preserve"> (Accessed: 4 March 2026).</w:t>
      </w:r>
    </w:p>
    <w:p w14:paraId="50462672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 xml:space="preserve">Hollomotz, A., Priestley, M., Andre, D. et al. (2021) </w:t>
      </w:r>
      <w:r w:rsidRPr="0043389B">
        <w:rPr>
          <w:rFonts w:ascii="Arial" w:hAnsi="Arial" w:cs="Arial"/>
          <w:i/>
          <w:iCs/>
        </w:rPr>
        <w:t>The lived experience of disabled people in the UK: a review of evidence.</w:t>
      </w:r>
      <w:r w:rsidRPr="0043389B">
        <w:rPr>
          <w:rFonts w:ascii="Arial" w:hAnsi="Arial" w:cs="Arial"/>
        </w:rPr>
        <w:t xml:space="preserve"> GOV.UK. Available at: </w:t>
      </w:r>
      <w:hyperlink r:id="rId15" w:history="1">
        <w:r w:rsidRPr="0043389B">
          <w:rPr>
            <w:rStyle w:val="Hyperlink"/>
            <w:rFonts w:ascii="Arial" w:hAnsi="Arial" w:cs="Arial"/>
          </w:rPr>
          <w:t>The lived experience of disabled people in the UK: a review of evidence - GOV.UK</w:t>
        </w:r>
      </w:hyperlink>
      <w:r w:rsidRPr="0043389B">
        <w:rPr>
          <w:rFonts w:ascii="Arial" w:hAnsi="Arial" w:cs="Arial"/>
        </w:rPr>
        <w:t xml:space="preserve"> (Accessed: 4 march 2026).</w:t>
      </w:r>
    </w:p>
    <w:p w14:paraId="2E3DB769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 xml:space="preserve">Karunananthan, S., Hakinjavadi, R. &amp; Konnyu, K. (2024) ‘Maintaining independence in older adults’, </w:t>
      </w:r>
      <w:r w:rsidRPr="0043389B">
        <w:rPr>
          <w:rFonts w:ascii="Arial" w:hAnsi="Arial" w:cs="Arial"/>
          <w:i/>
          <w:iCs/>
        </w:rPr>
        <w:t xml:space="preserve">BMJ, </w:t>
      </w:r>
      <w:proofErr w:type="gramStart"/>
      <w:r w:rsidRPr="0043389B">
        <w:rPr>
          <w:rFonts w:ascii="Arial" w:hAnsi="Arial" w:cs="Arial"/>
        </w:rPr>
        <w:t>384:q</w:t>
      </w:r>
      <w:proofErr w:type="gramEnd"/>
      <w:r w:rsidRPr="0043389B">
        <w:rPr>
          <w:rFonts w:ascii="Arial" w:hAnsi="Arial" w:cs="Arial"/>
        </w:rPr>
        <w:t xml:space="preserve">592. Available at: </w:t>
      </w:r>
      <w:hyperlink r:id="rId16" w:history="1">
        <w:r w:rsidRPr="0043389B">
          <w:rPr>
            <w:rStyle w:val="Hyperlink"/>
            <w:rFonts w:ascii="Arial" w:hAnsi="Arial" w:cs="Arial"/>
          </w:rPr>
          <w:t>Maintaining independence in older adults | The BMJ</w:t>
        </w:r>
      </w:hyperlink>
      <w:r w:rsidRPr="0043389B">
        <w:rPr>
          <w:rFonts w:ascii="Arial" w:hAnsi="Arial" w:cs="Arial"/>
        </w:rPr>
        <w:t xml:space="preserve"> (Accessed: 4 March 2026).</w:t>
      </w:r>
    </w:p>
    <w:p w14:paraId="10B20260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lastRenderedPageBreak/>
        <w:t xml:space="preserve">Marmont, M. (2020) </w:t>
      </w:r>
      <w:r w:rsidRPr="0043389B">
        <w:rPr>
          <w:rFonts w:ascii="Arial" w:hAnsi="Arial" w:cs="Arial"/>
          <w:i/>
          <w:iCs/>
        </w:rPr>
        <w:t xml:space="preserve">Health Equity in England: The Marmont Review 10 years on. </w:t>
      </w:r>
      <w:r w:rsidRPr="0043389B">
        <w:rPr>
          <w:rFonts w:ascii="Arial" w:hAnsi="Arial" w:cs="Arial"/>
        </w:rPr>
        <w:t xml:space="preserve">Available at: </w:t>
      </w:r>
      <w:hyperlink r:id="rId17" w:history="1">
        <w:r w:rsidRPr="0043389B">
          <w:rPr>
            <w:rStyle w:val="Hyperlink"/>
            <w:rFonts w:ascii="Arial" w:hAnsi="Arial" w:cs="Arial"/>
          </w:rPr>
          <w:t>Home | The Health Foundation</w:t>
        </w:r>
      </w:hyperlink>
      <w:r w:rsidRPr="0043389B">
        <w:rPr>
          <w:rFonts w:ascii="Arial" w:hAnsi="Arial" w:cs="Arial"/>
        </w:rPr>
        <w:t>, (Accessed: 5 March 2026).</w:t>
      </w:r>
    </w:p>
    <w:p w14:paraId="1811DE71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 xml:space="preserve">NICE (2015) Older people: independence and mental wellbeing (NG32). Available at: </w:t>
      </w:r>
      <w:hyperlink r:id="rId18" w:history="1">
        <w:r w:rsidRPr="0043389B">
          <w:rPr>
            <w:rStyle w:val="Hyperlink"/>
            <w:rFonts w:ascii="Arial" w:hAnsi="Arial" w:cs="Arial"/>
          </w:rPr>
          <w:t>Overview | Older people: independence and mental wellbeing | Guidance | NICE</w:t>
        </w:r>
      </w:hyperlink>
      <w:r w:rsidRPr="0043389B">
        <w:rPr>
          <w:rFonts w:ascii="Arial" w:hAnsi="Arial" w:cs="Arial"/>
        </w:rPr>
        <w:t>,(Accessed: 4 March 2026).</w:t>
      </w:r>
    </w:p>
    <w:p w14:paraId="008F460F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 xml:space="preserve">Sixsmith, A. &amp; Sixsmith, J. (2018) </w:t>
      </w:r>
      <w:proofErr w:type="gramStart"/>
      <w:r w:rsidRPr="0043389B">
        <w:rPr>
          <w:rFonts w:ascii="Arial" w:hAnsi="Arial" w:cs="Arial"/>
        </w:rPr>
        <w:t>‘ Ageing</w:t>
      </w:r>
      <w:proofErr w:type="gramEnd"/>
      <w:r w:rsidRPr="0043389B">
        <w:rPr>
          <w:rFonts w:ascii="Arial" w:hAnsi="Arial" w:cs="Arial"/>
        </w:rPr>
        <w:t xml:space="preserve"> in place in the UK’, </w:t>
      </w:r>
      <w:r w:rsidRPr="0043389B">
        <w:rPr>
          <w:rFonts w:ascii="Arial" w:hAnsi="Arial" w:cs="Arial"/>
          <w:i/>
          <w:iCs/>
        </w:rPr>
        <w:t xml:space="preserve">Ageing international, 32(3). </w:t>
      </w:r>
      <w:r w:rsidRPr="0043389B">
        <w:rPr>
          <w:rFonts w:ascii="Arial" w:hAnsi="Arial" w:cs="Arial"/>
        </w:rPr>
        <w:t xml:space="preserve">Available at: </w:t>
      </w:r>
      <w:hyperlink r:id="rId19" w:history="1">
        <w:r w:rsidRPr="0043389B">
          <w:rPr>
            <w:rStyle w:val="Hyperlink"/>
            <w:rFonts w:ascii="Arial" w:hAnsi="Arial" w:cs="Arial"/>
          </w:rPr>
          <w:t>Ageing in Place in the United Kingdom | Ageing International | Springer Nature Link</w:t>
        </w:r>
      </w:hyperlink>
      <w:r w:rsidRPr="0043389B">
        <w:rPr>
          <w:rFonts w:ascii="Arial" w:hAnsi="Arial" w:cs="Arial"/>
        </w:rPr>
        <w:t xml:space="preserve"> (Accessed: 4 march 2026).</w:t>
      </w:r>
    </w:p>
    <w:p w14:paraId="137F58FC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US"/>
        </w:rPr>
      </w:pPr>
      <w:r w:rsidRPr="0043389B">
        <w:rPr>
          <w:rFonts w:ascii="Arial" w:hAnsi="Arial" w:cs="Arial"/>
        </w:rPr>
        <w:t xml:space="preserve">Social Care Institute for Excellence (SCIE) (2020) </w:t>
      </w:r>
      <w:r w:rsidRPr="0043389B">
        <w:rPr>
          <w:rFonts w:ascii="Arial" w:hAnsi="Arial" w:cs="Arial"/>
          <w:i/>
          <w:iCs/>
        </w:rPr>
        <w:t xml:space="preserve">Promoting independence. </w:t>
      </w:r>
      <w:r w:rsidRPr="0043389B">
        <w:rPr>
          <w:rFonts w:ascii="Arial" w:hAnsi="Arial" w:cs="Arial"/>
        </w:rPr>
        <w:t xml:space="preserve">Available at: </w:t>
      </w:r>
      <w:hyperlink r:id="rId20" w:history="1">
        <w:r w:rsidRPr="0043389B">
          <w:rPr>
            <w:rStyle w:val="Hyperlink"/>
            <w:rFonts w:ascii="Arial" w:hAnsi="Arial" w:cs="Arial"/>
          </w:rPr>
          <w:t>Social Care Institute for Excellence (SCIE)</w:t>
        </w:r>
      </w:hyperlink>
      <w:r w:rsidRPr="0043389B">
        <w:rPr>
          <w:rFonts w:ascii="Arial" w:hAnsi="Arial" w:cs="Arial"/>
        </w:rPr>
        <w:t>, (Accessed: 5 March 2026).</w:t>
      </w:r>
    </w:p>
    <w:p w14:paraId="1785837B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 xml:space="preserve">Szanton, S.L. et al. (2011) ‘CAPABLE trial: home- based intervention’, </w:t>
      </w:r>
      <w:r w:rsidRPr="0043389B">
        <w:rPr>
          <w:rFonts w:ascii="Arial" w:hAnsi="Arial" w:cs="Arial"/>
          <w:i/>
          <w:iCs/>
        </w:rPr>
        <w:t xml:space="preserve">Journal of the American Geriatrics Society, 59(12). Available at: </w:t>
      </w:r>
      <w:hyperlink r:id="rId21" w:history="1">
        <w:r w:rsidRPr="0043389B">
          <w:rPr>
            <w:rStyle w:val="Hyperlink"/>
            <w:rFonts w:ascii="Arial" w:hAnsi="Arial" w:cs="Arial"/>
          </w:rPr>
          <w:t>Community Aging in Place, Advancing Better Living for Elders: A Bio</w:t>
        </w:r>
        <w:r w:rsidRPr="0043389B">
          <w:rPr>
            <w:rStyle w:val="Hyperlink"/>
            <w:rFonts w:ascii="Cambria Math" w:hAnsi="Cambria Math" w:cs="Cambria Math"/>
          </w:rPr>
          <w:t>‐</w:t>
        </w:r>
        <w:r w:rsidRPr="0043389B">
          <w:rPr>
            <w:rStyle w:val="Hyperlink"/>
            <w:rFonts w:ascii="Arial" w:hAnsi="Arial" w:cs="Arial"/>
          </w:rPr>
          <w:t>Behavioural</w:t>
        </w:r>
        <w:r w:rsidRPr="0043389B">
          <w:rPr>
            <w:rStyle w:val="Hyperlink"/>
            <w:rFonts w:ascii="Cambria Math" w:hAnsi="Cambria Math" w:cs="Cambria Math"/>
          </w:rPr>
          <w:t>‐</w:t>
        </w:r>
        <w:r w:rsidRPr="0043389B">
          <w:rPr>
            <w:rStyle w:val="Hyperlink"/>
            <w:rFonts w:ascii="Arial" w:hAnsi="Arial" w:cs="Arial"/>
          </w:rPr>
          <w:t>Environmental Intervention to Improve Function and Health</w:t>
        </w:r>
        <w:r w:rsidRPr="0043389B">
          <w:rPr>
            <w:rStyle w:val="Hyperlink"/>
            <w:rFonts w:ascii="Cambria Math" w:hAnsi="Cambria Math" w:cs="Cambria Math"/>
          </w:rPr>
          <w:t>‐</w:t>
        </w:r>
        <w:r w:rsidRPr="0043389B">
          <w:rPr>
            <w:rStyle w:val="Hyperlink"/>
            <w:rFonts w:ascii="Arial" w:hAnsi="Arial" w:cs="Arial"/>
          </w:rPr>
          <w:t>Related Quality of Life in Disabled Older Adults - Szanton - 2011 - Journal of the American Geriatrics Society - Wiley Online Library</w:t>
        </w:r>
      </w:hyperlink>
      <w:r w:rsidRPr="0043389B">
        <w:rPr>
          <w:rFonts w:ascii="Arial" w:hAnsi="Arial" w:cs="Arial"/>
        </w:rPr>
        <w:t>, (Accessed: 5 March 2026).</w:t>
      </w:r>
    </w:p>
    <w:p w14:paraId="7811D30B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US"/>
        </w:rPr>
      </w:pPr>
      <w:r w:rsidRPr="0043389B">
        <w:rPr>
          <w:rFonts w:ascii="Arial" w:hAnsi="Arial" w:cs="Arial"/>
        </w:rPr>
        <w:t xml:space="preserve">United Nations (2015) </w:t>
      </w:r>
      <w:r w:rsidRPr="0043389B">
        <w:rPr>
          <w:rFonts w:ascii="Arial" w:hAnsi="Arial" w:cs="Arial"/>
          <w:i/>
          <w:iCs/>
        </w:rPr>
        <w:t xml:space="preserve">Principles for Older Persons. </w:t>
      </w:r>
      <w:r w:rsidRPr="0043389B">
        <w:rPr>
          <w:rFonts w:ascii="Arial" w:hAnsi="Arial" w:cs="Arial"/>
        </w:rPr>
        <w:t xml:space="preserve">Available at: </w:t>
      </w:r>
      <w:hyperlink r:id="rId22" w:history="1">
        <w:r w:rsidRPr="0043389B">
          <w:rPr>
            <w:rStyle w:val="Hyperlink"/>
            <w:rFonts w:ascii="Arial" w:hAnsi="Arial" w:cs="Arial"/>
          </w:rPr>
          <w:t>United Nations | Peace, dignity and equality on a healthy planet</w:t>
        </w:r>
      </w:hyperlink>
      <w:r w:rsidRPr="0043389B">
        <w:rPr>
          <w:rFonts w:ascii="Arial" w:hAnsi="Arial" w:cs="Arial"/>
        </w:rPr>
        <w:t>, (Accessed: 4 March 2026).</w:t>
      </w:r>
    </w:p>
    <w:p w14:paraId="5EDA4EE2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 xml:space="preserve">Walker, A. et al. (2002) ‘A Strategy for active ageing’, International Social Security Review, 55(1), pp. 121- 139. Available at: </w:t>
      </w:r>
      <w:hyperlink r:id="rId23" w:history="1">
        <w:r w:rsidRPr="0043389B">
          <w:rPr>
            <w:rStyle w:val="Hyperlink"/>
            <w:rFonts w:ascii="Arial" w:hAnsi="Arial" w:cs="Arial"/>
          </w:rPr>
          <w:t>A strategy for active ageing - Walker - 2002 - International Social Security Review - Wiley Online Library</w:t>
        </w:r>
      </w:hyperlink>
      <w:r w:rsidRPr="0043389B">
        <w:rPr>
          <w:rFonts w:ascii="Arial" w:hAnsi="Arial" w:cs="Arial"/>
        </w:rPr>
        <w:t>, (Accessed: 6 March 2026).</w:t>
      </w:r>
    </w:p>
    <w:p w14:paraId="78111C53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lang w:val="en-US"/>
        </w:rPr>
      </w:pPr>
      <w:r w:rsidRPr="0043389B">
        <w:rPr>
          <w:rFonts w:ascii="Arial" w:hAnsi="Arial" w:cs="Arial"/>
        </w:rPr>
        <w:t xml:space="preserve">WHO (2015) </w:t>
      </w:r>
      <w:r w:rsidRPr="0043389B">
        <w:rPr>
          <w:rFonts w:ascii="Arial" w:hAnsi="Arial" w:cs="Arial"/>
          <w:i/>
          <w:iCs/>
        </w:rPr>
        <w:t xml:space="preserve">World Report on Ageing and Health. </w:t>
      </w:r>
      <w:r w:rsidRPr="0043389B">
        <w:rPr>
          <w:rFonts w:ascii="Arial" w:hAnsi="Arial" w:cs="Arial"/>
        </w:rPr>
        <w:t xml:space="preserve">Available at: </w:t>
      </w:r>
      <w:hyperlink r:id="rId24" w:history="1">
        <w:r w:rsidRPr="0043389B">
          <w:rPr>
            <w:rStyle w:val="Hyperlink"/>
            <w:rFonts w:ascii="Arial" w:hAnsi="Arial" w:cs="Arial"/>
          </w:rPr>
          <w:t>World Health Organization (WHO)</w:t>
        </w:r>
      </w:hyperlink>
      <w:r w:rsidRPr="0043389B">
        <w:rPr>
          <w:rFonts w:ascii="Arial" w:hAnsi="Arial" w:cs="Arial"/>
        </w:rPr>
        <w:t>, (Accessed: 4 March 2026).</w:t>
      </w:r>
    </w:p>
    <w:p w14:paraId="43788F64" w14:textId="77777777" w:rsidR="00CB313E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 xml:space="preserve">Wiles, J.L., Leigbing, A., Guberman, N., Reeve, J. &amp;Allen, R.E. (2012) ‘The meaning of ageing in place”’, </w:t>
      </w:r>
      <w:r w:rsidRPr="0043389B">
        <w:rPr>
          <w:rFonts w:ascii="Arial" w:hAnsi="Arial" w:cs="Arial"/>
          <w:i/>
          <w:iCs/>
        </w:rPr>
        <w:t xml:space="preserve">The Gerontologist, 52(3). </w:t>
      </w:r>
      <w:r w:rsidRPr="0043389B">
        <w:rPr>
          <w:rFonts w:ascii="Arial" w:hAnsi="Arial" w:cs="Arial"/>
        </w:rPr>
        <w:t xml:space="preserve">Available at: </w:t>
      </w:r>
      <w:hyperlink r:id="rId25" w:history="1">
        <w:r w:rsidRPr="0043389B">
          <w:rPr>
            <w:rStyle w:val="Hyperlink"/>
            <w:rFonts w:ascii="Arial" w:hAnsi="Arial" w:cs="Arial"/>
          </w:rPr>
          <w:t>Meaning of “Aging in Place” to Older People | The Gerontologist | Oxford Academic</w:t>
        </w:r>
      </w:hyperlink>
      <w:r w:rsidRPr="0043389B">
        <w:rPr>
          <w:rFonts w:ascii="Arial" w:hAnsi="Arial" w:cs="Arial"/>
        </w:rPr>
        <w:t>, (Accessed: 6 March 2026).</w:t>
      </w:r>
    </w:p>
    <w:p w14:paraId="5DE1BBB7" w14:textId="10AAB541" w:rsidR="00504CF6" w:rsidRPr="0043389B" w:rsidRDefault="00CB313E" w:rsidP="004338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3389B">
        <w:rPr>
          <w:rFonts w:ascii="Arial" w:hAnsi="Arial" w:cs="Arial"/>
        </w:rPr>
        <w:t>World Health Organization (2020)</w:t>
      </w:r>
      <w:r w:rsidRPr="0043389B">
        <w:rPr>
          <w:rFonts w:ascii="Arial" w:hAnsi="Arial" w:cs="Arial"/>
        </w:rPr>
        <w:t xml:space="preserve"> </w:t>
      </w:r>
      <w:r w:rsidRPr="0043389B">
        <w:rPr>
          <w:rFonts w:ascii="Arial" w:hAnsi="Arial" w:cs="Arial"/>
          <w:i/>
          <w:iCs/>
        </w:rPr>
        <w:t xml:space="preserve">Decade of Healthy Ageing 2020-2030. </w:t>
      </w:r>
      <w:r w:rsidRPr="0043389B">
        <w:rPr>
          <w:rFonts w:ascii="Arial" w:hAnsi="Arial" w:cs="Arial"/>
        </w:rPr>
        <w:t xml:space="preserve">Available at: </w:t>
      </w:r>
      <w:hyperlink r:id="rId26" w:history="1">
        <w:r w:rsidRPr="0043389B">
          <w:rPr>
            <w:rStyle w:val="Hyperlink"/>
            <w:rFonts w:ascii="Arial" w:hAnsi="Arial" w:cs="Arial"/>
          </w:rPr>
          <w:t>WHO's work on the UN Decade of Healthy Ageing (2021-2030)</w:t>
        </w:r>
      </w:hyperlink>
      <w:r w:rsidRPr="0043389B">
        <w:rPr>
          <w:rFonts w:ascii="Arial" w:hAnsi="Arial" w:cs="Arial"/>
        </w:rPr>
        <w:t xml:space="preserve"> (Accessed: 4 March 202</w:t>
      </w:r>
      <w:r w:rsidRPr="0043389B">
        <w:rPr>
          <w:rFonts w:ascii="Arial" w:hAnsi="Arial" w:cs="Arial"/>
        </w:rPr>
        <w:t>6).</w:t>
      </w:r>
    </w:p>
    <w:sectPr w:rsidR="00504CF6" w:rsidRPr="004338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6F7092"/>
    <w:multiLevelType w:val="hybridMultilevel"/>
    <w:tmpl w:val="85081B50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05378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13E"/>
    <w:rsid w:val="001E57F3"/>
    <w:rsid w:val="00317F73"/>
    <w:rsid w:val="0043389B"/>
    <w:rsid w:val="00504CF6"/>
    <w:rsid w:val="005E3A7C"/>
    <w:rsid w:val="00CB313E"/>
    <w:rsid w:val="00E9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A18B6"/>
  <w15:chartTrackingRefBased/>
  <w15:docId w15:val="{8EA3AF50-76A0-48E7-82C5-121EE41EE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13E"/>
  </w:style>
  <w:style w:type="paragraph" w:styleId="Heading1">
    <w:name w:val="heading 1"/>
    <w:basedOn w:val="Normal"/>
    <w:next w:val="Normal"/>
    <w:link w:val="Heading1Char"/>
    <w:uiPriority w:val="9"/>
    <w:qFormat/>
    <w:rsid w:val="00CB31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31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31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31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31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31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31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31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31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31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31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31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31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31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31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31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31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31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31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31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31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31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31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31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31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31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31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31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313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CB31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eing-better.org.uk/" TargetMode="External"/><Relationship Id="rId13" Type="http://schemas.openxmlformats.org/officeDocument/2006/relationships/hyperlink" Target="https://www.legislation.gov.uk/ukpga/2014/23/contents" TargetMode="External"/><Relationship Id="rId18" Type="http://schemas.openxmlformats.org/officeDocument/2006/relationships/hyperlink" Target="https://www.nice.org.uk/guidance/ng32?utm_source=copilot.com" TargetMode="External"/><Relationship Id="rId26" Type="http://schemas.openxmlformats.org/officeDocument/2006/relationships/hyperlink" Target="https://www.who.int/initiatives/decade-of-healthy-agei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gsjournals.onlinelibrary.wiley.com/doi/10.1111/j.1532-5415.2011.03698.x" TargetMode="External"/><Relationship Id="rId7" Type="http://schemas.openxmlformats.org/officeDocument/2006/relationships/hyperlink" Target="https://www.cambridge.org/core/journals/reviews-in-clinical-gerontology/article/abs/subcutaneous-hydration-by-hypodermoclysis/5184646C0C48D6C69FC9722B026AAFED" TargetMode="External"/><Relationship Id="rId12" Type="http://schemas.openxmlformats.org/officeDocument/2006/relationships/hyperlink" Target="https://academic.oup.com/gerontologist/article/52/1/1/692810" TargetMode="External"/><Relationship Id="rId17" Type="http://schemas.openxmlformats.org/officeDocument/2006/relationships/hyperlink" Target="https://www.health.org.uk/?utm_source=copilot.com" TargetMode="External"/><Relationship Id="rId25" Type="http://schemas.openxmlformats.org/officeDocument/2006/relationships/hyperlink" Target="https://academic.oup.com/gerontologist/article/52/3/357/580905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mj.com/content/384/bmj.q592" TargetMode="External"/><Relationship Id="rId20" Type="http://schemas.openxmlformats.org/officeDocument/2006/relationships/hyperlink" Target="https://www.scie.org.uk/?utm_source=copilot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geuk.org.uk/?utm_source=copilot.com" TargetMode="External"/><Relationship Id="rId11" Type="http://schemas.openxmlformats.org/officeDocument/2006/relationships/hyperlink" Target="https://academic.oup.com/gerontologist/article/43/5/628/633796" TargetMode="External"/><Relationship Id="rId24" Type="http://schemas.openxmlformats.org/officeDocument/2006/relationships/hyperlink" Target="https://www.who.int/?utm_source=copilot.com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gov.uk/government/publications/the-lived-experience-of-disabled-people-in-the-uk-a-review-of-evidence" TargetMode="External"/><Relationship Id="rId23" Type="http://schemas.openxmlformats.org/officeDocument/2006/relationships/hyperlink" Target="https://onlinelibrary.wiley.com/doi/10.1111/1468-246X.00118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commission.europa.eu/index_en" TargetMode="External"/><Relationship Id="rId19" Type="http://schemas.openxmlformats.org/officeDocument/2006/relationships/hyperlink" Target="https://link.springer.com/article/10.1007/s12126-008-9019-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search/all?keywords=adult+social+care+reform+2014" TargetMode="External"/><Relationship Id="rId14" Type="http://schemas.openxmlformats.org/officeDocument/2006/relationships/hyperlink" Target="https://academic.oup.com/ageing/article/52/7/afad132/7231530?login=true" TargetMode="External"/><Relationship Id="rId22" Type="http://schemas.openxmlformats.org/officeDocument/2006/relationships/hyperlink" Target="https://www.un.org/en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wasim</dc:creator>
  <cp:keywords/>
  <dc:description/>
  <cp:lastModifiedBy>m wasim</cp:lastModifiedBy>
  <cp:revision>2</cp:revision>
  <dcterms:created xsi:type="dcterms:W3CDTF">2026-03-13T22:37:00Z</dcterms:created>
  <dcterms:modified xsi:type="dcterms:W3CDTF">2026-03-13T22:37:00Z</dcterms:modified>
</cp:coreProperties>
</file>