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43142" w:rsidRDefault="00ED2143" w:rsidP="00ED2143">
      <w:pPr>
        <w:jc w:val="center"/>
        <w:rPr>
          <w:rFonts w:ascii="Arial" w:hAnsi="Arial" w:cs="Arial"/>
          <w:sz w:val="28"/>
          <w:szCs w:val="28"/>
          <w:u w:val="single"/>
        </w:rPr>
      </w:pPr>
      <w:r>
        <w:rPr>
          <w:rFonts w:ascii="Arial" w:hAnsi="Arial" w:cs="Arial"/>
          <w:sz w:val="28"/>
          <w:szCs w:val="28"/>
          <w:u w:val="single"/>
        </w:rPr>
        <w:t xml:space="preserve">How Theoretical Perspectives Can Help Archaeologists Interpret Ritual and Ceremony in Palatial </w:t>
      </w:r>
      <w:r w:rsidR="005B30ED">
        <w:rPr>
          <w:rFonts w:ascii="Arial" w:hAnsi="Arial" w:cs="Arial"/>
          <w:sz w:val="28"/>
          <w:szCs w:val="28"/>
          <w:u w:val="single"/>
        </w:rPr>
        <w:t>Contexts -</w:t>
      </w:r>
      <w:r w:rsidR="008075B3">
        <w:rPr>
          <w:rFonts w:ascii="Arial" w:hAnsi="Arial" w:cs="Arial"/>
          <w:sz w:val="28"/>
          <w:szCs w:val="28"/>
          <w:u w:val="single"/>
        </w:rPr>
        <w:t xml:space="preserve"> The Minoan Palaces</w:t>
      </w:r>
    </w:p>
    <w:p w:rsidR="00ED2143" w:rsidRDefault="00ED2143" w:rsidP="00ED2143">
      <w:pPr>
        <w:rPr>
          <w:rFonts w:ascii="Arial" w:hAnsi="Arial" w:cs="Arial"/>
          <w:sz w:val="24"/>
          <w:szCs w:val="28"/>
        </w:rPr>
      </w:pPr>
    </w:p>
    <w:p w:rsidR="00ED2143" w:rsidRDefault="00ED2143" w:rsidP="00ED2143">
      <w:pPr>
        <w:rPr>
          <w:rFonts w:ascii="Arial" w:hAnsi="Arial" w:cs="Arial"/>
          <w:sz w:val="24"/>
          <w:szCs w:val="28"/>
        </w:rPr>
      </w:pPr>
      <w:r>
        <w:rPr>
          <w:rFonts w:ascii="Arial" w:hAnsi="Arial" w:cs="Arial"/>
          <w:sz w:val="24"/>
          <w:szCs w:val="28"/>
        </w:rPr>
        <w:t>One of the main issues that Archaeologists have when looking at how rituals and ceremonies were carried out in places such as ancient Crete is that there is very little evidence</w:t>
      </w:r>
      <w:r w:rsidR="00387CA8">
        <w:rPr>
          <w:rFonts w:ascii="Arial" w:hAnsi="Arial" w:cs="Arial"/>
          <w:sz w:val="24"/>
          <w:szCs w:val="28"/>
        </w:rPr>
        <w:t>,</w:t>
      </w:r>
      <w:r>
        <w:rPr>
          <w:rFonts w:ascii="Arial" w:hAnsi="Arial" w:cs="Arial"/>
          <w:sz w:val="24"/>
          <w:szCs w:val="28"/>
        </w:rPr>
        <w:t xml:space="preserve"> and therefore very a speculatory understanding of how the Minoans practiced religion, ritual, and ceremony.</w:t>
      </w:r>
      <w:r>
        <w:rPr>
          <w:rStyle w:val="FootnoteReference"/>
          <w:rFonts w:ascii="Arial" w:hAnsi="Arial" w:cs="Arial"/>
          <w:sz w:val="24"/>
          <w:szCs w:val="28"/>
        </w:rPr>
        <w:footnoteReference w:id="1"/>
      </w:r>
      <w:r>
        <w:rPr>
          <w:rFonts w:ascii="Arial" w:hAnsi="Arial" w:cs="Arial"/>
          <w:sz w:val="24"/>
          <w:szCs w:val="28"/>
        </w:rPr>
        <w:t xml:space="preserve"> There is a large reliance on investigating the material culture and found objects,</w:t>
      </w:r>
      <w:r>
        <w:rPr>
          <w:rStyle w:val="FootnoteReference"/>
          <w:rFonts w:ascii="Arial" w:hAnsi="Arial" w:cs="Arial"/>
          <w:sz w:val="24"/>
          <w:szCs w:val="28"/>
        </w:rPr>
        <w:footnoteReference w:id="2"/>
      </w:r>
      <w:r>
        <w:rPr>
          <w:rFonts w:ascii="Arial" w:hAnsi="Arial" w:cs="Arial"/>
          <w:sz w:val="24"/>
          <w:szCs w:val="28"/>
        </w:rPr>
        <w:t xml:space="preserve"> but theories can be used to evaluate different spaces the Minoans used and inhabited. The main theory that is going to be concentrated on in this essay is that of household archaeology, but I</w:t>
      </w:r>
      <w:r w:rsidR="00387CA8">
        <w:rPr>
          <w:rFonts w:ascii="Arial" w:hAnsi="Arial" w:cs="Arial"/>
          <w:sz w:val="24"/>
          <w:szCs w:val="28"/>
        </w:rPr>
        <w:t xml:space="preserve"> wish to argue for this theory’s</w:t>
      </w:r>
      <w:r>
        <w:rPr>
          <w:rFonts w:ascii="Arial" w:hAnsi="Arial" w:cs="Arial"/>
          <w:sz w:val="24"/>
          <w:szCs w:val="28"/>
        </w:rPr>
        <w:t xml:space="preserve"> importance and how its methods can be used elsewhere in places</w:t>
      </w:r>
      <w:r w:rsidR="008075B3">
        <w:rPr>
          <w:rFonts w:ascii="Arial" w:hAnsi="Arial" w:cs="Arial"/>
          <w:sz w:val="24"/>
          <w:szCs w:val="28"/>
        </w:rPr>
        <w:t xml:space="preserve"> relating to the palaces</w:t>
      </w:r>
      <w:r w:rsidR="00387CA8">
        <w:rPr>
          <w:rFonts w:ascii="Arial" w:hAnsi="Arial" w:cs="Arial"/>
          <w:sz w:val="24"/>
          <w:szCs w:val="28"/>
        </w:rPr>
        <w:t xml:space="preserve"> and palatial times</w:t>
      </w:r>
      <w:r>
        <w:rPr>
          <w:rFonts w:ascii="Arial" w:hAnsi="Arial" w:cs="Arial"/>
          <w:sz w:val="24"/>
          <w:szCs w:val="28"/>
        </w:rPr>
        <w:t xml:space="preserve"> in the Minoan world. Though this theory is mainly – as the name suggests – based in then investigation of homes, I believe it can also be used in places where deposits of material culture have been found (e.g. the prevalence of rubbish pits at palaces</w:t>
      </w:r>
      <w:r w:rsidR="00CD5142">
        <w:rPr>
          <w:rFonts w:ascii="Arial" w:hAnsi="Arial" w:cs="Arial"/>
          <w:sz w:val="24"/>
          <w:szCs w:val="28"/>
        </w:rPr>
        <w:t xml:space="preserve"> relating to commensality practices</w:t>
      </w:r>
      <w:r>
        <w:rPr>
          <w:rFonts w:ascii="Arial" w:hAnsi="Arial" w:cs="Arial"/>
          <w:sz w:val="24"/>
          <w:szCs w:val="28"/>
        </w:rPr>
        <w:t xml:space="preserve">), to look at the </w:t>
      </w:r>
      <w:r w:rsidR="00CD5142">
        <w:rPr>
          <w:rFonts w:ascii="Arial" w:hAnsi="Arial" w:cs="Arial"/>
          <w:sz w:val="24"/>
          <w:szCs w:val="28"/>
        </w:rPr>
        <w:t>structure and importance of</w:t>
      </w:r>
      <w:r>
        <w:rPr>
          <w:rFonts w:ascii="Arial" w:hAnsi="Arial" w:cs="Arial"/>
          <w:sz w:val="24"/>
          <w:szCs w:val="28"/>
        </w:rPr>
        <w:t xml:space="preserve"> sanctuaries</w:t>
      </w:r>
      <w:r w:rsidR="00387CA8">
        <w:rPr>
          <w:rFonts w:ascii="Arial" w:hAnsi="Arial" w:cs="Arial"/>
          <w:sz w:val="24"/>
          <w:szCs w:val="28"/>
        </w:rPr>
        <w:t xml:space="preserve"> </w:t>
      </w:r>
      <w:r>
        <w:rPr>
          <w:rFonts w:ascii="Arial" w:hAnsi="Arial" w:cs="Arial"/>
          <w:sz w:val="24"/>
          <w:szCs w:val="28"/>
        </w:rPr>
        <w:t xml:space="preserve">and the layout of tombs. As well as this theory I wish to discuss the very simple means of assessing the objects found to come to conclusions about ritual and ceremony and how this very </w:t>
      </w:r>
      <w:r w:rsidR="00387CA8">
        <w:rPr>
          <w:rFonts w:ascii="Arial" w:hAnsi="Arial" w:cs="Arial"/>
          <w:sz w:val="24"/>
          <w:szCs w:val="28"/>
        </w:rPr>
        <w:t>modest</w:t>
      </w:r>
      <w:r>
        <w:rPr>
          <w:rFonts w:ascii="Arial" w:hAnsi="Arial" w:cs="Arial"/>
          <w:sz w:val="24"/>
          <w:szCs w:val="28"/>
        </w:rPr>
        <w:t xml:space="preserve"> act can be incredibly useful when it comes to understanding the Minoan civilisation – and this is the topic that shall be used to begin the main part of this essay.</w:t>
      </w:r>
    </w:p>
    <w:p w:rsidR="00ED2143" w:rsidRDefault="00ED2143" w:rsidP="00ED2143">
      <w:pPr>
        <w:rPr>
          <w:rFonts w:ascii="Arial" w:hAnsi="Arial" w:cs="Arial"/>
          <w:sz w:val="24"/>
          <w:szCs w:val="28"/>
        </w:rPr>
      </w:pPr>
      <w:r>
        <w:rPr>
          <w:rFonts w:ascii="Arial" w:hAnsi="Arial" w:cs="Arial"/>
          <w:sz w:val="24"/>
          <w:szCs w:val="28"/>
        </w:rPr>
        <w:t>One of the biggest pitfalls when looking at this area of the world is the fact that that Linear A – one of the most common</w:t>
      </w:r>
      <w:r w:rsidR="00387CA8">
        <w:rPr>
          <w:rFonts w:ascii="Arial" w:hAnsi="Arial" w:cs="Arial"/>
          <w:sz w:val="24"/>
          <w:szCs w:val="28"/>
        </w:rPr>
        <w:t>ly found</w:t>
      </w:r>
      <w:r>
        <w:rPr>
          <w:rFonts w:ascii="Arial" w:hAnsi="Arial" w:cs="Arial"/>
          <w:sz w:val="24"/>
          <w:szCs w:val="28"/>
        </w:rPr>
        <w:t xml:space="preserve"> language scripts – is still undeciphered to this day.</w:t>
      </w:r>
      <w:r>
        <w:rPr>
          <w:rStyle w:val="FootnoteReference"/>
          <w:rFonts w:ascii="Arial" w:hAnsi="Arial" w:cs="Arial"/>
          <w:sz w:val="24"/>
          <w:szCs w:val="28"/>
        </w:rPr>
        <w:footnoteReference w:id="3"/>
      </w:r>
      <w:r>
        <w:rPr>
          <w:rFonts w:ascii="Arial" w:hAnsi="Arial" w:cs="Arial"/>
          <w:sz w:val="24"/>
          <w:szCs w:val="28"/>
        </w:rPr>
        <w:t xml:space="preserve"> Meaning that for the time of the Minoans, we do not have a script that gives us an insight to the ritual and religious ceremonies that took place throughout this civilisation.</w:t>
      </w:r>
      <w:r>
        <w:rPr>
          <w:rStyle w:val="FootnoteReference"/>
          <w:rFonts w:ascii="Arial" w:hAnsi="Arial" w:cs="Arial"/>
          <w:sz w:val="24"/>
          <w:szCs w:val="28"/>
        </w:rPr>
        <w:footnoteReference w:id="4"/>
      </w:r>
      <w:r>
        <w:rPr>
          <w:rFonts w:ascii="Arial" w:hAnsi="Arial" w:cs="Arial"/>
          <w:sz w:val="24"/>
          <w:szCs w:val="28"/>
        </w:rPr>
        <w:t xml:space="preserve"> Linear A is believed to be a script that has been dedicated to the use of ritual, but we as of yet cannot use it.</w:t>
      </w:r>
      <w:r>
        <w:rPr>
          <w:rStyle w:val="FootnoteReference"/>
          <w:rFonts w:ascii="Arial" w:hAnsi="Arial" w:cs="Arial"/>
          <w:sz w:val="24"/>
          <w:szCs w:val="28"/>
        </w:rPr>
        <w:footnoteReference w:id="5"/>
      </w:r>
      <w:r>
        <w:rPr>
          <w:rFonts w:ascii="Arial" w:hAnsi="Arial" w:cs="Arial"/>
          <w:sz w:val="24"/>
          <w:szCs w:val="28"/>
        </w:rPr>
        <w:br/>
        <w:t>It was Arthur Evans who first used the art found in his excavations at Knossos to try and find a way to explain the society of the Minoans.</w:t>
      </w:r>
      <w:r>
        <w:rPr>
          <w:rStyle w:val="FootnoteReference"/>
          <w:rFonts w:ascii="Arial" w:hAnsi="Arial" w:cs="Arial"/>
          <w:sz w:val="24"/>
          <w:szCs w:val="28"/>
        </w:rPr>
        <w:footnoteReference w:id="6"/>
      </w:r>
      <w:r>
        <w:rPr>
          <w:rFonts w:ascii="Arial" w:hAnsi="Arial" w:cs="Arial"/>
          <w:sz w:val="24"/>
          <w:szCs w:val="28"/>
        </w:rPr>
        <w:t xml:space="preserve"> Due to the large amount of depictions of lavishly dressed women – both in figurines and on wall paintings, he came to the conclusion that the main character in Minoan religion was a mother-goddess (also known to be a goddess of fertility and a leader of animals)</w:t>
      </w:r>
      <w:r w:rsidR="00381449">
        <w:rPr>
          <w:rFonts w:ascii="Arial" w:hAnsi="Arial" w:cs="Arial"/>
          <w:sz w:val="24"/>
          <w:szCs w:val="28"/>
        </w:rPr>
        <w:t>.</w:t>
      </w:r>
      <w:r>
        <w:rPr>
          <w:rStyle w:val="FootnoteReference"/>
          <w:rFonts w:ascii="Arial" w:hAnsi="Arial" w:cs="Arial"/>
          <w:sz w:val="24"/>
          <w:szCs w:val="28"/>
        </w:rPr>
        <w:footnoteReference w:id="7"/>
      </w:r>
      <w:r w:rsidR="00381449">
        <w:rPr>
          <w:rFonts w:ascii="Arial" w:hAnsi="Arial" w:cs="Arial"/>
          <w:sz w:val="24"/>
          <w:szCs w:val="28"/>
        </w:rPr>
        <w:t xml:space="preserve"> He then came to the conclusion that the leader in these “palaces” (a disputed name) was a priest-king. This conclusion was made by borrowing qualities from ancient Egyptian Pharaohs and the medieval papacy.</w:t>
      </w:r>
      <w:r w:rsidR="00381449">
        <w:rPr>
          <w:rStyle w:val="FootnoteReference"/>
          <w:rFonts w:ascii="Arial" w:hAnsi="Arial" w:cs="Arial"/>
          <w:sz w:val="24"/>
          <w:szCs w:val="28"/>
        </w:rPr>
        <w:footnoteReference w:id="8"/>
      </w:r>
      <w:r w:rsidR="00381449">
        <w:rPr>
          <w:rFonts w:ascii="Arial" w:hAnsi="Arial" w:cs="Arial"/>
          <w:sz w:val="24"/>
          <w:szCs w:val="28"/>
        </w:rPr>
        <w:t xml:space="preserve"> Though, these kinds of assumptions about the religious sphere of the Minoans have been criticised, as there is a danger in making assumptions based on other religions and areas, as Cottrell believes that deciding there is a single main deity with supreme power can be endanger future </w:t>
      </w:r>
      <w:r w:rsidR="00381449">
        <w:rPr>
          <w:rFonts w:ascii="Arial" w:hAnsi="Arial" w:cs="Arial"/>
          <w:sz w:val="24"/>
          <w:szCs w:val="28"/>
        </w:rPr>
        <w:lastRenderedPageBreak/>
        <w:t>conclusions.</w:t>
      </w:r>
      <w:r w:rsidR="00381449">
        <w:rPr>
          <w:rStyle w:val="FootnoteReference"/>
          <w:rFonts w:ascii="Arial" w:hAnsi="Arial" w:cs="Arial"/>
          <w:sz w:val="24"/>
          <w:szCs w:val="28"/>
        </w:rPr>
        <w:footnoteReference w:id="9"/>
      </w:r>
      <w:r w:rsidR="00381449">
        <w:rPr>
          <w:rFonts w:ascii="Arial" w:hAnsi="Arial" w:cs="Arial"/>
          <w:sz w:val="24"/>
          <w:szCs w:val="28"/>
        </w:rPr>
        <w:t xml:space="preserve"> Especially when it comes to deciding that the mass of images of women equal goddesses, when they could simply be priestesses.</w:t>
      </w:r>
      <w:r w:rsidR="00381449">
        <w:rPr>
          <w:rStyle w:val="FootnoteReference"/>
          <w:rFonts w:ascii="Arial" w:hAnsi="Arial" w:cs="Arial"/>
          <w:sz w:val="24"/>
          <w:szCs w:val="28"/>
        </w:rPr>
        <w:footnoteReference w:id="10"/>
      </w:r>
      <w:r w:rsidR="00381449">
        <w:rPr>
          <w:rFonts w:ascii="Arial" w:hAnsi="Arial" w:cs="Arial"/>
          <w:sz w:val="24"/>
          <w:szCs w:val="28"/>
        </w:rPr>
        <w:br/>
        <w:t>Very similar assumptions have also been made when assessing the prevalence of snakes in the Minoan religious world. An explanation to this has been seen in referencing the Minoan snakes to the Greco-Roman snakes, who were seen to be a symbol of the earth and water.</w:t>
      </w:r>
      <w:r w:rsidR="00381449">
        <w:rPr>
          <w:rStyle w:val="FootnoteReference"/>
          <w:rFonts w:ascii="Arial" w:hAnsi="Arial" w:cs="Arial"/>
          <w:sz w:val="24"/>
          <w:szCs w:val="28"/>
        </w:rPr>
        <w:footnoteReference w:id="11"/>
      </w:r>
      <w:r w:rsidR="00381449">
        <w:rPr>
          <w:rFonts w:ascii="Arial" w:hAnsi="Arial" w:cs="Arial"/>
          <w:sz w:val="24"/>
          <w:szCs w:val="28"/>
        </w:rPr>
        <w:t xml:space="preserve"> Once again there is danger in this kind of relation, as it is simply just a guess. Though, it is understandable that without a deciphered ritual lexicon, that these conclusions are made.</w:t>
      </w:r>
      <w:r w:rsidR="00381449">
        <w:rPr>
          <w:rFonts w:ascii="Arial" w:hAnsi="Arial" w:cs="Arial"/>
          <w:sz w:val="24"/>
          <w:szCs w:val="28"/>
        </w:rPr>
        <w:br/>
        <w:t>Another piece of material cu</w:t>
      </w:r>
      <w:r w:rsidR="00AC67BC">
        <w:rPr>
          <w:rFonts w:ascii="Arial" w:hAnsi="Arial" w:cs="Arial"/>
          <w:sz w:val="24"/>
          <w:szCs w:val="28"/>
        </w:rPr>
        <w:t>lture other than depictions on s</w:t>
      </w:r>
      <w:r w:rsidR="00381449">
        <w:rPr>
          <w:rFonts w:ascii="Arial" w:hAnsi="Arial" w:cs="Arial"/>
          <w:sz w:val="24"/>
          <w:szCs w:val="28"/>
        </w:rPr>
        <w:t>eal</w:t>
      </w:r>
      <w:r w:rsidR="00436399">
        <w:rPr>
          <w:rFonts w:ascii="Arial" w:hAnsi="Arial" w:cs="Arial"/>
          <w:sz w:val="24"/>
          <w:szCs w:val="28"/>
        </w:rPr>
        <w:t>-</w:t>
      </w:r>
      <w:r w:rsidR="00381449">
        <w:rPr>
          <w:rFonts w:ascii="Arial" w:hAnsi="Arial" w:cs="Arial"/>
          <w:sz w:val="24"/>
          <w:szCs w:val="28"/>
        </w:rPr>
        <w:t>stones and figurines that has been seen as crucial is the prevalence of the double-axe. Due to its links with sacrifice, some sense is made when these objects are related to religion and ritual – though, as usual, this is hard to establish.</w:t>
      </w:r>
      <w:r w:rsidR="00381449">
        <w:rPr>
          <w:rStyle w:val="FootnoteReference"/>
          <w:rFonts w:ascii="Arial" w:hAnsi="Arial" w:cs="Arial"/>
          <w:sz w:val="24"/>
          <w:szCs w:val="28"/>
        </w:rPr>
        <w:footnoteReference w:id="12"/>
      </w:r>
      <w:r w:rsidR="00381449">
        <w:rPr>
          <w:rFonts w:ascii="Arial" w:hAnsi="Arial" w:cs="Arial"/>
          <w:sz w:val="24"/>
          <w:szCs w:val="28"/>
        </w:rPr>
        <w:t xml:space="preserve"> Double axes have also been found in non-ritual contexts, such as with tools such as simple chisels and saws.</w:t>
      </w:r>
      <w:r w:rsidR="00381449">
        <w:rPr>
          <w:rStyle w:val="FootnoteReference"/>
          <w:rFonts w:ascii="Arial" w:hAnsi="Arial" w:cs="Arial"/>
          <w:sz w:val="24"/>
          <w:szCs w:val="28"/>
        </w:rPr>
        <w:footnoteReference w:id="13"/>
      </w:r>
      <w:r w:rsidR="00381449">
        <w:rPr>
          <w:rFonts w:ascii="Arial" w:hAnsi="Arial" w:cs="Arial"/>
          <w:sz w:val="24"/>
          <w:szCs w:val="28"/>
        </w:rPr>
        <w:t xml:space="preserve"> This leaves a dilemma, as many believe that due to the prevalence of golden double-axes (as found at Knossos), they surely have to have something of a religious, if not </w:t>
      </w:r>
      <w:r w:rsidR="00AC67BC">
        <w:rPr>
          <w:rFonts w:ascii="Arial" w:hAnsi="Arial" w:cs="Arial"/>
          <w:sz w:val="24"/>
          <w:szCs w:val="28"/>
        </w:rPr>
        <w:t xml:space="preserve">a </w:t>
      </w:r>
      <w:r w:rsidR="00381449">
        <w:rPr>
          <w:rFonts w:ascii="Arial" w:hAnsi="Arial" w:cs="Arial"/>
          <w:sz w:val="24"/>
          <w:szCs w:val="28"/>
        </w:rPr>
        <w:t xml:space="preserve">ritual use. </w:t>
      </w:r>
      <w:r w:rsidR="003A22B9">
        <w:rPr>
          <w:rFonts w:ascii="Arial" w:hAnsi="Arial" w:cs="Arial"/>
          <w:sz w:val="24"/>
          <w:szCs w:val="28"/>
        </w:rPr>
        <w:t>Once again a link to another civilisation has been found – as the Sumerians had the tool of the pickaxe that was viewed as divine, as it was given to the chief god, Enlil.</w:t>
      </w:r>
      <w:r w:rsidR="003A22B9">
        <w:rPr>
          <w:rStyle w:val="FootnoteReference"/>
          <w:rFonts w:ascii="Arial" w:hAnsi="Arial" w:cs="Arial"/>
          <w:sz w:val="24"/>
          <w:szCs w:val="28"/>
        </w:rPr>
        <w:footnoteReference w:id="14"/>
      </w:r>
      <w:r w:rsidR="003A22B9">
        <w:rPr>
          <w:rFonts w:ascii="Arial" w:hAnsi="Arial" w:cs="Arial"/>
          <w:sz w:val="24"/>
          <w:szCs w:val="28"/>
        </w:rPr>
        <w:t xml:space="preserve"> For the examples of double axes being found in shrines, they have often been placed between horns of consecration, with libation jugs and other types of offerings.</w:t>
      </w:r>
      <w:r w:rsidR="003A22B9">
        <w:rPr>
          <w:rStyle w:val="FootnoteReference"/>
          <w:rFonts w:ascii="Arial" w:hAnsi="Arial" w:cs="Arial"/>
          <w:sz w:val="24"/>
          <w:szCs w:val="28"/>
        </w:rPr>
        <w:footnoteReference w:id="15"/>
      </w:r>
      <w:r w:rsidR="003A22B9">
        <w:rPr>
          <w:rFonts w:ascii="Arial" w:hAnsi="Arial" w:cs="Arial"/>
          <w:sz w:val="24"/>
          <w:szCs w:val="28"/>
        </w:rPr>
        <w:t xml:space="preserve"> So, due to the means in which double axes have been found, it does make sense for the ritual conclusions to be made, but exact details of how and why are once again simply speculatory as there is none to very little proof as to what they were used for. The act of assessing objects relating to religion and ritual of other cultures stays problematic, but as mentioned earlier, there is logic as to why this is done due to the lack of </w:t>
      </w:r>
      <w:r w:rsidR="00AC67BC">
        <w:rPr>
          <w:rFonts w:ascii="Arial" w:hAnsi="Arial" w:cs="Arial"/>
          <w:sz w:val="24"/>
          <w:szCs w:val="28"/>
        </w:rPr>
        <w:t xml:space="preserve">primary </w:t>
      </w:r>
      <w:r w:rsidR="003A22B9">
        <w:rPr>
          <w:rFonts w:ascii="Arial" w:hAnsi="Arial" w:cs="Arial"/>
          <w:sz w:val="24"/>
          <w:szCs w:val="28"/>
        </w:rPr>
        <w:t xml:space="preserve">literature about these objects and ritual in general. </w:t>
      </w:r>
    </w:p>
    <w:p w:rsidR="003A22B9" w:rsidRDefault="003A22B9" w:rsidP="00ED2143">
      <w:pPr>
        <w:rPr>
          <w:rFonts w:ascii="Arial" w:hAnsi="Arial" w:cs="Arial"/>
          <w:sz w:val="24"/>
          <w:szCs w:val="28"/>
        </w:rPr>
      </w:pPr>
      <w:r>
        <w:rPr>
          <w:rFonts w:ascii="Arial" w:hAnsi="Arial" w:cs="Arial"/>
          <w:sz w:val="24"/>
          <w:szCs w:val="28"/>
        </w:rPr>
        <w:t>The evidence of what we know to be sanctuaries are places where it can be said with almost certainty were used for religious or ritual action and ceremony.</w:t>
      </w:r>
      <w:r>
        <w:rPr>
          <w:rStyle w:val="FootnoteReference"/>
          <w:rFonts w:ascii="Arial" w:hAnsi="Arial" w:cs="Arial"/>
          <w:sz w:val="24"/>
          <w:szCs w:val="28"/>
        </w:rPr>
        <w:footnoteReference w:id="16"/>
      </w:r>
      <w:r>
        <w:rPr>
          <w:rFonts w:ascii="Arial" w:hAnsi="Arial" w:cs="Arial"/>
          <w:sz w:val="24"/>
          <w:szCs w:val="28"/>
        </w:rPr>
        <w:t xml:space="preserve"> The </w:t>
      </w:r>
      <w:r w:rsidR="00AC67BC">
        <w:rPr>
          <w:rFonts w:ascii="Arial" w:hAnsi="Arial" w:cs="Arial"/>
          <w:sz w:val="24"/>
          <w:szCs w:val="28"/>
        </w:rPr>
        <w:t xml:space="preserve">fact that the </w:t>
      </w:r>
      <w:r>
        <w:rPr>
          <w:rFonts w:ascii="Arial" w:hAnsi="Arial" w:cs="Arial"/>
          <w:sz w:val="24"/>
          <w:szCs w:val="28"/>
        </w:rPr>
        <w:t>Minoans were not known to build huge temples and did not create statues and monuments to deities can be said to indicate for the importance of these sanctuaries. It is widely believed now that these were sacred and communal</w:t>
      </w:r>
      <w:r>
        <w:rPr>
          <w:rStyle w:val="FootnoteReference"/>
          <w:rFonts w:ascii="Arial" w:hAnsi="Arial" w:cs="Arial"/>
          <w:sz w:val="24"/>
          <w:szCs w:val="28"/>
        </w:rPr>
        <w:footnoteReference w:id="17"/>
      </w:r>
      <w:r>
        <w:rPr>
          <w:rFonts w:ascii="Arial" w:hAnsi="Arial" w:cs="Arial"/>
          <w:sz w:val="24"/>
          <w:szCs w:val="28"/>
        </w:rPr>
        <w:t xml:space="preserve"> places and played an important role in Minoan life.</w:t>
      </w:r>
      <w:r>
        <w:rPr>
          <w:rStyle w:val="FootnoteReference"/>
          <w:rFonts w:ascii="Arial" w:hAnsi="Arial" w:cs="Arial"/>
          <w:sz w:val="24"/>
          <w:szCs w:val="28"/>
        </w:rPr>
        <w:footnoteReference w:id="18"/>
      </w:r>
      <w:r w:rsidR="00CD5142">
        <w:rPr>
          <w:rFonts w:ascii="Arial" w:hAnsi="Arial" w:cs="Arial"/>
          <w:sz w:val="24"/>
          <w:szCs w:val="28"/>
        </w:rPr>
        <w:t xml:space="preserve"> Most of these </w:t>
      </w:r>
      <w:r>
        <w:rPr>
          <w:rFonts w:ascii="Arial" w:hAnsi="Arial" w:cs="Arial"/>
          <w:sz w:val="24"/>
          <w:szCs w:val="28"/>
        </w:rPr>
        <w:t>sanctuaries were visible from afar, and almost always were related to a prominent Minoan centre – a famous example of this being the sanctuary of Mt. Iouktas, which is 7km south of Knossos</w:t>
      </w:r>
      <w:r>
        <w:rPr>
          <w:rStyle w:val="FootnoteReference"/>
          <w:rFonts w:ascii="Arial" w:hAnsi="Arial" w:cs="Arial"/>
          <w:sz w:val="24"/>
          <w:szCs w:val="28"/>
        </w:rPr>
        <w:footnoteReference w:id="19"/>
      </w:r>
      <w:r>
        <w:rPr>
          <w:rFonts w:ascii="Arial" w:hAnsi="Arial" w:cs="Arial"/>
          <w:sz w:val="24"/>
          <w:szCs w:val="28"/>
        </w:rPr>
        <w:t xml:space="preserve"> and can be seen from the palace.</w:t>
      </w:r>
      <w:r w:rsidR="00C50CF6">
        <w:rPr>
          <w:rFonts w:ascii="Arial" w:hAnsi="Arial" w:cs="Arial"/>
          <w:sz w:val="24"/>
          <w:szCs w:val="28"/>
        </w:rPr>
        <w:t xml:space="preserve"> It is with shrines such as these that allow us a better understanding of the Minoan ritual and religious landscape,</w:t>
      </w:r>
      <w:r w:rsidR="00C50CF6">
        <w:rPr>
          <w:rStyle w:val="FootnoteReference"/>
          <w:rFonts w:ascii="Arial" w:hAnsi="Arial" w:cs="Arial"/>
          <w:sz w:val="24"/>
          <w:szCs w:val="28"/>
        </w:rPr>
        <w:footnoteReference w:id="20"/>
      </w:r>
      <w:r w:rsidR="00C50CF6">
        <w:rPr>
          <w:rFonts w:ascii="Arial" w:hAnsi="Arial" w:cs="Arial"/>
          <w:sz w:val="24"/>
          <w:szCs w:val="28"/>
        </w:rPr>
        <w:t xml:space="preserve"> and add to our </w:t>
      </w:r>
      <w:r w:rsidR="00C50CF6">
        <w:rPr>
          <w:rFonts w:ascii="Arial" w:hAnsi="Arial" w:cs="Arial"/>
          <w:sz w:val="24"/>
          <w:szCs w:val="28"/>
        </w:rPr>
        <w:lastRenderedPageBreak/>
        <w:t>comprehension of Minoan society.</w:t>
      </w:r>
      <w:r w:rsidR="00C50CF6">
        <w:rPr>
          <w:rStyle w:val="FootnoteReference"/>
          <w:rFonts w:ascii="Arial" w:hAnsi="Arial" w:cs="Arial"/>
          <w:sz w:val="24"/>
          <w:szCs w:val="28"/>
        </w:rPr>
        <w:footnoteReference w:id="21"/>
      </w:r>
      <w:r w:rsidR="00CD5142">
        <w:rPr>
          <w:rFonts w:ascii="Arial" w:hAnsi="Arial" w:cs="Arial"/>
          <w:sz w:val="24"/>
          <w:szCs w:val="28"/>
        </w:rPr>
        <w:t xml:space="preserve"> Often in</w:t>
      </w:r>
      <w:r w:rsidR="00C50CF6">
        <w:rPr>
          <w:rFonts w:ascii="Arial" w:hAnsi="Arial" w:cs="Arial"/>
          <w:sz w:val="24"/>
          <w:szCs w:val="28"/>
        </w:rPr>
        <w:t xml:space="preserve"> sanctuaries there is a large amount of drinking vessels found,</w:t>
      </w:r>
      <w:r w:rsidR="00C50CF6">
        <w:rPr>
          <w:rStyle w:val="FootnoteReference"/>
          <w:rFonts w:ascii="Arial" w:hAnsi="Arial" w:cs="Arial"/>
          <w:sz w:val="24"/>
          <w:szCs w:val="28"/>
        </w:rPr>
        <w:footnoteReference w:id="22"/>
      </w:r>
      <w:r w:rsidR="00C50CF6">
        <w:rPr>
          <w:rFonts w:ascii="Arial" w:hAnsi="Arial" w:cs="Arial"/>
          <w:sz w:val="24"/>
          <w:szCs w:val="28"/>
        </w:rPr>
        <w:t xml:space="preserve"> alongside many examples of votive offerings, often at the base of stalactites and stalagmites.</w:t>
      </w:r>
      <w:r w:rsidR="00C50CF6">
        <w:rPr>
          <w:rStyle w:val="FootnoteReference"/>
          <w:rFonts w:ascii="Arial" w:hAnsi="Arial" w:cs="Arial"/>
          <w:sz w:val="24"/>
          <w:szCs w:val="28"/>
        </w:rPr>
        <w:footnoteReference w:id="23"/>
      </w:r>
      <w:r w:rsidR="00C50CF6">
        <w:rPr>
          <w:rFonts w:ascii="Arial" w:hAnsi="Arial" w:cs="Arial"/>
          <w:sz w:val="24"/>
          <w:szCs w:val="28"/>
        </w:rPr>
        <w:t xml:space="preserve"> I</w:t>
      </w:r>
      <w:r w:rsidR="00CD5142">
        <w:rPr>
          <w:rFonts w:ascii="Arial" w:hAnsi="Arial" w:cs="Arial"/>
          <w:sz w:val="24"/>
          <w:szCs w:val="28"/>
        </w:rPr>
        <w:t>n the cave sanctuary of Psychro</w:t>
      </w:r>
      <w:r w:rsidR="00C50CF6">
        <w:rPr>
          <w:rFonts w:ascii="Arial" w:hAnsi="Arial" w:cs="Arial"/>
          <w:sz w:val="24"/>
          <w:szCs w:val="28"/>
        </w:rPr>
        <w:t xml:space="preserve"> there have been findings of libation tables and cups.</w:t>
      </w:r>
      <w:r w:rsidR="00C50CF6">
        <w:rPr>
          <w:rStyle w:val="FootnoteReference"/>
          <w:rFonts w:ascii="Arial" w:hAnsi="Arial" w:cs="Arial"/>
          <w:sz w:val="24"/>
          <w:szCs w:val="28"/>
        </w:rPr>
        <w:footnoteReference w:id="24"/>
      </w:r>
      <w:r w:rsidR="00C50CF6">
        <w:rPr>
          <w:rFonts w:ascii="Arial" w:hAnsi="Arial" w:cs="Arial"/>
          <w:sz w:val="24"/>
          <w:szCs w:val="28"/>
        </w:rPr>
        <w:t xml:space="preserve"> The prevalence for these kinds of objects can only tend to indicate one thing – that rituals surrounding drinking, feasting, or making offerings took place.</w:t>
      </w:r>
      <w:r w:rsidR="00C50CF6">
        <w:rPr>
          <w:rStyle w:val="FootnoteReference"/>
          <w:rFonts w:ascii="Arial" w:hAnsi="Arial" w:cs="Arial"/>
          <w:sz w:val="24"/>
          <w:szCs w:val="28"/>
        </w:rPr>
        <w:footnoteReference w:id="25"/>
      </w:r>
      <w:r w:rsidR="00C50CF6">
        <w:rPr>
          <w:rFonts w:ascii="Arial" w:hAnsi="Arial" w:cs="Arial"/>
          <w:sz w:val="24"/>
          <w:szCs w:val="28"/>
        </w:rPr>
        <w:t xml:space="preserve"> Further evidence for this can be found that in this same cave, offerings of double axes, daggers, various ornaments and statuettes were also found.</w:t>
      </w:r>
      <w:r w:rsidR="00C50CF6">
        <w:rPr>
          <w:rStyle w:val="FootnoteReference"/>
          <w:rFonts w:ascii="Arial" w:hAnsi="Arial" w:cs="Arial"/>
          <w:sz w:val="24"/>
          <w:szCs w:val="28"/>
        </w:rPr>
        <w:footnoteReference w:id="26"/>
      </w:r>
      <w:r w:rsidR="00C50CF6">
        <w:rPr>
          <w:rFonts w:ascii="Arial" w:hAnsi="Arial" w:cs="Arial"/>
          <w:sz w:val="24"/>
          <w:szCs w:val="28"/>
        </w:rPr>
        <w:t xml:space="preserve"> Many of the statuettes found relating to the Minoans have been found in sanctuaries, and it is believed that because of their prevalence, the </w:t>
      </w:r>
      <w:r w:rsidR="00CD5142">
        <w:rPr>
          <w:rFonts w:ascii="Arial" w:hAnsi="Arial" w:cs="Arial"/>
          <w:sz w:val="24"/>
          <w:szCs w:val="28"/>
        </w:rPr>
        <w:t>sanctuaries</w:t>
      </w:r>
      <w:r w:rsidR="00C50CF6">
        <w:rPr>
          <w:rFonts w:ascii="Arial" w:hAnsi="Arial" w:cs="Arial"/>
          <w:sz w:val="24"/>
          <w:szCs w:val="28"/>
        </w:rPr>
        <w:t xml:space="preserve"> were indeed an important place for ritual action</w:t>
      </w:r>
      <w:r w:rsidR="00CD5142">
        <w:rPr>
          <w:rFonts w:ascii="Arial" w:hAnsi="Arial" w:cs="Arial"/>
          <w:sz w:val="24"/>
          <w:szCs w:val="28"/>
        </w:rPr>
        <w:t>.</w:t>
      </w:r>
      <w:r w:rsidR="00C50CF6">
        <w:rPr>
          <w:rStyle w:val="FootnoteReference"/>
          <w:rFonts w:ascii="Arial" w:hAnsi="Arial" w:cs="Arial"/>
          <w:sz w:val="24"/>
          <w:szCs w:val="28"/>
        </w:rPr>
        <w:footnoteReference w:id="27"/>
      </w:r>
      <w:r w:rsidR="00CD5142">
        <w:rPr>
          <w:rFonts w:ascii="Arial" w:hAnsi="Arial" w:cs="Arial"/>
          <w:sz w:val="24"/>
          <w:szCs w:val="28"/>
        </w:rPr>
        <w:br/>
        <w:t>Another indication for the importance of the ritual that undoubtedly took place in these sanctuaries is due to the instances where shrines have been found with benches inside.</w:t>
      </w:r>
      <w:r w:rsidR="00CD5142">
        <w:rPr>
          <w:rStyle w:val="FootnoteReference"/>
          <w:rFonts w:ascii="Arial" w:hAnsi="Arial" w:cs="Arial"/>
          <w:sz w:val="24"/>
          <w:szCs w:val="28"/>
        </w:rPr>
        <w:footnoteReference w:id="28"/>
      </w:r>
      <w:r w:rsidR="00CD5142">
        <w:rPr>
          <w:rFonts w:ascii="Arial" w:hAnsi="Arial" w:cs="Arial"/>
          <w:sz w:val="24"/>
          <w:szCs w:val="28"/>
        </w:rPr>
        <w:t xml:space="preserve"> These benches were places for offerings to be made, and it is believed that they were placed in vessels in front of the benches.</w:t>
      </w:r>
      <w:r w:rsidR="00CD5142">
        <w:rPr>
          <w:rStyle w:val="FootnoteReference"/>
          <w:rFonts w:ascii="Arial" w:hAnsi="Arial" w:cs="Arial"/>
          <w:sz w:val="24"/>
          <w:szCs w:val="28"/>
        </w:rPr>
        <w:footnoteReference w:id="29"/>
      </w:r>
      <w:r w:rsidR="00CD5142">
        <w:rPr>
          <w:rFonts w:ascii="Arial" w:hAnsi="Arial" w:cs="Arial"/>
          <w:sz w:val="24"/>
          <w:szCs w:val="28"/>
        </w:rPr>
        <w:br/>
        <w:t xml:space="preserve">Compared to the simple assessment of found goods, the indication and assessment of sanctuaries by their contents is a much clearer and certain conclusion when investigating the ways in which the Minoans practiced religion and rituals. There are very few other explanations as to why certain offerings were used, as well as the evidence for drinking and feasting ceremonies. Even if we do not know what certain figurines and statuettes mean by themselves, the location they have been found in in these sanctuaries allows for a wider explanation to be found on the action of ritual – even if we do not yet know religious stories of the Minoans. This aspect of household archaeology in places such as sanctuaries can prove incredibly important when it comes to understanding ritual, ceremony, and religion in certain geographical places in the Minoan world. </w:t>
      </w:r>
    </w:p>
    <w:p w:rsidR="00CD5142" w:rsidRDefault="00CD5142" w:rsidP="00ED2143">
      <w:pPr>
        <w:rPr>
          <w:rFonts w:ascii="Arial" w:hAnsi="Arial" w:cs="Arial"/>
          <w:sz w:val="24"/>
          <w:szCs w:val="28"/>
        </w:rPr>
      </w:pPr>
      <w:r>
        <w:rPr>
          <w:rFonts w:ascii="Arial" w:hAnsi="Arial" w:cs="Arial"/>
          <w:sz w:val="24"/>
          <w:szCs w:val="28"/>
        </w:rPr>
        <w:t>Carrying on from the topic of feasting ceremonies, now the importance of the ways in which vessels were discarded becomes an interesting topic in proving that these practices did happen on a large scale, and that they were of paramount importance when it came to the Minoans and their social ceremonies. It is believed thro</w:t>
      </w:r>
      <w:r w:rsidR="00B62B52">
        <w:rPr>
          <w:rFonts w:ascii="Arial" w:hAnsi="Arial" w:cs="Arial"/>
          <w:sz w:val="24"/>
          <w:szCs w:val="28"/>
        </w:rPr>
        <w:t>ugh the concept of commensality that the ceremonies where people ate and drank together were incredibly important.</w:t>
      </w:r>
      <w:r w:rsidR="00B62B52">
        <w:rPr>
          <w:rStyle w:val="FootnoteReference"/>
          <w:rFonts w:ascii="Arial" w:hAnsi="Arial" w:cs="Arial"/>
          <w:sz w:val="24"/>
          <w:szCs w:val="28"/>
        </w:rPr>
        <w:footnoteReference w:id="30"/>
      </w:r>
      <w:r w:rsidR="00B62B52">
        <w:rPr>
          <w:rFonts w:ascii="Arial" w:hAnsi="Arial" w:cs="Arial"/>
          <w:sz w:val="24"/>
          <w:szCs w:val="28"/>
        </w:rPr>
        <w:t xml:space="preserve"> They allowed for group identities to be created, as well as challenged.</w:t>
      </w:r>
      <w:r w:rsidR="00B62B52">
        <w:rPr>
          <w:rStyle w:val="FootnoteReference"/>
          <w:rFonts w:ascii="Arial" w:hAnsi="Arial" w:cs="Arial"/>
          <w:sz w:val="24"/>
          <w:szCs w:val="28"/>
        </w:rPr>
        <w:footnoteReference w:id="31"/>
      </w:r>
      <w:r w:rsidR="00B62B52">
        <w:rPr>
          <w:rFonts w:ascii="Arial" w:hAnsi="Arial" w:cs="Arial"/>
          <w:sz w:val="24"/>
          <w:szCs w:val="28"/>
        </w:rPr>
        <w:br/>
        <w:t>Most of the evidence that has been found has been through massive deposits of pottery.</w:t>
      </w:r>
      <w:r w:rsidR="00B62B52">
        <w:rPr>
          <w:rStyle w:val="FootnoteReference"/>
          <w:rFonts w:ascii="Arial" w:hAnsi="Arial" w:cs="Arial"/>
          <w:sz w:val="24"/>
          <w:szCs w:val="28"/>
        </w:rPr>
        <w:footnoteReference w:id="32"/>
      </w:r>
      <w:r w:rsidR="00B62B52">
        <w:rPr>
          <w:rFonts w:ascii="Arial" w:hAnsi="Arial" w:cs="Arial"/>
          <w:sz w:val="24"/>
          <w:szCs w:val="28"/>
        </w:rPr>
        <w:t xml:space="preserve"> Some of the earliest deposits come from </w:t>
      </w:r>
      <w:r w:rsidR="00436399">
        <w:rPr>
          <w:rFonts w:ascii="Arial" w:hAnsi="Arial" w:cs="Arial"/>
          <w:sz w:val="24"/>
          <w:szCs w:val="28"/>
        </w:rPr>
        <w:t xml:space="preserve">the </w:t>
      </w:r>
      <w:r w:rsidR="00B62B52">
        <w:rPr>
          <w:rFonts w:ascii="Arial" w:hAnsi="Arial" w:cs="Arial"/>
          <w:sz w:val="24"/>
          <w:szCs w:val="28"/>
        </w:rPr>
        <w:t>EM</w:t>
      </w:r>
      <w:r w:rsidR="00436399">
        <w:rPr>
          <w:rFonts w:ascii="Arial" w:hAnsi="Arial" w:cs="Arial"/>
          <w:sz w:val="24"/>
          <w:szCs w:val="28"/>
        </w:rPr>
        <w:t xml:space="preserve"> </w:t>
      </w:r>
      <w:r w:rsidR="00B62B52">
        <w:rPr>
          <w:rFonts w:ascii="Arial" w:hAnsi="Arial" w:cs="Arial"/>
          <w:sz w:val="24"/>
          <w:szCs w:val="28"/>
        </w:rPr>
        <w:t>I</w:t>
      </w:r>
      <w:r w:rsidR="00436399">
        <w:rPr>
          <w:rFonts w:ascii="Arial" w:hAnsi="Arial" w:cs="Arial"/>
          <w:sz w:val="24"/>
          <w:szCs w:val="28"/>
        </w:rPr>
        <w:t xml:space="preserve"> period</w:t>
      </w:r>
      <w:r w:rsidR="00B62B52">
        <w:rPr>
          <w:rFonts w:ascii="Arial" w:hAnsi="Arial" w:cs="Arial"/>
          <w:sz w:val="24"/>
          <w:szCs w:val="28"/>
        </w:rPr>
        <w:t xml:space="preserve"> at Knossos,</w:t>
      </w:r>
      <w:r w:rsidR="00B62B52">
        <w:rPr>
          <w:rStyle w:val="FootnoteReference"/>
          <w:rFonts w:ascii="Arial" w:hAnsi="Arial" w:cs="Arial"/>
          <w:sz w:val="24"/>
          <w:szCs w:val="28"/>
        </w:rPr>
        <w:footnoteReference w:id="33"/>
      </w:r>
      <w:r w:rsidR="00B62B52">
        <w:rPr>
          <w:rFonts w:ascii="Arial" w:hAnsi="Arial" w:cs="Arial"/>
          <w:sz w:val="24"/>
          <w:szCs w:val="28"/>
        </w:rPr>
        <w:t xml:space="preserve"> indicating that these practices have continued for a vast period of time. The reasons </w:t>
      </w:r>
      <w:r w:rsidR="00B62B52">
        <w:rPr>
          <w:rFonts w:ascii="Arial" w:hAnsi="Arial" w:cs="Arial"/>
          <w:sz w:val="24"/>
          <w:szCs w:val="28"/>
        </w:rPr>
        <w:lastRenderedPageBreak/>
        <w:t>as to why it is believed that these mass deposits come from types of ceremony is mainly the way the pottery is decorated – all the pieces seem to be very uniform in style.</w:t>
      </w:r>
      <w:r w:rsidR="00B62B52">
        <w:rPr>
          <w:rStyle w:val="FootnoteReference"/>
          <w:rFonts w:ascii="Arial" w:hAnsi="Arial" w:cs="Arial"/>
          <w:sz w:val="24"/>
          <w:szCs w:val="28"/>
        </w:rPr>
        <w:footnoteReference w:id="34"/>
      </w:r>
      <w:r w:rsidR="00B62B52">
        <w:rPr>
          <w:rFonts w:ascii="Arial" w:hAnsi="Arial" w:cs="Arial"/>
          <w:sz w:val="24"/>
          <w:szCs w:val="28"/>
        </w:rPr>
        <w:t xml:space="preserve"> As well as this, the type of vessel can also aid the conclusion as at this time the vessels found were all eating and drinking equipment, such as serving bowls, chalices and jugs.</w:t>
      </w:r>
      <w:r w:rsidR="00B62B52">
        <w:rPr>
          <w:rStyle w:val="FootnoteReference"/>
          <w:rFonts w:ascii="Arial" w:hAnsi="Arial" w:cs="Arial"/>
          <w:sz w:val="24"/>
          <w:szCs w:val="28"/>
        </w:rPr>
        <w:footnoteReference w:id="35"/>
      </w:r>
      <w:r w:rsidR="00B62B52">
        <w:rPr>
          <w:rFonts w:ascii="Arial" w:hAnsi="Arial" w:cs="Arial"/>
          <w:sz w:val="24"/>
          <w:szCs w:val="28"/>
        </w:rPr>
        <w:t xml:space="preserve"> These types of vessels all indicate that they were used communally in these ceremonies.</w:t>
      </w:r>
      <w:r w:rsidR="00B62B52">
        <w:rPr>
          <w:rStyle w:val="FootnoteReference"/>
          <w:rFonts w:ascii="Arial" w:hAnsi="Arial" w:cs="Arial"/>
          <w:sz w:val="24"/>
          <w:szCs w:val="28"/>
        </w:rPr>
        <w:footnoteReference w:id="36"/>
      </w:r>
      <w:r w:rsidR="00B62B52">
        <w:rPr>
          <w:rFonts w:ascii="Arial" w:hAnsi="Arial" w:cs="Arial"/>
          <w:sz w:val="24"/>
          <w:szCs w:val="28"/>
        </w:rPr>
        <w:t xml:space="preserve"> Though, it is not only at Knossos where deposits like this have been discovered, as many more have been throughout the island</w:t>
      </w:r>
      <w:r w:rsidR="00B62B52">
        <w:rPr>
          <w:rStyle w:val="FootnoteReference"/>
          <w:rFonts w:ascii="Arial" w:hAnsi="Arial" w:cs="Arial"/>
          <w:sz w:val="24"/>
          <w:szCs w:val="28"/>
        </w:rPr>
        <w:footnoteReference w:id="37"/>
      </w:r>
      <w:r w:rsidR="00B62B52">
        <w:rPr>
          <w:rFonts w:ascii="Arial" w:hAnsi="Arial" w:cs="Arial"/>
          <w:sz w:val="24"/>
          <w:szCs w:val="28"/>
        </w:rPr>
        <w:t xml:space="preserve"> - indicating that this was an island-wide tradition.</w:t>
      </w:r>
      <w:r w:rsidR="00B62B52">
        <w:rPr>
          <w:rStyle w:val="FootnoteReference"/>
          <w:rFonts w:ascii="Arial" w:hAnsi="Arial" w:cs="Arial"/>
          <w:sz w:val="24"/>
          <w:szCs w:val="28"/>
        </w:rPr>
        <w:footnoteReference w:id="38"/>
      </w:r>
      <w:r w:rsidR="00B62B52">
        <w:rPr>
          <w:rFonts w:ascii="Arial" w:hAnsi="Arial" w:cs="Arial"/>
          <w:sz w:val="24"/>
          <w:szCs w:val="28"/>
        </w:rPr>
        <w:br/>
        <w:t>Evidence for these ceremonies also continues into EM</w:t>
      </w:r>
      <w:r w:rsidR="00436399">
        <w:rPr>
          <w:rFonts w:ascii="Arial" w:hAnsi="Arial" w:cs="Arial"/>
          <w:sz w:val="24"/>
          <w:szCs w:val="28"/>
        </w:rPr>
        <w:t xml:space="preserve"> </w:t>
      </w:r>
      <w:r w:rsidR="00B62B52">
        <w:rPr>
          <w:rFonts w:ascii="Arial" w:hAnsi="Arial" w:cs="Arial"/>
          <w:sz w:val="24"/>
          <w:szCs w:val="28"/>
        </w:rPr>
        <w:t>IIIA, the main difference being that at this time, the type of pottery changed to be that of a much finer ware.</w:t>
      </w:r>
      <w:r w:rsidR="00B62B52">
        <w:rPr>
          <w:rStyle w:val="FootnoteReference"/>
          <w:rFonts w:ascii="Arial" w:hAnsi="Arial" w:cs="Arial"/>
          <w:sz w:val="24"/>
          <w:szCs w:val="28"/>
        </w:rPr>
        <w:footnoteReference w:id="39"/>
      </w:r>
      <w:r w:rsidR="00B62B52">
        <w:rPr>
          <w:rFonts w:ascii="Arial" w:hAnsi="Arial" w:cs="Arial"/>
          <w:sz w:val="24"/>
          <w:szCs w:val="28"/>
        </w:rPr>
        <w:t xml:space="preserve"> Deposits such as this were found under the north-west quarter at Knossos, including objects such as footed goblets, shallow bowls, jugs, and objects that could be seen to be made for a single individual.</w:t>
      </w:r>
      <w:r w:rsidR="00B62B52">
        <w:rPr>
          <w:rStyle w:val="FootnoteReference"/>
          <w:rFonts w:ascii="Arial" w:hAnsi="Arial" w:cs="Arial"/>
          <w:sz w:val="24"/>
          <w:szCs w:val="28"/>
        </w:rPr>
        <w:footnoteReference w:id="40"/>
      </w:r>
      <w:r w:rsidR="00B62B52">
        <w:rPr>
          <w:rFonts w:ascii="Arial" w:hAnsi="Arial" w:cs="Arial"/>
          <w:sz w:val="24"/>
          <w:szCs w:val="28"/>
        </w:rPr>
        <w:t xml:space="preserve"> </w:t>
      </w:r>
      <w:r w:rsidR="00592292">
        <w:rPr>
          <w:rFonts w:ascii="Arial" w:hAnsi="Arial" w:cs="Arial"/>
          <w:sz w:val="24"/>
          <w:szCs w:val="28"/>
        </w:rPr>
        <w:t xml:space="preserve"> The fact that individual vessels are now used is an indication for more elite use, </w:t>
      </w:r>
      <w:r w:rsidR="00AC67BC">
        <w:rPr>
          <w:rFonts w:ascii="Arial" w:hAnsi="Arial" w:cs="Arial"/>
          <w:sz w:val="24"/>
          <w:szCs w:val="28"/>
        </w:rPr>
        <w:t>demonstrating</w:t>
      </w:r>
      <w:r w:rsidR="00592292">
        <w:rPr>
          <w:rFonts w:ascii="Arial" w:hAnsi="Arial" w:cs="Arial"/>
          <w:sz w:val="24"/>
          <w:szCs w:val="28"/>
        </w:rPr>
        <w:t xml:space="preserve"> that maybe the act of feasting ceremonies and commensality changed over time (possibly between EMI and EMIIA</w:t>
      </w:r>
      <w:r w:rsidR="00592292">
        <w:rPr>
          <w:rStyle w:val="FootnoteReference"/>
          <w:rFonts w:ascii="Arial" w:hAnsi="Arial" w:cs="Arial"/>
          <w:sz w:val="24"/>
          <w:szCs w:val="28"/>
        </w:rPr>
        <w:footnoteReference w:id="41"/>
      </w:r>
      <w:r w:rsidR="00592292">
        <w:rPr>
          <w:rFonts w:ascii="Arial" w:hAnsi="Arial" w:cs="Arial"/>
          <w:sz w:val="24"/>
          <w:szCs w:val="28"/>
        </w:rPr>
        <w:t>) to simply be something for the elite population at the palace sites.</w:t>
      </w:r>
      <w:r w:rsidR="00592292">
        <w:rPr>
          <w:rStyle w:val="FootnoteReference"/>
          <w:rFonts w:ascii="Arial" w:hAnsi="Arial" w:cs="Arial"/>
          <w:sz w:val="24"/>
          <w:szCs w:val="28"/>
        </w:rPr>
        <w:footnoteReference w:id="42"/>
      </w:r>
      <w:r w:rsidR="00592292">
        <w:rPr>
          <w:rFonts w:ascii="Arial" w:hAnsi="Arial" w:cs="Arial"/>
          <w:sz w:val="24"/>
          <w:szCs w:val="28"/>
        </w:rPr>
        <w:t xml:space="preserve"> </w:t>
      </w:r>
      <w:r w:rsidR="00B62B52">
        <w:rPr>
          <w:rFonts w:ascii="Arial" w:hAnsi="Arial" w:cs="Arial"/>
          <w:sz w:val="24"/>
          <w:szCs w:val="28"/>
        </w:rPr>
        <w:t>It is mainly believed by Day and Wilson that each different deposit is for different ceremonies that happened at the palace</w:t>
      </w:r>
      <w:r w:rsidR="00592292">
        <w:rPr>
          <w:rFonts w:ascii="Arial" w:hAnsi="Arial" w:cs="Arial"/>
          <w:sz w:val="24"/>
          <w:szCs w:val="28"/>
        </w:rPr>
        <w:t>, stretching from EMI to the end of the Prepalatial period.</w:t>
      </w:r>
      <w:r w:rsidR="00592292">
        <w:rPr>
          <w:rStyle w:val="FootnoteReference"/>
          <w:rFonts w:ascii="Arial" w:hAnsi="Arial" w:cs="Arial"/>
          <w:sz w:val="24"/>
          <w:szCs w:val="28"/>
        </w:rPr>
        <w:footnoteReference w:id="43"/>
      </w:r>
      <w:r w:rsidR="00592292">
        <w:rPr>
          <w:rFonts w:ascii="Arial" w:hAnsi="Arial" w:cs="Arial"/>
          <w:sz w:val="24"/>
          <w:szCs w:val="28"/>
        </w:rPr>
        <w:br/>
        <w:t xml:space="preserve">The decipherment of the action of feasting ceremonies and how it is concluded that they take place needs the use of more than one theoretical approach to determine how, why, and where they took place. The use of household archaeology allows for the understanding of the actual deposition pits to come to use, the concept of commensality deciphers why this would even take place, and the details of the actual vessels that are found gives information as to the changes and development that this ceremony went through over time. </w:t>
      </w:r>
    </w:p>
    <w:p w:rsidR="00592292" w:rsidRDefault="00592292" w:rsidP="00ED2143">
      <w:pPr>
        <w:rPr>
          <w:rFonts w:ascii="Arial" w:hAnsi="Arial" w:cs="Arial"/>
          <w:sz w:val="24"/>
          <w:szCs w:val="28"/>
        </w:rPr>
      </w:pPr>
      <w:r>
        <w:rPr>
          <w:rFonts w:ascii="Arial" w:hAnsi="Arial" w:cs="Arial"/>
          <w:sz w:val="24"/>
          <w:szCs w:val="28"/>
        </w:rPr>
        <w:t xml:space="preserve">The final section of Minoan life that is going to be discussed in this essay in relation to the understanding of ceremony and ritual is going to be relating to the findings in Minoan tombs. It is well known that objects were discarded in Minoan tombs, and the use of household archaeology to reason as to why these objects were left in a funerary context is incredibly important when it comes to understanding Minoan burial ritual and ceremony. </w:t>
      </w:r>
      <w:r w:rsidR="00D1697E">
        <w:rPr>
          <w:rFonts w:ascii="Arial" w:hAnsi="Arial" w:cs="Arial"/>
          <w:sz w:val="24"/>
          <w:szCs w:val="28"/>
        </w:rPr>
        <w:br/>
        <w:t>Unfortunately when discussing tombs, we need to be aware of the act of previous looting, meaning we do not always see the complete tomb.</w:t>
      </w:r>
      <w:r w:rsidR="00D1697E">
        <w:rPr>
          <w:rStyle w:val="FootnoteReference"/>
          <w:rFonts w:ascii="Arial" w:hAnsi="Arial" w:cs="Arial"/>
          <w:sz w:val="24"/>
          <w:szCs w:val="28"/>
        </w:rPr>
        <w:footnoteReference w:id="44"/>
      </w:r>
      <w:r w:rsidR="00D1697E">
        <w:rPr>
          <w:rFonts w:ascii="Arial" w:hAnsi="Arial" w:cs="Arial"/>
          <w:sz w:val="24"/>
          <w:szCs w:val="28"/>
        </w:rPr>
        <w:t xml:space="preserve"> As well as this, it is likely that the objects have suffered over time. Though stronger objects will have obviously survived, the organic objects obviously will have not.</w:t>
      </w:r>
      <w:r w:rsidR="00D1697E">
        <w:rPr>
          <w:rStyle w:val="FootnoteReference"/>
          <w:rFonts w:ascii="Arial" w:hAnsi="Arial" w:cs="Arial"/>
          <w:sz w:val="24"/>
          <w:szCs w:val="28"/>
        </w:rPr>
        <w:footnoteReference w:id="45"/>
      </w:r>
      <w:r w:rsidR="00D1697E">
        <w:rPr>
          <w:rFonts w:ascii="Arial" w:hAnsi="Arial" w:cs="Arial"/>
          <w:sz w:val="24"/>
          <w:szCs w:val="28"/>
        </w:rPr>
        <w:t xml:space="preserve"> Though this is a </w:t>
      </w:r>
      <w:r w:rsidR="00D1697E">
        <w:rPr>
          <w:rFonts w:ascii="Arial" w:hAnsi="Arial" w:cs="Arial"/>
          <w:sz w:val="24"/>
          <w:szCs w:val="28"/>
        </w:rPr>
        <w:lastRenderedPageBreak/>
        <w:t xml:space="preserve">shame, it has to be remembered when looking at grave goods and what they can tell us about Minoan burial ceremony and religion. </w:t>
      </w:r>
      <w:r w:rsidR="00CC6300">
        <w:rPr>
          <w:rFonts w:ascii="Arial" w:hAnsi="Arial" w:cs="Arial"/>
          <w:sz w:val="24"/>
          <w:szCs w:val="28"/>
        </w:rPr>
        <w:br/>
        <w:t>The Minoan people tended to bury themselves in rock shelters and caves,</w:t>
      </w:r>
      <w:r w:rsidR="00CC6300">
        <w:rPr>
          <w:rStyle w:val="FootnoteReference"/>
          <w:rFonts w:ascii="Arial" w:hAnsi="Arial" w:cs="Arial"/>
          <w:sz w:val="24"/>
          <w:szCs w:val="28"/>
        </w:rPr>
        <w:footnoteReference w:id="46"/>
      </w:r>
      <w:r w:rsidR="00CC6300">
        <w:rPr>
          <w:rFonts w:ascii="Arial" w:hAnsi="Arial" w:cs="Arial"/>
          <w:sz w:val="24"/>
          <w:szCs w:val="28"/>
        </w:rPr>
        <w:t xml:space="preserve"> developing into communal tombs</w:t>
      </w:r>
      <w:r w:rsidR="00CC6300">
        <w:rPr>
          <w:rStyle w:val="FootnoteReference"/>
          <w:rFonts w:ascii="Arial" w:hAnsi="Arial" w:cs="Arial"/>
          <w:sz w:val="24"/>
          <w:szCs w:val="28"/>
        </w:rPr>
        <w:footnoteReference w:id="47"/>
      </w:r>
      <w:r w:rsidR="00CC6300">
        <w:rPr>
          <w:rFonts w:ascii="Arial" w:hAnsi="Arial" w:cs="Arial"/>
          <w:sz w:val="24"/>
          <w:szCs w:val="28"/>
        </w:rPr>
        <w:t>, which became incredibly common.</w:t>
      </w:r>
      <w:r w:rsidR="00CC6300">
        <w:rPr>
          <w:rStyle w:val="FootnoteReference"/>
          <w:rFonts w:ascii="Arial" w:hAnsi="Arial" w:cs="Arial"/>
          <w:sz w:val="24"/>
          <w:szCs w:val="28"/>
        </w:rPr>
        <w:footnoteReference w:id="48"/>
      </w:r>
      <w:r w:rsidR="00CC6300">
        <w:rPr>
          <w:rFonts w:ascii="Arial" w:hAnsi="Arial" w:cs="Arial"/>
          <w:sz w:val="24"/>
          <w:szCs w:val="28"/>
        </w:rPr>
        <w:t xml:space="preserve"> Once these tombs had been made, many generations of families were interred in them,</w:t>
      </w:r>
      <w:r w:rsidR="00CC6300">
        <w:rPr>
          <w:rStyle w:val="FootnoteReference"/>
          <w:rFonts w:ascii="Arial" w:hAnsi="Arial" w:cs="Arial"/>
          <w:sz w:val="24"/>
          <w:szCs w:val="28"/>
        </w:rPr>
        <w:footnoteReference w:id="49"/>
      </w:r>
      <w:r w:rsidR="00CC6300">
        <w:rPr>
          <w:rFonts w:ascii="Arial" w:hAnsi="Arial" w:cs="Arial"/>
          <w:sz w:val="24"/>
          <w:szCs w:val="28"/>
        </w:rPr>
        <w:t xml:space="preserve"> bones of ancestors gradually being moved to make room for more bodies as time went on.</w:t>
      </w:r>
      <w:r w:rsidR="00CC6300">
        <w:rPr>
          <w:rStyle w:val="FootnoteReference"/>
          <w:rFonts w:ascii="Arial" w:hAnsi="Arial" w:cs="Arial"/>
          <w:sz w:val="24"/>
          <w:szCs w:val="28"/>
        </w:rPr>
        <w:footnoteReference w:id="50"/>
      </w:r>
      <w:r w:rsidR="00CC6300">
        <w:rPr>
          <w:rFonts w:ascii="Arial" w:hAnsi="Arial" w:cs="Arial"/>
          <w:sz w:val="24"/>
          <w:szCs w:val="28"/>
        </w:rPr>
        <w:t xml:space="preserve"> One of the main indicators that these tombs were visited and used by the living comes from the fact that verandas were seemingly made later on in the tomb’s life – supposedly to give people visiting shade from the heat</w:t>
      </w:r>
      <w:r w:rsidR="00CC6300">
        <w:rPr>
          <w:rStyle w:val="FootnoteReference"/>
          <w:rFonts w:ascii="Arial" w:hAnsi="Arial" w:cs="Arial"/>
          <w:sz w:val="24"/>
          <w:szCs w:val="28"/>
        </w:rPr>
        <w:footnoteReference w:id="51"/>
      </w:r>
      <w:r w:rsidR="00CC6300">
        <w:rPr>
          <w:rFonts w:ascii="Arial" w:hAnsi="Arial" w:cs="Arial"/>
          <w:sz w:val="24"/>
          <w:szCs w:val="28"/>
        </w:rPr>
        <w:t xml:space="preserve"> - an example of this being Khrysolakkos at Malia.</w:t>
      </w:r>
      <w:r w:rsidR="00CC6300">
        <w:rPr>
          <w:rStyle w:val="FootnoteReference"/>
          <w:rFonts w:ascii="Arial" w:hAnsi="Arial" w:cs="Arial"/>
          <w:sz w:val="24"/>
          <w:szCs w:val="28"/>
        </w:rPr>
        <w:footnoteReference w:id="52"/>
      </w:r>
      <w:r w:rsidR="00CC6300">
        <w:rPr>
          <w:rFonts w:ascii="Arial" w:hAnsi="Arial" w:cs="Arial"/>
          <w:sz w:val="24"/>
          <w:szCs w:val="28"/>
        </w:rPr>
        <w:t xml:space="preserve"> Many comments have been made about these kinds of porches being constructed at the front of tombs, the main consensus being that they were used for ritual and ceremony</w:t>
      </w:r>
      <w:r w:rsidR="000E0FBA">
        <w:rPr>
          <w:rFonts w:ascii="Arial" w:hAnsi="Arial" w:cs="Arial"/>
          <w:sz w:val="24"/>
          <w:szCs w:val="28"/>
        </w:rPr>
        <w:t>.</w:t>
      </w:r>
      <w:r w:rsidR="00CC6300">
        <w:rPr>
          <w:rStyle w:val="FootnoteReference"/>
          <w:rFonts w:ascii="Arial" w:hAnsi="Arial" w:cs="Arial"/>
          <w:sz w:val="24"/>
          <w:szCs w:val="28"/>
        </w:rPr>
        <w:footnoteReference w:id="53"/>
      </w:r>
      <w:r w:rsidR="000E0FBA">
        <w:rPr>
          <w:rFonts w:ascii="Arial" w:hAnsi="Arial" w:cs="Arial"/>
          <w:sz w:val="24"/>
          <w:szCs w:val="28"/>
        </w:rPr>
        <w:t xml:space="preserve"> Examples of the continued ceremonial use of a veranda at a graveside is from that of Tomb 4 in Pseira, </w:t>
      </w:r>
      <w:r w:rsidR="000E0FBA">
        <w:rPr>
          <w:rStyle w:val="FootnoteReference"/>
          <w:rFonts w:ascii="Arial" w:hAnsi="Arial" w:cs="Arial"/>
          <w:sz w:val="24"/>
          <w:szCs w:val="28"/>
        </w:rPr>
        <w:footnoteReference w:id="54"/>
      </w:r>
      <w:r w:rsidR="000E0FBA">
        <w:rPr>
          <w:rFonts w:ascii="Arial" w:hAnsi="Arial" w:cs="Arial"/>
          <w:sz w:val="24"/>
          <w:szCs w:val="28"/>
        </w:rPr>
        <w:t xml:space="preserve"> and the “Tomb of the Tripod Hearth” found at Zapher Papoura</w:t>
      </w:r>
      <w:r w:rsidR="000E0FBA">
        <w:rPr>
          <w:rStyle w:val="FootnoteReference"/>
          <w:rFonts w:ascii="Arial" w:hAnsi="Arial" w:cs="Arial"/>
          <w:sz w:val="24"/>
          <w:szCs w:val="28"/>
        </w:rPr>
        <w:footnoteReference w:id="55"/>
      </w:r>
      <w:r w:rsidR="000E0FBA">
        <w:rPr>
          <w:rFonts w:ascii="Arial" w:hAnsi="Arial" w:cs="Arial"/>
          <w:sz w:val="24"/>
          <w:szCs w:val="28"/>
        </w:rPr>
        <w:t xml:space="preserve"> (north of Knossos). As well as this, the finds from this tomb </w:t>
      </w:r>
      <w:r w:rsidR="00D1697E">
        <w:rPr>
          <w:rFonts w:ascii="Arial" w:hAnsi="Arial" w:cs="Arial"/>
          <w:sz w:val="24"/>
          <w:szCs w:val="28"/>
        </w:rPr>
        <w:t>i</w:t>
      </w:r>
      <w:r w:rsidR="000E0FBA">
        <w:rPr>
          <w:rFonts w:ascii="Arial" w:hAnsi="Arial" w:cs="Arial"/>
          <w:sz w:val="24"/>
          <w:szCs w:val="28"/>
        </w:rPr>
        <w:t>n this tomb were very elaborate, made for the consumption of wine and food.</w:t>
      </w:r>
      <w:r w:rsidR="000E0FBA">
        <w:rPr>
          <w:rStyle w:val="FootnoteReference"/>
          <w:rFonts w:ascii="Arial" w:hAnsi="Arial" w:cs="Arial"/>
          <w:sz w:val="24"/>
          <w:szCs w:val="28"/>
        </w:rPr>
        <w:footnoteReference w:id="56"/>
      </w:r>
      <w:r w:rsidR="000E0FBA">
        <w:rPr>
          <w:rFonts w:ascii="Arial" w:hAnsi="Arial" w:cs="Arial"/>
          <w:sz w:val="24"/>
          <w:szCs w:val="28"/>
        </w:rPr>
        <w:t xml:space="preserve"> Many of the examples were vessels categorised as ladles, plates, jugs, basins and cups.</w:t>
      </w:r>
      <w:r w:rsidR="000E0FBA">
        <w:rPr>
          <w:rStyle w:val="FootnoteReference"/>
          <w:rFonts w:ascii="Arial" w:hAnsi="Arial" w:cs="Arial"/>
          <w:sz w:val="24"/>
          <w:szCs w:val="28"/>
        </w:rPr>
        <w:footnoteReference w:id="57"/>
      </w:r>
      <w:r w:rsidR="000E0FBA">
        <w:rPr>
          <w:rFonts w:ascii="Arial" w:hAnsi="Arial" w:cs="Arial"/>
          <w:sz w:val="24"/>
          <w:szCs w:val="28"/>
        </w:rPr>
        <w:t xml:space="preserve"> Tomb 4 also showed a similar assemblage, being cups and open vessels,</w:t>
      </w:r>
      <w:r w:rsidR="000E0FBA">
        <w:rPr>
          <w:rStyle w:val="FootnoteReference"/>
          <w:rFonts w:ascii="Arial" w:hAnsi="Arial" w:cs="Arial"/>
          <w:sz w:val="24"/>
          <w:szCs w:val="28"/>
        </w:rPr>
        <w:footnoteReference w:id="58"/>
      </w:r>
      <w:r w:rsidR="000E0FBA">
        <w:rPr>
          <w:rFonts w:ascii="Arial" w:hAnsi="Arial" w:cs="Arial"/>
          <w:sz w:val="24"/>
          <w:szCs w:val="28"/>
        </w:rPr>
        <w:t xml:space="preserve"> this shows that they were either important at the time of the burial or later on for either dedications or for ceremony.</w:t>
      </w:r>
      <w:r w:rsidR="000E0FBA">
        <w:rPr>
          <w:rStyle w:val="FootnoteReference"/>
          <w:rFonts w:ascii="Arial" w:hAnsi="Arial" w:cs="Arial"/>
          <w:sz w:val="24"/>
          <w:szCs w:val="28"/>
        </w:rPr>
        <w:footnoteReference w:id="59"/>
      </w:r>
      <w:r w:rsidR="000E0FBA">
        <w:rPr>
          <w:rFonts w:ascii="Arial" w:hAnsi="Arial" w:cs="Arial"/>
          <w:sz w:val="24"/>
          <w:szCs w:val="28"/>
        </w:rPr>
        <w:t xml:space="preserve"> The topic of assume</w:t>
      </w:r>
      <w:r w:rsidR="0085339F">
        <w:rPr>
          <w:rFonts w:ascii="Arial" w:hAnsi="Arial" w:cs="Arial"/>
          <w:sz w:val="24"/>
          <w:szCs w:val="28"/>
        </w:rPr>
        <w:t xml:space="preserve">d </w:t>
      </w:r>
      <w:r w:rsidR="000E0FBA">
        <w:rPr>
          <w:rFonts w:ascii="Arial" w:hAnsi="Arial" w:cs="Arial"/>
          <w:sz w:val="24"/>
          <w:szCs w:val="28"/>
        </w:rPr>
        <w:t>sacrifice often comes up when discussing burial ceremony, but no bones were found at the site of Tomb 4.</w:t>
      </w:r>
      <w:r w:rsidR="000E0FBA">
        <w:rPr>
          <w:rStyle w:val="FootnoteReference"/>
          <w:rFonts w:ascii="Arial" w:hAnsi="Arial" w:cs="Arial"/>
          <w:sz w:val="24"/>
          <w:szCs w:val="28"/>
        </w:rPr>
        <w:footnoteReference w:id="60"/>
      </w:r>
      <w:r w:rsidR="000E0FBA">
        <w:rPr>
          <w:rFonts w:ascii="Arial" w:hAnsi="Arial" w:cs="Arial"/>
          <w:sz w:val="24"/>
          <w:szCs w:val="28"/>
        </w:rPr>
        <w:t xml:space="preserve"> It is rather strongly believed by Betancourt that the single certain activity that took place involved some kind of offering, potentially buried in the soil.</w:t>
      </w:r>
      <w:r w:rsidR="000E0FBA">
        <w:rPr>
          <w:rStyle w:val="FootnoteReference"/>
          <w:rFonts w:ascii="Arial" w:hAnsi="Arial" w:cs="Arial"/>
          <w:sz w:val="24"/>
          <w:szCs w:val="28"/>
        </w:rPr>
        <w:footnoteReference w:id="61"/>
      </w:r>
      <w:r w:rsidR="000E0FBA">
        <w:rPr>
          <w:rFonts w:ascii="Arial" w:hAnsi="Arial" w:cs="Arial"/>
          <w:sz w:val="24"/>
          <w:szCs w:val="28"/>
        </w:rPr>
        <w:t xml:space="preserve"> These objects ranged from small jars to clay vases.</w:t>
      </w:r>
      <w:r w:rsidR="00D1697E">
        <w:rPr>
          <w:rStyle w:val="FootnoteReference"/>
          <w:rFonts w:ascii="Arial" w:hAnsi="Arial" w:cs="Arial"/>
          <w:sz w:val="24"/>
          <w:szCs w:val="28"/>
        </w:rPr>
        <w:footnoteReference w:id="62"/>
      </w:r>
      <w:r w:rsidR="00D1697E">
        <w:rPr>
          <w:rFonts w:ascii="Arial" w:hAnsi="Arial" w:cs="Arial"/>
          <w:sz w:val="24"/>
          <w:szCs w:val="28"/>
        </w:rPr>
        <w:t xml:space="preserve"> But, the fact that these were buried outside of the tomb means that there were no direct links with a single ancestor, leading to the concept they were a part of some kind of </w:t>
      </w:r>
      <w:r w:rsidR="00AC67BC">
        <w:rPr>
          <w:rFonts w:ascii="Arial" w:hAnsi="Arial" w:cs="Arial"/>
          <w:sz w:val="24"/>
          <w:szCs w:val="28"/>
        </w:rPr>
        <w:t xml:space="preserve">ancestral </w:t>
      </w:r>
      <w:r w:rsidR="00D1697E">
        <w:rPr>
          <w:rFonts w:ascii="Arial" w:hAnsi="Arial" w:cs="Arial"/>
          <w:sz w:val="24"/>
          <w:szCs w:val="28"/>
        </w:rPr>
        <w:t>ceremony for all in the tomb.</w:t>
      </w:r>
      <w:r w:rsidR="00D1697E">
        <w:rPr>
          <w:rStyle w:val="FootnoteReference"/>
          <w:rFonts w:ascii="Arial" w:hAnsi="Arial" w:cs="Arial"/>
          <w:sz w:val="24"/>
          <w:szCs w:val="28"/>
        </w:rPr>
        <w:footnoteReference w:id="63"/>
      </w:r>
      <w:r w:rsidR="00D1697E">
        <w:rPr>
          <w:rFonts w:ascii="Arial" w:hAnsi="Arial" w:cs="Arial"/>
          <w:sz w:val="24"/>
          <w:szCs w:val="28"/>
        </w:rPr>
        <w:t xml:space="preserve"> This can indicate to a ceremony happening later, rather than something that happened straight away.</w:t>
      </w:r>
      <w:r w:rsidR="00D1697E">
        <w:rPr>
          <w:rStyle w:val="FootnoteReference"/>
          <w:rFonts w:ascii="Arial" w:hAnsi="Arial" w:cs="Arial"/>
          <w:sz w:val="24"/>
          <w:szCs w:val="28"/>
        </w:rPr>
        <w:footnoteReference w:id="64"/>
      </w:r>
      <w:r w:rsidR="00AC67BC">
        <w:rPr>
          <w:rFonts w:ascii="Arial" w:hAnsi="Arial" w:cs="Arial"/>
          <w:sz w:val="24"/>
          <w:szCs w:val="28"/>
        </w:rPr>
        <w:br/>
      </w:r>
      <w:r w:rsidR="00CC6300">
        <w:rPr>
          <w:rFonts w:ascii="Arial" w:hAnsi="Arial" w:cs="Arial"/>
          <w:sz w:val="24"/>
          <w:szCs w:val="28"/>
        </w:rPr>
        <w:t>As well as this, examples of elaborate grave goods for the dead have also been found – such as in the graves in Kamilari</w:t>
      </w:r>
      <w:r w:rsidR="00CC6300">
        <w:rPr>
          <w:rStyle w:val="FootnoteReference"/>
          <w:rFonts w:ascii="Arial" w:hAnsi="Arial" w:cs="Arial"/>
          <w:sz w:val="24"/>
          <w:szCs w:val="28"/>
        </w:rPr>
        <w:footnoteReference w:id="65"/>
      </w:r>
      <w:r w:rsidR="00CC6300">
        <w:rPr>
          <w:rFonts w:ascii="Arial" w:hAnsi="Arial" w:cs="Arial"/>
          <w:sz w:val="24"/>
          <w:szCs w:val="28"/>
        </w:rPr>
        <w:t xml:space="preserve"> (west of Phaistos). In Kamilari, some of the goods that were found were stone vases, statuettes, beads, terracotta ware, and </w:t>
      </w:r>
      <w:r w:rsidR="00CC6300">
        <w:rPr>
          <w:rFonts w:ascii="Arial" w:hAnsi="Arial" w:cs="Arial"/>
          <w:sz w:val="24"/>
          <w:szCs w:val="28"/>
        </w:rPr>
        <w:lastRenderedPageBreak/>
        <w:t>a clay model of dancers.</w:t>
      </w:r>
      <w:r w:rsidR="00CC6300">
        <w:rPr>
          <w:rStyle w:val="FootnoteReference"/>
          <w:rFonts w:ascii="Arial" w:hAnsi="Arial" w:cs="Arial"/>
          <w:sz w:val="24"/>
          <w:szCs w:val="28"/>
        </w:rPr>
        <w:footnoteReference w:id="66"/>
      </w:r>
      <w:r w:rsidR="00CC6300">
        <w:rPr>
          <w:rFonts w:ascii="Arial" w:hAnsi="Arial" w:cs="Arial"/>
          <w:sz w:val="24"/>
          <w:szCs w:val="28"/>
        </w:rPr>
        <w:t xml:space="preserve"> Many EMII graves also produce Sealstones, vases, and metal objects (daggers, jewellery).</w:t>
      </w:r>
      <w:r w:rsidR="00CC6300">
        <w:rPr>
          <w:rStyle w:val="FootnoteReference"/>
          <w:rFonts w:ascii="Arial" w:hAnsi="Arial" w:cs="Arial"/>
          <w:sz w:val="24"/>
          <w:szCs w:val="28"/>
        </w:rPr>
        <w:footnoteReference w:id="67"/>
      </w:r>
      <w:r w:rsidR="00D1697E">
        <w:rPr>
          <w:rFonts w:ascii="Arial" w:hAnsi="Arial" w:cs="Arial"/>
          <w:sz w:val="24"/>
          <w:szCs w:val="28"/>
        </w:rPr>
        <w:t xml:space="preserve"> These kinds of objects are rare due to looting, but it does indicate that there must have been some reverence placed on the dead, and some ritual to go with it. If graves were important enough to receive such elaborate objects, many would believe that elaborate ceremonies would have also taken place.</w:t>
      </w:r>
      <w:r w:rsidR="00D1697E">
        <w:rPr>
          <w:rFonts w:ascii="Arial" w:hAnsi="Arial" w:cs="Arial"/>
          <w:sz w:val="24"/>
          <w:szCs w:val="28"/>
        </w:rPr>
        <w:br/>
        <w:t>The case of tombs and burial practices is something that is incredibly important when it comes to understanding certain practices in Minoan religion. There is no doubt that ritual and ceremony did take place here, but it is unknown if it was directly related to religion. Once again, nothing can be fully proven as we don’t have evidence in writing for many types of ritual, but the evidence found at tombs is of invaluable importance when trying to decipher certain aspects of the ritual lives of the Minoans.</w:t>
      </w:r>
    </w:p>
    <w:p w:rsidR="00E36E2E" w:rsidRDefault="00D1697E" w:rsidP="00ED2143">
      <w:pPr>
        <w:pBdr>
          <w:bottom w:val="dotted" w:sz="24" w:space="1" w:color="auto"/>
        </w:pBdr>
        <w:rPr>
          <w:rFonts w:ascii="Arial" w:hAnsi="Arial" w:cs="Arial"/>
          <w:sz w:val="24"/>
          <w:szCs w:val="28"/>
        </w:rPr>
      </w:pPr>
      <w:r>
        <w:rPr>
          <w:rFonts w:ascii="Arial" w:hAnsi="Arial" w:cs="Arial"/>
          <w:sz w:val="24"/>
          <w:szCs w:val="28"/>
        </w:rPr>
        <w:t>In conclusion, the main thing that has been found is the pure difficulty that comes to und</w:t>
      </w:r>
      <w:r w:rsidR="008075B3">
        <w:rPr>
          <w:rFonts w:ascii="Arial" w:hAnsi="Arial" w:cs="Arial"/>
          <w:sz w:val="24"/>
          <w:szCs w:val="28"/>
        </w:rPr>
        <w:t xml:space="preserve">erstanding the lives regarding ritual and ceremony (linking to religion) in the Minoan world. Due to the lack of a script detailing the aspects of ritual and ceremony, much of the conclusions we have to draw are indeed speculatory. But, with the help of certain theories, this lexicon-less world can become clear due to the material culture left behind, and the places these objects were left. Hopefully the discussion here of items found, where they have been found, and the importance of these two aspects together with the theories of household archaeology, commensality, and cross-referencing of other cultures have opened up some clarity on the lives of the Minoan people in their palaces and the places relating to them. </w:t>
      </w:r>
    </w:p>
    <w:p w:rsidR="00E36E2E" w:rsidRDefault="00AC67BC">
      <w:pPr>
        <w:rPr>
          <w:rFonts w:ascii="Arial" w:hAnsi="Arial" w:cs="Arial"/>
          <w:sz w:val="24"/>
          <w:szCs w:val="28"/>
        </w:rPr>
      </w:pPr>
      <w:r>
        <w:rPr>
          <w:rFonts w:ascii="Arial" w:hAnsi="Arial" w:cs="Arial"/>
          <w:b/>
          <w:sz w:val="24"/>
          <w:szCs w:val="28"/>
        </w:rPr>
        <w:t xml:space="preserve">Word Count: </w:t>
      </w:r>
      <w:r w:rsidR="00436399">
        <w:rPr>
          <w:rFonts w:ascii="Arial" w:hAnsi="Arial" w:cs="Arial"/>
          <w:sz w:val="24"/>
          <w:szCs w:val="28"/>
        </w:rPr>
        <w:t>2,836</w:t>
      </w:r>
      <w:r>
        <w:rPr>
          <w:rFonts w:ascii="Arial" w:hAnsi="Arial" w:cs="Arial"/>
          <w:sz w:val="24"/>
          <w:szCs w:val="28"/>
        </w:rPr>
        <w:br/>
      </w:r>
    </w:p>
    <w:p w:rsidR="00AC67BC" w:rsidRDefault="00AC67BC">
      <w:pPr>
        <w:rPr>
          <w:rFonts w:ascii="Arial" w:hAnsi="Arial" w:cs="Arial"/>
          <w:sz w:val="24"/>
          <w:szCs w:val="28"/>
        </w:rPr>
      </w:pPr>
      <w:bookmarkStart w:id="0" w:name="_GoBack"/>
      <w:bookmarkEnd w:id="0"/>
    </w:p>
    <w:p w:rsidR="00AC67BC" w:rsidRDefault="00AC67BC">
      <w:pPr>
        <w:rPr>
          <w:rFonts w:ascii="Arial" w:hAnsi="Arial" w:cs="Arial"/>
          <w:sz w:val="24"/>
          <w:szCs w:val="28"/>
        </w:rPr>
      </w:pPr>
    </w:p>
    <w:p w:rsidR="00AC67BC" w:rsidRDefault="00AC67BC">
      <w:pPr>
        <w:rPr>
          <w:rFonts w:ascii="Arial" w:hAnsi="Arial" w:cs="Arial"/>
          <w:sz w:val="24"/>
          <w:szCs w:val="28"/>
        </w:rPr>
      </w:pPr>
    </w:p>
    <w:p w:rsidR="00AC67BC" w:rsidRDefault="00AC67BC">
      <w:pPr>
        <w:rPr>
          <w:rFonts w:ascii="Arial" w:hAnsi="Arial" w:cs="Arial"/>
          <w:sz w:val="24"/>
          <w:szCs w:val="28"/>
        </w:rPr>
      </w:pPr>
    </w:p>
    <w:p w:rsidR="00AC67BC" w:rsidRDefault="00AC67BC">
      <w:pPr>
        <w:rPr>
          <w:rFonts w:ascii="Arial" w:hAnsi="Arial" w:cs="Arial"/>
          <w:sz w:val="24"/>
          <w:szCs w:val="28"/>
        </w:rPr>
      </w:pPr>
    </w:p>
    <w:p w:rsidR="00AC67BC" w:rsidRDefault="00AC67BC">
      <w:pPr>
        <w:rPr>
          <w:rFonts w:ascii="Arial" w:hAnsi="Arial" w:cs="Arial"/>
          <w:sz w:val="24"/>
          <w:szCs w:val="28"/>
        </w:rPr>
      </w:pPr>
    </w:p>
    <w:p w:rsidR="00AC67BC" w:rsidRDefault="00AC67BC">
      <w:pPr>
        <w:rPr>
          <w:rFonts w:ascii="Arial" w:hAnsi="Arial" w:cs="Arial"/>
          <w:sz w:val="24"/>
          <w:szCs w:val="28"/>
        </w:rPr>
      </w:pPr>
    </w:p>
    <w:p w:rsidR="00436399" w:rsidRDefault="00436399" w:rsidP="00ED2143">
      <w:pPr>
        <w:rPr>
          <w:rFonts w:ascii="Arial" w:hAnsi="Arial" w:cs="Arial"/>
          <w:b/>
          <w:sz w:val="24"/>
          <w:szCs w:val="28"/>
        </w:rPr>
      </w:pPr>
    </w:p>
    <w:p w:rsidR="00436399" w:rsidRDefault="00436399" w:rsidP="00ED2143">
      <w:pPr>
        <w:rPr>
          <w:rFonts w:ascii="Arial" w:hAnsi="Arial" w:cs="Arial"/>
          <w:b/>
          <w:sz w:val="24"/>
          <w:szCs w:val="28"/>
        </w:rPr>
      </w:pPr>
    </w:p>
    <w:p w:rsidR="00436399" w:rsidRDefault="00436399" w:rsidP="00ED2143">
      <w:pPr>
        <w:rPr>
          <w:rFonts w:ascii="Arial" w:hAnsi="Arial" w:cs="Arial"/>
          <w:b/>
          <w:sz w:val="24"/>
          <w:szCs w:val="28"/>
        </w:rPr>
      </w:pPr>
    </w:p>
    <w:p w:rsidR="00436399" w:rsidRDefault="00436399" w:rsidP="00ED2143">
      <w:pPr>
        <w:rPr>
          <w:rFonts w:ascii="Arial" w:hAnsi="Arial" w:cs="Arial"/>
          <w:b/>
          <w:sz w:val="24"/>
          <w:szCs w:val="28"/>
        </w:rPr>
      </w:pPr>
    </w:p>
    <w:p w:rsidR="00D1697E" w:rsidRDefault="00E36E2E" w:rsidP="00ED2143">
      <w:pPr>
        <w:rPr>
          <w:rFonts w:ascii="Arial" w:hAnsi="Arial" w:cs="Arial"/>
          <w:b/>
          <w:sz w:val="24"/>
          <w:szCs w:val="28"/>
        </w:rPr>
      </w:pPr>
      <w:r>
        <w:rPr>
          <w:rFonts w:ascii="Arial" w:hAnsi="Arial" w:cs="Arial"/>
          <w:b/>
          <w:sz w:val="24"/>
          <w:szCs w:val="28"/>
        </w:rPr>
        <w:lastRenderedPageBreak/>
        <w:t>Bibliography</w:t>
      </w:r>
    </w:p>
    <w:p w:rsidR="00E36E2E" w:rsidRPr="00E36E2E" w:rsidRDefault="00E36E2E" w:rsidP="00E36E2E">
      <w:pPr>
        <w:pStyle w:val="ListParagraph"/>
        <w:numPr>
          <w:ilvl w:val="0"/>
          <w:numId w:val="1"/>
        </w:numPr>
        <w:rPr>
          <w:rFonts w:ascii="Arial" w:hAnsi="Arial" w:cs="Arial"/>
          <w:sz w:val="24"/>
        </w:rPr>
      </w:pPr>
      <w:r w:rsidRPr="00E36E2E">
        <w:rPr>
          <w:rFonts w:ascii="Arial" w:hAnsi="Arial" w:cs="Arial"/>
          <w:sz w:val="24"/>
        </w:rPr>
        <w:t xml:space="preserve">Farnoux. A, 1993, </w:t>
      </w:r>
      <w:r w:rsidRPr="00E36E2E">
        <w:rPr>
          <w:rFonts w:ascii="Arial" w:hAnsi="Arial" w:cs="Arial"/>
          <w:i/>
          <w:sz w:val="24"/>
        </w:rPr>
        <w:t>Knossos, Unearthing a Legend</w:t>
      </w:r>
      <w:r w:rsidRPr="00E36E2E">
        <w:rPr>
          <w:rFonts w:ascii="Arial" w:hAnsi="Arial" w:cs="Arial"/>
          <w:sz w:val="24"/>
        </w:rPr>
        <w:t>, Baker. D. J (trans.), New York, New Horizons</w:t>
      </w:r>
      <w:r>
        <w:rPr>
          <w:rFonts w:ascii="Arial" w:hAnsi="Arial" w:cs="Arial"/>
          <w:sz w:val="24"/>
        </w:rPr>
        <w:br/>
      </w:r>
    </w:p>
    <w:p w:rsidR="00E36E2E" w:rsidRPr="00E36E2E" w:rsidRDefault="00E36E2E" w:rsidP="00E36E2E">
      <w:pPr>
        <w:pStyle w:val="ListParagraph"/>
        <w:numPr>
          <w:ilvl w:val="0"/>
          <w:numId w:val="1"/>
        </w:numPr>
        <w:rPr>
          <w:rFonts w:ascii="Arial" w:hAnsi="Arial" w:cs="Arial"/>
          <w:sz w:val="24"/>
        </w:rPr>
      </w:pPr>
      <w:r w:rsidRPr="00E36E2E">
        <w:rPr>
          <w:rFonts w:ascii="Arial" w:hAnsi="Arial" w:cs="Arial"/>
          <w:sz w:val="24"/>
        </w:rPr>
        <w:t xml:space="preserve">Cotterell. A, 1979, </w:t>
      </w:r>
      <w:r w:rsidRPr="00E36E2E">
        <w:rPr>
          <w:rFonts w:ascii="Arial" w:hAnsi="Arial" w:cs="Arial"/>
          <w:i/>
          <w:sz w:val="24"/>
        </w:rPr>
        <w:t>The Minoan World</w:t>
      </w:r>
      <w:r w:rsidRPr="00E36E2E">
        <w:rPr>
          <w:rFonts w:ascii="Arial" w:hAnsi="Arial" w:cs="Arial"/>
          <w:sz w:val="24"/>
        </w:rPr>
        <w:t>, London, Book Club Associates</w:t>
      </w:r>
      <w:r>
        <w:rPr>
          <w:rFonts w:ascii="Arial" w:hAnsi="Arial" w:cs="Arial"/>
          <w:sz w:val="24"/>
        </w:rPr>
        <w:br/>
      </w:r>
    </w:p>
    <w:p w:rsidR="00E36E2E" w:rsidRPr="00E36E2E" w:rsidRDefault="00E36E2E" w:rsidP="00E36E2E">
      <w:pPr>
        <w:pStyle w:val="ListParagraph"/>
        <w:numPr>
          <w:ilvl w:val="0"/>
          <w:numId w:val="1"/>
        </w:numPr>
        <w:rPr>
          <w:rFonts w:ascii="Arial" w:hAnsi="Arial" w:cs="Arial"/>
          <w:sz w:val="24"/>
        </w:rPr>
      </w:pPr>
      <w:r w:rsidRPr="00E36E2E">
        <w:rPr>
          <w:rFonts w:ascii="Arial" w:hAnsi="Arial" w:cs="Arial"/>
          <w:sz w:val="24"/>
        </w:rPr>
        <w:t xml:space="preserve">Hamilakis. Y, 2002, What future for the Minoan Past?, In: Hamilakis. Y, (eds.), </w:t>
      </w:r>
      <w:r w:rsidRPr="00E36E2E">
        <w:rPr>
          <w:rFonts w:ascii="Arial" w:hAnsi="Arial" w:cs="Arial"/>
          <w:i/>
          <w:sz w:val="24"/>
        </w:rPr>
        <w:t xml:space="preserve">Labyrinth Revisited: Rethinking ‘Minoan’ Archaeology, </w:t>
      </w:r>
      <w:r w:rsidRPr="00E36E2E">
        <w:rPr>
          <w:rFonts w:ascii="Arial" w:hAnsi="Arial" w:cs="Arial"/>
          <w:sz w:val="24"/>
        </w:rPr>
        <w:t>Oxford, Oxbow Press</w:t>
      </w:r>
      <w:r>
        <w:rPr>
          <w:rFonts w:ascii="Arial" w:hAnsi="Arial" w:cs="Arial"/>
          <w:sz w:val="24"/>
        </w:rPr>
        <w:br/>
      </w:r>
    </w:p>
    <w:p w:rsidR="00E36E2E" w:rsidRPr="00E36E2E" w:rsidRDefault="00E36E2E" w:rsidP="00E36E2E">
      <w:pPr>
        <w:pStyle w:val="ListParagraph"/>
        <w:numPr>
          <w:ilvl w:val="0"/>
          <w:numId w:val="1"/>
        </w:numPr>
        <w:rPr>
          <w:rFonts w:ascii="Arial" w:hAnsi="Arial" w:cs="Arial"/>
          <w:sz w:val="24"/>
        </w:rPr>
      </w:pPr>
      <w:r w:rsidRPr="00E36E2E">
        <w:rPr>
          <w:rFonts w:ascii="Arial" w:hAnsi="Arial" w:cs="Arial"/>
          <w:sz w:val="24"/>
        </w:rPr>
        <w:t xml:space="preserve">Day. P. M, Wilson. D. E, 2002, Landscapes of Memory, Craft and Power in Prepalatial and Protopalatial Knossos, In: Hamilakis. Y, (eds.), </w:t>
      </w:r>
      <w:r w:rsidRPr="00E36E2E">
        <w:rPr>
          <w:rFonts w:ascii="Arial" w:hAnsi="Arial" w:cs="Arial"/>
          <w:i/>
          <w:sz w:val="24"/>
        </w:rPr>
        <w:t xml:space="preserve">Labyrinth Revisited: Rethinking ‘Minoan’ Archaeology, </w:t>
      </w:r>
      <w:r w:rsidRPr="00E36E2E">
        <w:rPr>
          <w:rFonts w:ascii="Arial" w:hAnsi="Arial" w:cs="Arial"/>
          <w:sz w:val="24"/>
        </w:rPr>
        <w:t>Oxford, Oxbow Press</w:t>
      </w:r>
      <w:r>
        <w:rPr>
          <w:rFonts w:ascii="Arial" w:hAnsi="Arial" w:cs="Arial"/>
          <w:sz w:val="24"/>
        </w:rPr>
        <w:br/>
      </w:r>
    </w:p>
    <w:p w:rsidR="00E36E2E" w:rsidRPr="00E36E2E" w:rsidRDefault="00E36E2E" w:rsidP="00E36E2E">
      <w:pPr>
        <w:pStyle w:val="ListParagraph"/>
        <w:numPr>
          <w:ilvl w:val="0"/>
          <w:numId w:val="1"/>
        </w:numPr>
        <w:rPr>
          <w:rFonts w:ascii="Arial" w:hAnsi="Arial" w:cs="Arial"/>
          <w:sz w:val="24"/>
        </w:rPr>
      </w:pPr>
      <w:r w:rsidRPr="00E36E2E">
        <w:rPr>
          <w:rFonts w:ascii="Arial" w:hAnsi="Arial" w:cs="Arial"/>
          <w:sz w:val="24"/>
        </w:rPr>
        <w:t xml:space="preserve">Nikolaidou. M, 2002, Palaces with Faces in Protopalatial Crete, In: Hamilakis. Y, (eds.), </w:t>
      </w:r>
      <w:r w:rsidRPr="00E36E2E">
        <w:rPr>
          <w:rFonts w:ascii="Arial" w:hAnsi="Arial" w:cs="Arial"/>
          <w:i/>
          <w:sz w:val="24"/>
        </w:rPr>
        <w:t xml:space="preserve">Labyrinth Revisited: Rethinking ‘Minoan’ Archaeology, </w:t>
      </w:r>
      <w:r w:rsidRPr="00E36E2E">
        <w:rPr>
          <w:rFonts w:ascii="Arial" w:hAnsi="Arial" w:cs="Arial"/>
          <w:sz w:val="24"/>
        </w:rPr>
        <w:t>Oxford, Oxbow Press</w:t>
      </w:r>
      <w:r>
        <w:rPr>
          <w:rFonts w:ascii="Arial" w:hAnsi="Arial" w:cs="Arial"/>
          <w:sz w:val="24"/>
        </w:rPr>
        <w:br/>
      </w:r>
    </w:p>
    <w:p w:rsidR="00E36E2E" w:rsidRPr="00E36E2E" w:rsidRDefault="00E36E2E" w:rsidP="00E36E2E">
      <w:pPr>
        <w:pStyle w:val="ListParagraph"/>
        <w:numPr>
          <w:ilvl w:val="0"/>
          <w:numId w:val="1"/>
        </w:numPr>
        <w:rPr>
          <w:rFonts w:ascii="Arial" w:hAnsi="Arial" w:cs="Arial"/>
          <w:sz w:val="24"/>
        </w:rPr>
      </w:pPr>
      <w:r w:rsidRPr="00E36E2E">
        <w:rPr>
          <w:rFonts w:ascii="Arial" w:hAnsi="Arial" w:cs="Arial"/>
          <w:sz w:val="24"/>
        </w:rPr>
        <w:t xml:space="preserve">Cadogan. G, 1976, </w:t>
      </w:r>
      <w:r w:rsidRPr="00E36E2E">
        <w:rPr>
          <w:rFonts w:ascii="Arial" w:hAnsi="Arial" w:cs="Arial"/>
          <w:i/>
          <w:sz w:val="24"/>
        </w:rPr>
        <w:t>Palaces of Minoan Crete</w:t>
      </w:r>
      <w:r w:rsidRPr="00E36E2E">
        <w:rPr>
          <w:rFonts w:ascii="Arial" w:hAnsi="Arial" w:cs="Arial"/>
          <w:sz w:val="24"/>
        </w:rPr>
        <w:t>, London, Routledge</w:t>
      </w:r>
      <w:r>
        <w:rPr>
          <w:rFonts w:ascii="Arial" w:hAnsi="Arial" w:cs="Arial"/>
          <w:sz w:val="24"/>
        </w:rPr>
        <w:br/>
      </w:r>
    </w:p>
    <w:p w:rsidR="00E36E2E" w:rsidRPr="00E36E2E" w:rsidRDefault="00E36E2E" w:rsidP="00E36E2E">
      <w:pPr>
        <w:pStyle w:val="ListParagraph"/>
        <w:numPr>
          <w:ilvl w:val="0"/>
          <w:numId w:val="1"/>
        </w:numPr>
        <w:rPr>
          <w:rFonts w:ascii="Arial" w:hAnsi="Arial" w:cs="Arial"/>
          <w:sz w:val="24"/>
        </w:rPr>
      </w:pPr>
      <w:r w:rsidRPr="00E36E2E">
        <w:rPr>
          <w:rFonts w:ascii="Arial" w:hAnsi="Arial" w:cs="Arial"/>
          <w:sz w:val="24"/>
        </w:rPr>
        <w:t xml:space="preserve">Betancourt. P. P, 2011, Tomb 4 at Pseira: Evidence for Minoan Social Practices, In: Murphy. J. M. A (eds.) , </w:t>
      </w:r>
      <w:r w:rsidRPr="00E36E2E">
        <w:rPr>
          <w:rFonts w:ascii="Arial" w:hAnsi="Arial" w:cs="Arial"/>
          <w:i/>
          <w:sz w:val="24"/>
        </w:rPr>
        <w:t>Prehistoric Crete: Regional and Diachronic Studies on Mortuary Systems</w:t>
      </w:r>
      <w:r w:rsidRPr="00E36E2E">
        <w:rPr>
          <w:rFonts w:ascii="Arial" w:hAnsi="Arial" w:cs="Arial"/>
          <w:sz w:val="24"/>
        </w:rPr>
        <w:t>, Philadelphia, INSTAP Academic Press</w:t>
      </w:r>
      <w:r>
        <w:rPr>
          <w:rFonts w:ascii="Arial" w:hAnsi="Arial" w:cs="Arial"/>
          <w:sz w:val="24"/>
        </w:rPr>
        <w:br/>
      </w:r>
    </w:p>
    <w:p w:rsidR="00E36E2E" w:rsidRPr="00E36E2E" w:rsidRDefault="00E36E2E" w:rsidP="00E36E2E">
      <w:pPr>
        <w:pStyle w:val="ListParagraph"/>
        <w:numPr>
          <w:ilvl w:val="0"/>
          <w:numId w:val="1"/>
        </w:numPr>
        <w:rPr>
          <w:rFonts w:ascii="Arial" w:hAnsi="Arial" w:cs="Arial"/>
          <w:sz w:val="24"/>
        </w:rPr>
      </w:pPr>
      <w:r w:rsidRPr="00E36E2E">
        <w:rPr>
          <w:rFonts w:ascii="Arial" w:hAnsi="Arial" w:cs="Arial"/>
          <w:sz w:val="24"/>
        </w:rPr>
        <w:t xml:space="preserve">Branigan. K, 1970, </w:t>
      </w:r>
      <w:r w:rsidRPr="00E36E2E">
        <w:rPr>
          <w:rFonts w:ascii="Arial" w:hAnsi="Arial" w:cs="Arial"/>
          <w:i/>
          <w:sz w:val="24"/>
        </w:rPr>
        <w:t>The Tombs of Mesara – A Study of Funerary Architecture and Ritual in Southern Crete</w:t>
      </w:r>
      <w:r w:rsidRPr="00E36E2E">
        <w:rPr>
          <w:rFonts w:ascii="Arial" w:hAnsi="Arial" w:cs="Arial"/>
          <w:sz w:val="24"/>
        </w:rPr>
        <w:t xml:space="preserve">, London, Gerald Duckworth &amp; Company Ltd. </w:t>
      </w:r>
      <w:r>
        <w:rPr>
          <w:rFonts w:ascii="Arial" w:hAnsi="Arial" w:cs="Arial"/>
          <w:sz w:val="24"/>
        </w:rPr>
        <w:br/>
      </w:r>
    </w:p>
    <w:p w:rsidR="00E36E2E" w:rsidRPr="00E36E2E" w:rsidRDefault="00E36E2E" w:rsidP="00E36E2E">
      <w:pPr>
        <w:pStyle w:val="ListParagraph"/>
        <w:numPr>
          <w:ilvl w:val="0"/>
          <w:numId w:val="1"/>
        </w:numPr>
        <w:rPr>
          <w:rFonts w:ascii="Arial" w:hAnsi="Arial" w:cs="Arial"/>
          <w:sz w:val="24"/>
        </w:rPr>
      </w:pPr>
      <w:r w:rsidRPr="00E36E2E">
        <w:rPr>
          <w:rFonts w:ascii="Arial" w:hAnsi="Arial" w:cs="Arial"/>
          <w:sz w:val="24"/>
        </w:rPr>
        <w:t xml:space="preserve">Peatfield. A, 2009, The Topography of Minoan Peak Sanctuaries Revisited, In: D’Agata. A. L, Van De Moortel. A (eds.), </w:t>
      </w:r>
      <w:r w:rsidRPr="00E36E2E">
        <w:rPr>
          <w:rFonts w:ascii="Arial" w:hAnsi="Arial" w:cs="Arial"/>
          <w:i/>
          <w:sz w:val="24"/>
        </w:rPr>
        <w:t>Archaeologies of Cult: Essays on Ritual and Cult in Crete In Honour of Geraldine C. Gesell</w:t>
      </w:r>
      <w:r w:rsidRPr="00E36E2E">
        <w:rPr>
          <w:rFonts w:ascii="Arial" w:hAnsi="Arial" w:cs="Arial"/>
          <w:sz w:val="24"/>
        </w:rPr>
        <w:t>, New Jersey, The American School of Classical Studies at Athens.</w:t>
      </w:r>
      <w:r>
        <w:rPr>
          <w:rFonts w:ascii="Arial" w:hAnsi="Arial" w:cs="Arial"/>
          <w:sz w:val="24"/>
        </w:rPr>
        <w:br/>
      </w:r>
    </w:p>
    <w:p w:rsidR="00E36E2E" w:rsidRPr="00E36E2E" w:rsidRDefault="00E36E2E" w:rsidP="00E36E2E">
      <w:pPr>
        <w:pStyle w:val="ListParagraph"/>
        <w:numPr>
          <w:ilvl w:val="0"/>
          <w:numId w:val="1"/>
        </w:numPr>
        <w:rPr>
          <w:rFonts w:ascii="Arial" w:hAnsi="Arial" w:cs="Arial"/>
          <w:sz w:val="24"/>
        </w:rPr>
      </w:pPr>
      <w:r w:rsidRPr="00E36E2E">
        <w:rPr>
          <w:rFonts w:ascii="Arial" w:hAnsi="Arial" w:cs="Arial"/>
          <w:sz w:val="24"/>
        </w:rPr>
        <w:t xml:space="preserve">Darcque. P, Van De Moortel. A, Special, Ritual, Or Cultic, In: D’Agata. A. L, Van De Moortel. A (eds.), 2009, </w:t>
      </w:r>
      <w:r w:rsidRPr="00E36E2E">
        <w:rPr>
          <w:rFonts w:ascii="Arial" w:hAnsi="Arial" w:cs="Arial"/>
          <w:i/>
          <w:sz w:val="24"/>
        </w:rPr>
        <w:t>Archaeologies of Cult: Essays on Ritual and Cult in Crete In Honour of Geraldine C. Gesell</w:t>
      </w:r>
      <w:r w:rsidRPr="00E36E2E">
        <w:rPr>
          <w:rFonts w:ascii="Arial" w:hAnsi="Arial" w:cs="Arial"/>
          <w:sz w:val="24"/>
        </w:rPr>
        <w:t>, New Jersey, The American School of Classical Studies at Athens.</w:t>
      </w:r>
    </w:p>
    <w:p w:rsidR="00E36E2E" w:rsidRDefault="00E36E2E" w:rsidP="00ED2143">
      <w:pPr>
        <w:rPr>
          <w:rFonts w:ascii="Arial" w:hAnsi="Arial" w:cs="Arial"/>
          <w:b/>
          <w:sz w:val="24"/>
          <w:szCs w:val="28"/>
        </w:rPr>
      </w:pPr>
    </w:p>
    <w:p w:rsidR="00E36E2E" w:rsidRPr="00E36E2E" w:rsidRDefault="00E36E2E" w:rsidP="00ED2143">
      <w:pPr>
        <w:rPr>
          <w:rFonts w:ascii="Arial" w:hAnsi="Arial" w:cs="Arial"/>
          <w:sz w:val="24"/>
          <w:szCs w:val="28"/>
        </w:rPr>
      </w:pPr>
    </w:p>
    <w:sectPr w:rsidR="00E36E2E" w:rsidRPr="00E36E2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5135" w:rsidRDefault="002F5135" w:rsidP="00ED2143">
      <w:pPr>
        <w:spacing w:after="0" w:line="240" w:lineRule="auto"/>
      </w:pPr>
      <w:r>
        <w:separator/>
      </w:r>
    </w:p>
  </w:endnote>
  <w:endnote w:type="continuationSeparator" w:id="0">
    <w:p w:rsidR="002F5135" w:rsidRDefault="002F5135" w:rsidP="00ED2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5135" w:rsidRDefault="002F5135" w:rsidP="00ED2143">
      <w:pPr>
        <w:spacing w:after="0" w:line="240" w:lineRule="auto"/>
      </w:pPr>
      <w:r>
        <w:separator/>
      </w:r>
    </w:p>
  </w:footnote>
  <w:footnote w:type="continuationSeparator" w:id="0">
    <w:p w:rsidR="002F5135" w:rsidRDefault="002F5135" w:rsidP="00ED2143">
      <w:pPr>
        <w:spacing w:after="0" w:line="240" w:lineRule="auto"/>
      </w:pPr>
      <w:r>
        <w:continuationSeparator/>
      </w:r>
    </w:p>
  </w:footnote>
  <w:footnote w:id="1">
    <w:p w:rsidR="00ED2143" w:rsidRPr="00436399" w:rsidRDefault="00ED2143">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Darcque, Moortel, 2009, 36</w:t>
      </w:r>
    </w:p>
  </w:footnote>
  <w:footnote w:id="2">
    <w:p w:rsidR="00ED2143" w:rsidRPr="00436399" w:rsidRDefault="00ED2143">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161</w:t>
      </w:r>
    </w:p>
  </w:footnote>
  <w:footnote w:id="3">
    <w:p w:rsidR="00ED2143" w:rsidRPr="00436399" w:rsidRDefault="00ED2143" w:rsidP="00ED2143">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Cotterell, 1979, 161</w:t>
      </w:r>
    </w:p>
  </w:footnote>
  <w:footnote w:id="4">
    <w:p w:rsidR="00ED2143" w:rsidRPr="00436399" w:rsidRDefault="00ED2143" w:rsidP="00ED2143">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161</w:t>
      </w:r>
    </w:p>
  </w:footnote>
  <w:footnote w:id="5">
    <w:p w:rsidR="00ED2143" w:rsidRPr="00436399" w:rsidRDefault="00ED2143" w:rsidP="00ED2143">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161</w:t>
      </w:r>
    </w:p>
  </w:footnote>
  <w:footnote w:id="6">
    <w:p w:rsidR="00ED2143" w:rsidRPr="00436399" w:rsidRDefault="00ED2143">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Farnoux, 1993, 76</w:t>
      </w:r>
    </w:p>
  </w:footnote>
  <w:footnote w:id="7">
    <w:p w:rsidR="00ED2143" w:rsidRPr="00436399" w:rsidRDefault="00ED2143">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Farnoux, 1993, 77</w:t>
      </w:r>
    </w:p>
  </w:footnote>
  <w:footnote w:id="8">
    <w:p w:rsidR="00381449" w:rsidRDefault="00381449">
      <w:pPr>
        <w:pStyle w:val="FootnoteText"/>
      </w:pPr>
      <w:r w:rsidRPr="00436399">
        <w:rPr>
          <w:rStyle w:val="FootnoteReference"/>
          <w:rFonts w:ascii="Arial" w:hAnsi="Arial" w:cs="Arial"/>
        </w:rPr>
        <w:footnoteRef/>
      </w:r>
      <w:r w:rsidRPr="00436399">
        <w:rPr>
          <w:rFonts w:ascii="Arial" w:hAnsi="Arial" w:cs="Arial"/>
        </w:rPr>
        <w:t xml:space="preserve"> Farnoux, 1993, 77</w:t>
      </w:r>
    </w:p>
  </w:footnote>
  <w:footnote w:id="9">
    <w:p w:rsidR="00381449" w:rsidRPr="00436399" w:rsidRDefault="00381449">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163</w:t>
      </w:r>
    </w:p>
  </w:footnote>
  <w:footnote w:id="10">
    <w:p w:rsidR="00381449" w:rsidRPr="00436399" w:rsidRDefault="00381449">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164</w:t>
      </w:r>
    </w:p>
  </w:footnote>
  <w:footnote w:id="11">
    <w:p w:rsidR="00381449" w:rsidRPr="00436399" w:rsidRDefault="00381449">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164</w:t>
      </w:r>
    </w:p>
  </w:footnote>
  <w:footnote w:id="12">
    <w:p w:rsidR="00381449" w:rsidRPr="00436399" w:rsidRDefault="00381449">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165</w:t>
      </w:r>
    </w:p>
  </w:footnote>
  <w:footnote w:id="13">
    <w:p w:rsidR="00381449" w:rsidRPr="00436399" w:rsidRDefault="00381449">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166-167</w:t>
      </w:r>
    </w:p>
  </w:footnote>
  <w:footnote w:id="14">
    <w:p w:rsidR="003A22B9" w:rsidRPr="00436399" w:rsidRDefault="003A22B9">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167</w:t>
      </w:r>
    </w:p>
  </w:footnote>
  <w:footnote w:id="15">
    <w:p w:rsidR="003A22B9" w:rsidRPr="00436399" w:rsidRDefault="003A22B9">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167</w:t>
      </w:r>
    </w:p>
  </w:footnote>
  <w:footnote w:id="16">
    <w:p w:rsidR="003A22B9" w:rsidRPr="00436399" w:rsidRDefault="003A22B9">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11</w:t>
      </w:r>
    </w:p>
  </w:footnote>
  <w:footnote w:id="17">
    <w:p w:rsidR="003A22B9" w:rsidRPr="00436399" w:rsidRDefault="003A22B9">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w:t>
      </w:r>
      <w:r w:rsidR="00CD5142" w:rsidRPr="00436399">
        <w:rPr>
          <w:rFonts w:ascii="Arial" w:hAnsi="Arial" w:cs="Arial"/>
        </w:rPr>
        <w:t>Nikolaidou</w:t>
      </w:r>
      <w:r w:rsidRPr="00436399">
        <w:rPr>
          <w:rFonts w:ascii="Arial" w:hAnsi="Arial" w:cs="Arial"/>
        </w:rPr>
        <w:t>, 2002, 89</w:t>
      </w:r>
    </w:p>
  </w:footnote>
  <w:footnote w:id="18">
    <w:p w:rsidR="003A22B9" w:rsidRPr="00436399" w:rsidRDefault="003A22B9">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Nikolaidou, 2002, 85</w:t>
      </w:r>
    </w:p>
  </w:footnote>
  <w:footnote w:id="19">
    <w:p w:rsidR="003A22B9" w:rsidRDefault="003A22B9">
      <w:pPr>
        <w:pStyle w:val="FootnoteText"/>
      </w:pPr>
      <w:r w:rsidRPr="00436399">
        <w:rPr>
          <w:rStyle w:val="FootnoteReference"/>
          <w:rFonts w:ascii="Arial" w:hAnsi="Arial" w:cs="Arial"/>
        </w:rPr>
        <w:footnoteRef/>
      </w:r>
      <w:r w:rsidRPr="00436399">
        <w:rPr>
          <w:rFonts w:ascii="Arial" w:hAnsi="Arial" w:cs="Arial"/>
        </w:rPr>
        <w:t xml:space="preserve"> Cadogan, 1976, 37</w:t>
      </w:r>
    </w:p>
  </w:footnote>
  <w:footnote w:id="20">
    <w:p w:rsidR="00C50CF6" w:rsidRPr="00436399" w:rsidRDefault="00C50CF6">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Peatfield, 2009, 251</w:t>
      </w:r>
    </w:p>
  </w:footnote>
  <w:footnote w:id="21">
    <w:p w:rsidR="00C50CF6" w:rsidRPr="00436399" w:rsidRDefault="00C50CF6">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Peatfield, 2009, 252</w:t>
      </w:r>
    </w:p>
  </w:footnote>
  <w:footnote w:id="22">
    <w:p w:rsidR="00C50CF6" w:rsidRPr="00436399" w:rsidRDefault="00C50CF6">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Peatfield, 2009, 253</w:t>
      </w:r>
    </w:p>
  </w:footnote>
  <w:footnote w:id="23">
    <w:p w:rsidR="00C50CF6" w:rsidRPr="00436399" w:rsidRDefault="00C50CF6">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Cotterell, 1979, 167</w:t>
      </w:r>
    </w:p>
  </w:footnote>
  <w:footnote w:id="24">
    <w:p w:rsidR="00C50CF6" w:rsidRPr="00436399" w:rsidRDefault="00C50CF6">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172</w:t>
      </w:r>
    </w:p>
  </w:footnote>
  <w:footnote w:id="25">
    <w:p w:rsidR="00C50CF6" w:rsidRPr="00436399" w:rsidRDefault="00C50CF6">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Hamilakis, 2002, 20</w:t>
      </w:r>
    </w:p>
  </w:footnote>
  <w:footnote w:id="26">
    <w:p w:rsidR="00C50CF6" w:rsidRPr="00436399" w:rsidRDefault="00C50CF6">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48</w:t>
      </w:r>
    </w:p>
  </w:footnote>
  <w:footnote w:id="27">
    <w:p w:rsidR="00C50CF6" w:rsidRPr="00436399" w:rsidRDefault="00C50CF6">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Nikolaidou, 2002, 85</w:t>
      </w:r>
    </w:p>
  </w:footnote>
  <w:footnote w:id="28">
    <w:p w:rsidR="00CD5142" w:rsidRPr="00436399" w:rsidRDefault="00CD514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Cadogan, 1976, 154</w:t>
      </w:r>
    </w:p>
  </w:footnote>
  <w:footnote w:id="29">
    <w:p w:rsidR="00CD5142" w:rsidRPr="00436399" w:rsidRDefault="00CD514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Cadogan, 1976, 154</w:t>
      </w:r>
    </w:p>
  </w:footnote>
  <w:footnote w:id="30">
    <w:p w:rsidR="00B62B52" w:rsidRPr="00436399" w:rsidRDefault="00B62B5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Hamilakis, 2002, 20</w:t>
      </w:r>
    </w:p>
  </w:footnote>
  <w:footnote w:id="31">
    <w:p w:rsidR="00B62B52" w:rsidRPr="00436399" w:rsidRDefault="00B62B5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Hamilakis, 2002, 20</w:t>
      </w:r>
    </w:p>
  </w:footnote>
  <w:footnote w:id="32">
    <w:p w:rsidR="00B62B52" w:rsidRPr="00436399" w:rsidRDefault="00B62B5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Day, Wilson, 2002, 148</w:t>
      </w:r>
    </w:p>
  </w:footnote>
  <w:footnote w:id="33">
    <w:p w:rsidR="00B62B52" w:rsidRDefault="00B62B52">
      <w:pPr>
        <w:pStyle w:val="FootnoteText"/>
      </w:pPr>
      <w:r w:rsidRPr="00436399">
        <w:rPr>
          <w:rStyle w:val="FootnoteReference"/>
          <w:rFonts w:ascii="Arial" w:hAnsi="Arial" w:cs="Arial"/>
        </w:rPr>
        <w:footnoteRef/>
      </w:r>
      <w:r w:rsidRPr="00436399">
        <w:rPr>
          <w:rFonts w:ascii="Arial" w:hAnsi="Arial" w:cs="Arial"/>
        </w:rPr>
        <w:t xml:space="preserve"> Day, Wilson, 2002, 149</w:t>
      </w:r>
    </w:p>
  </w:footnote>
  <w:footnote w:id="34">
    <w:p w:rsidR="00B62B52" w:rsidRPr="00436399" w:rsidRDefault="00B62B5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Day, Wilson, 2002, 149</w:t>
      </w:r>
    </w:p>
  </w:footnote>
  <w:footnote w:id="35">
    <w:p w:rsidR="00B62B52" w:rsidRPr="00436399" w:rsidRDefault="00B62B5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Day, Wilson, 2002, 149</w:t>
      </w:r>
    </w:p>
  </w:footnote>
  <w:footnote w:id="36">
    <w:p w:rsidR="00B62B52" w:rsidRPr="00436399" w:rsidRDefault="00B62B5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Day, Wilson, 2002, 149</w:t>
      </w:r>
    </w:p>
  </w:footnote>
  <w:footnote w:id="37">
    <w:p w:rsidR="00B62B52" w:rsidRPr="00436399" w:rsidRDefault="00B62B5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Day, Wilson, 2002, 149</w:t>
      </w:r>
    </w:p>
  </w:footnote>
  <w:footnote w:id="38">
    <w:p w:rsidR="00B62B52" w:rsidRPr="00436399" w:rsidRDefault="00B62B5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Day, Wilson, 2002, 149</w:t>
      </w:r>
    </w:p>
  </w:footnote>
  <w:footnote w:id="39">
    <w:p w:rsidR="00B62B52" w:rsidRPr="00436399" w:rsidRDefault="00B62B5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Day, Wilson, 2002, 149</w:t>
      </w:r>
    </w:p>
  </w:footnote>
  <w:footnote w:id="40">
    <w:p w:rsidR="00B62B52" w:rsidRPr="00436399" w:rsidRDefault="00B62B5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Day, Wilson, 2002, 151</w:t>
      </w:r>
    </w:p>
  </w:footnote>
  <w:footnote w:id="41">
    <w:p w:rsidR="00592292" w:rsidRPr="00436399" w:rsidRDefault="0059229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Day, Wilson, 2002, 151</w:t>
      </w:r>
    </w:p>
  </w:footnote>
  <w:footnote w:id="42">
    <w:p w:rsidR="00592292" w:rsidRPr="00436399" w:rsidRDefault="0059229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Day, Wilson, 2002, 152</w:t>
      </w:r>
    </w:p>
  </w:footnote>
  <w:footnote w:id="43">
    <w:p w:rsidR="00592292" w:rsidRPr="00436399" w:rsidRDefault="00592292">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Day, Wilson, 2002, 151</w:t>
      </w:r>
    </w:p>
  </w:footnote>
  <w:footnote w:id="44">
    <w:p w:rsidR="00D1697E" w:rsidRDefault="00D1697E">
      <w:pPr>
        <w:pStyle w:val="FootnoteText"/>
      </w:pPr>
      <w:r w:rsidRPr="00436399">
        <w:rPr>
          <w:rStyle w:val="FootnoteReference"/>
          <w:rFonts w:ascii="Arial" w:hAnsi="Arial" w:cs="Arial"/>
        </w:rPr>
        <w:footnoteRef/>
      </w:r>
      <w:r w:rsidRPr="00436399">
        <w:rPr>
          <w:rFonts w:ascii="Arial" w:hAnsi="Arial" w:cs="Arial"/>
        </w:rPr>
        <w:t xml:space="preserve"> Branigan, 1970, 56</w:t>
      </w:r>
    </w:p>
  </w:footnote>
  <w:footnote w:id="45">
    <w:p w:rsidR="00D1697E" w:rsidRPr="00436399" w:rsidRDefault="00D1697E">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Branigan, 1970, 56</w:t>
      </w:r>
    </w:p>
  </w:footnote>
  <w:footnote w:id="46">
    <w:p w:rsidR="00CC6300" w:rsidRPr="00436399" w:rsidRDefault="00CC6300">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Cadogan, 1976, 21</w:t>
      </w:r>
    </w:p>
  </w:footnote>
  <w:footnote w:id="47">
    <w:p w:rsidR="00CC6300" w:rsidRPr="00436399" w:rsidRDefault="00CC6300">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Cadogan, 1976, 22</w:t>
      </w:r>
    </w:p>
  </w:footnote>
  <w:footnote w:id="48">
    <w:p w:rsidR="00CC6300" w:rsidRPr="00436399" w:rsidRDefault="00CC6300">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Cadogan, 1976, 35</w:t>
      </w:r>
    </w:p>
  </w:footnote>
  <w:footnote w:id="49">
    <w:p w:rsidR="00CC6300" w:rsidRPr="00436399" w:rsidRDefault="00CC6300">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Cadogan, 1976, 22</w:t>
      </w:r>
    </w:p>
  </w:footnote>
  <w:footnote w:id="50">
    <w:p w:rsidR="00CC6300" w:rsidRPr="00436399" w:rsidRDefault="00CC6300">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Cadogan, 1976, 22</w:t>
      </w:r>
    </w:p>
  </w:footnote>
  <w:footnote w:id="51">
    <w:p w:rsidR="00CC6300" w:rsidRPr="00436399" w:rsidRDefault="00CC6300">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Cadogan, 1976, 36</w:t>
      </w:r>
    </w:p>
  </w:footnote>
  <w:footnote w:id="52">
    <w:p w:rsidR="00CC6300" w:rsidRPr="00436399" w:rsidRDefault="00CC6300">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Cadogan, 1976, 36</w:t>
      </w:r>
    </w:p>
  </w:footnote>
  <w:footnote w:id="53">
    <w:p w:rsidR="00CC6300" w:rsidRPr="00436399" w:rsidRDefault="00CC6300">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Beta</w:t>
      </w:r>
      <w:r w:rsidR="000E0FBA" w:rsidRPr="00436399">
        <w:rPr>
          <w:rFonts w:ascii="Arial" w:hAnsi="Arial" w:cs="Arial"/>
        </w:rPr>
        <w:t>n</w:t>
      </w:r>
      <w:r w:rsidRPr="00436399">
        <w:rPr>
          <w:rFonts w:ascii="Arial" w:hAnsi="Arial" w:cs="Arial"/>
        </w:rPr>
        <w:t xml:space="preserve">court, </w:t>
      </w:r>
      <w:r w:rsidR="000E0FBA" w:rsidRPr="00436399">
        <w:rPr>
          <w:rFonts w:ascii="Arial" w:hAnsi="Arial" w:cs="Arial"/>
        </w:rPr>
        <w:t>2011, 85</w:t>
      </w:r>
    </w:p>
  </w:footnote>
  <w:footnote w:id="54">
    <w:p w:rsidR="000E0FBA" w:rsidRPr="00436399" w:rsidRDefault="000E0FBA">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Betancourt, 2011, 88-89</w:t>
      </w:r>
    </w:p>
  </w:footnote>
  <w:footnote w:id="55">
    <w:p w:rsidR="000E0FBA" w:rsidRPr="00436399" w:rsidRDefault="000E0FBA" w:rsidP="000E0FBA">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96</w:t>
      </w:r>
    </w:p>
  </w:footnote>
  <w:footnote w:id="56">
    <w:p w:rsidR="000E0FBA" w:rsidRPr="00436399" w:rsidRDefault="000E0FBA" w:rsidP="000E0FBA">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96</w:t>
      </w:r>
    </w:p>
  </w:footnote>
  <w:footnote w:id="57">
    <w:p w:rsidR="000E0FBA" w:rsidRPr="00436399" w:rsidRDefault="000E0FBA" w:rsidP="000E0FBA">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96</w:t>
      </w:r>
    </w:p>
  </w:footnote>
  <w:footnote w:id="58">
    <w:p w:rsidR="000E0FBA" w:rsidRPr="00436399" w:rsidRDefault="000E0FBA">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Betancourt, 1979, 90</w:t>
      </w:r>
    </w:p>
  </w:footnote>
  <w:footnote w:id="59">
    <w:p w:rsidR="000E0FBA" w:rsidRPr="00436399" w:rsidRDefault="000E0FBA">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Betancourt, 1979, 90</w:t>
      </w:r>
    </w:p>
  </w:footnote>
  <w:footnote w:id="60">
    <w:p w:rsidR="000E0FBA" w:rsidRPr="00436399" w:rsidRDefault="000E0FBA">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Betancourt, 1979, 93</w:t>
      </w:r>
    </w:p>
  </w:footnote>
  <w:footnote w:id="61">
    <w:p w:rsidR="000E0FBA" w:rsidRPr="00436399" w:rsidRDefault="000E0FBA">
      <w:pPr>
        <w:pStyle w:val="FootnoteText"/>
        <w:rPr>
          <w:rFonts w:ascii="Arial" w:hAnsi="Arial" w:cs="Arial"/>
        </w:rPr>
      </w:pPr>
      <w:r w:rsidRPr="00436399">
        <w:rPr>
          <w:rStyle w:val="FootnoteReference"/>
          <w:rFonts w:ascii="Arial" w:hAnsi="Arial" w:cs="Arial"/>
        </w:rPr>
        <w:footnoteRef/>
      </w:r>
      <w:r w:rsidR="00D1697E" w:rsidRPr="00436399">
        <w:rPr>
          <w:rFonts w:ascii="Arial" w:hAnsi="Arial" w:cs="Arial"/>
        </w:rPr>
        <w:t xml:space="preserve"> Betancourt, 1979, 94</w:t>
      </w:r>
    </w:p>
  </w:footnote>
  <w:footnote w:id="62">
    <w:p w:rsidR="00D1697E" w:rsidRPr="00436399" w:rsidRDefault="00D1697E">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Betancourt, 1979, 94</w:t>
      </w:r>
    </w:p>
  </w:footnote>
  <w:footnote w:id="63">
    <w:p w:rsidR="00D1697E" w:rsidRPr="00436399" w:rsidRDefault="00D1697E">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Betancourt, 1979, 97</w:t>
      </w:r>
    </w:p>
  </w:footnote>
  <w:footnote w:id="64">
    <w:p w:rsidR="00D1697E" w:rsidRPr="00436399" w:rsidRDefault="00D1697E">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Betancourt, 1979, 98</w:t>
      </w:r>
    </w:p>
  </w:footnote>
  <w:footnote w:id="65">
    <w:p w:rsidR="00CC6300" w:rsidRDefault="00CC6300">
      <w:pPr>
        <w:pStyle w:val="FootnoteText"/>
      </w:pPr>
      <w:r w:rsidRPr="00436399">
        <w:rPr>
          <w:rStyle w:val="FootnoteReference"/>
          <w:rFonts w:ascii="Arial" w:hAnsi="Arial" w:cs="Arial"/>
        </w:rPr>
        <w:footnoteRef/>
      </w:r>
      <w:r w:rsidRPr="00436399">
        <w:rPr>
          <w:rFonts w:ascii="Arial" w:hAnsi="Arial" w:cs="Arial"/>
        </w:rPr>
        <w:t xml:space="preserve"> Cottrell, 1979, 159</w:t>
      </w:r>
    </w:p>
  </w:footnote>
  <w:footnote w:id="66">
    <w:p w:rsidR="00CC6300" w:rsidRPr="00436399" w:rsidRDefault="00CC6300">
      <w:pPr>
        <w:pStyle w:val="FootnoteText"/>
        <w:rPr>
          <w:rFonts w:ascii="Arial" w:hAnsi="Arial" w:cs="Arial"/>
        </w:rPr>
      </w:pPr>
      <w:r w:rsidRPr="00436399">
        <w:rPr>
          <w:rStyle w:val="FootnoteReference"/>
          <w:rFonts w:ascii="Arial" w:hAnsi="Arial" w:cs="Arial"/>
        </w:rPr>
        <w:footnoteRef/>
      </w:r>
      <w:r w:rsidRPr="00436399">
        <w:rPr>
          <w:rFonts w:ascii="Arial" w:hAnsi="Arial" w:cs="Arial"/>
        </w:rPr>
        <w:t xml:space="preserve"> Cottrell, 1979, 159</w:t>
      </w:r>
    </w:p>
  </w:footnote>
  <w:footnote w:id="67">
    <w:p w:rsidR="00CC6300" w:rsidRDefault="00CC6300">
      <w:pPr>
        <w:pStyle w:val="FootnoteText"/>
      </w:pPr>
      <w:r w:rsidRPr="00436399">
        <w:rPr>
          <w:rStyle w:val="FootnoteReference"/>
          <w:rFonts w:ascii="Arial" w:hAnsi="Arial" w:cs="Arial"/>
        </w:rPr>
        <w:footnoteRef/>
      </w:r>
      <w:r w:rsidRPr="00436399">
        <w:rPr>
          <w:rFonts w:ascii="Arial" w:hAnsi="Arial" w:cs="Arial"/>
        </w:rPr>
        <w:t xml:space="preserve"> Cottrell, 1979, 122</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D2143" w:rsidRPr="00ED2143" w:rsidRDefault="00ED2143">
    <w:pPr>
      <w:pStyle w:val="Header"/>
      <w:rPr>
        <w:rFonts w:ascii="Arial" w:hAnsi="Arial" w:cs="Arial"/>
      </w:rPr>
    </w:pPr>
    <w:r w:rsidRPr="00ED2143">
      <w:rPr>
        <w:rFonts w:ascii="Arial" w:hAnsi="Arial" w:cs="Arial"/>
      </w:rPr>
      <w:t>Hannah Pickering</w:t>
    </w:r>
    <w:r w:rsidRPr="00ED2143">
      <w:rPr>
        <w:rFonts w:ascii="Arial" w:hAnsi="Arial" w:cs="Arial"/>
      </w:rPr>
      <w:tab/>
    </w:r>
    <w:r w:rsidRPr="00ED2143">
      <w:rPr>
        <w:rFonts w:ascii="Arial" w:hAnsi="Arial" w:cs="Arial"/>
      </w:rPr>
      <w:tab/>
      <w:t>1500261</w:t>
    </w:r>
  </w:p>
  <w:p w:rsidR="00ED2143" w:rsidRDefault="00ED214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40F2366"/>
    <w:multiLevelType w:val="hybridMultilevel"/>
    <w:tmpl w:val="53C08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2143"/>
    <w:rsid w:val="000E0FBA"/>
    <w:rsid w:val="000E3068"/>
    <w:rsid w:val="002F5135"/>
    <w:rsid w:val="00313E6D"/>
    <w:rsid w:val="00381449"/>
    <w:rsid w:val="00387CA8"/>
    <w:rsid w:val="003A22B9"/>
    <w:rsid w:val="00436399"/>
    <w:rsid w:val="00592292"/>
    <w:rsid w:val="005B30ED"/>
    <w:rsid w:val="008075B3"/>
    <w:rsid w:val="00843142"/>
    <w:rsid w:val="0085339F"/>
    <w:rsid w:val="00AC67BC"/>
    <w:rsid w:val="00B62B52"/>
    <w:rsid w:val="00C50CF6"/>
    <w:rsid w:val="00CC6300"/>
    <w:rsid w:val="00CD5142"/>
    <w:rsid w:val="00D1697E"/>
    <w:rsid w:val="00E36E2E"/>
    <w:rsid w:val="00ED2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6BD4AE0-DB04-4218-9094-4A2A51829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1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143"/>
  </w:style>
  <w:style w:type="paragraph" w:styleId="Footer">
    <w:name w:val="footer"/>
    <w:basedOn w:val="Normal"/>
    <w:link w:val="FooterChar"/>
    <w:uiPriority w:val="99"/>
    <w:unhideWhenUsed/>
    <w:rsid w:val="00ED21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143"/>
  </w:style>
  <w:style w:type="paragraph" w:styleId="FootnoteText">
    <w:name w:val="footnote text"/>
    <w:basedOn w:val="Normal"/>
    <w:link w:val="FootnoteTextChar"/>
    <w:uiPriority w:val="99"/>
    <w:semiHidden/>
    <w:unhideWhenUsed/>
    <w:rsid w:val="00ED21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2143"/>
    <w:rPr>
      <w:sz w:val="20"/>
      <w:szCs w:val="20"/>
    </w:rPr>
  </w:style>
  <w:style w:type="character" w:styleId="FootnoteReference">
    <w:name w:val="footnote reference"/>
    <w:basedOn w:val="DefaultParagraphFont"/>
    <w:uiPriority w:val="99"/>
    <w:semiHidden/>
    <w:unhideWhenUsed/>
    <w:rsid w:val="00ED2143"/>
    <w:rPr>
      <w:vertAlign w:val="superscript"/>
    </w:rPr>
  </w:style>
  <w:style w:type="paragraph" w:styleId="ListParagraph">
    <w:name w:val="List Paragraph"/>
    <w:basedOn w:val="Normal"/>
    <w:uiPriority w:val="34"/>
    <w:qFormat/>
    <w:rsid w:val="00E36E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C5D758-91F8-453C-8EA6-B221D8F79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7</Pages>
  <Words>2546</Words>
  <Characters>14517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Pickering</dc:creator>
  <cp:keywords/>
  <dc:description/>
  <cp:lastModifiedBy>Hannah Pickering</cp:lastModifiedBy>
  <cp:revision>6</cp:revision>
  <dcterms:created xsi:type="dcterms:W3CDTF">2017-11-29T13:42:00Z</dcterms:created>
  <dcterms:modified xsi:type="dcterms:W3CDTF">2017-12-08T14:00:00Z</dcterms:modified>
</cp:coreProperties>
</file>