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411F0" w14:textId="5F46FD19" w:rsidR="00E3114B" w:rsidRDefault="00E3114B">
      <w:r>
        <w:t>Introduction to the Hebrew Bible</w:t>
      </w:r>
      <w:r w:rsidR="007B5EF0">
        <w:t>, Adam and Eve Narrative</w:t>
      </w:r>
    </w:p>
    <w:p w14:paraId="659FBA9D" w14:textId="77777777" w:rsidR="00293A04" w:rsidRDefault="00293A04"/>
    <w:p w14:paraId="000BF263" w14:textId="2EC878EC" w:rsidR="00E3114B" w:rsidRDefault="00E3114B">
      <w:r>
        <w:t>This essay will review and explore the statement that ‘the narrative of Adam and Eve in Genesis is a perfect example of misogynism’. However, it is important to note that the book of Genesis contains two creation accounts</w:t>
      </w:r>
      <w:r w:rsidR="003E1BFF">
        <w:t>, so both must be considered</w:t>
      </w:r>
      <w:r>
        <w:t>. The first one, found in Genesis 1:1-2:4a</w:t>
      </w:r>
      <w:r>
        <w:t>, and the second one found in Genesis 2:4b-3:24</w:t>
      </w:r>
      <w:r>
        <w:t xml:space="preserve">. </w:t>
      </w:r>
      <w:r w:rsidR="003E1BFF">
        <w:t xml:space="preserve">This essay will be written with the hopes of </w:t>
      </w:r>
      <w:r>
        <w:t>explor</w:t>
      </w:r>
      <w:r w:rsidR="003E1BFF">
        <w:t>ing</w:t>
      </w:r>
      <w:r>
        <w:t xml:space="preserve"> both arguments </w:t>
      </w:r>
      <w:r w:rsidR="001B50F5">
        <w:t>for and against</w:t>
      </w:r>
      <w:r>
        <w:t xml:space="preserve"> this statement, whilst exploring passages of Scripture elsewhere that prove or disprove </w:t>
      </w:r>
      <w:r w:rsidR="003E1BFF">
        <w:t>it</w:t>
      </w:r>
      <w:r>
        <w:t>, alongside other secondary sources.</w:t>
      </w:r>
    </w:p>
    <w:p w14:paraId="541B086C" w14:textId="73072506" w:rsidR="00E3114B" w:rsidRDefault="00E3114B" w:rsidP="00E3114B">
      <w:r>
        <w:t xml:space="preserve">Many scholars have argued that this text is misogynistic and have gone as far as to say it should be abandoned entirely. In ‘Beyond God the Father’, Mary Daley said that </w:t>
      </w:r>
      <w:r w:rsidRPr="00875F83">
        <w:t>‘the story of Eden should be rejected as a personification of patriarchy’</w:t>
      </w:r>
      <w:r>
        <w:t xml:space="preserve"> </w:t>
      </w:r>
      <w:r w:rsidR="00FF1480">
        <w:rPr>
          <w:rStyle w:val="FootnoteReference"/>
        </w:rPr>
        <w:footnoteReference w:id="1"/>
      </w:r>
      <w:r>
        <w:t xml:space="preserve">and David Clines in ‘What Does Eve Do to Help?’ says </w:t>
      </w:r>
      <w:r w:rsidRPr="00875F83">
        <w:t xml:space="preserve">‘the text of Genesis 2-3 is totally male-oriented </w:t>
      </w:r>
      <w:r w:rsidR="003E1BFF" w:rsidRPr="00875F83">
        <w:t>and</w:t>
      </w:r>
      <w:r w:rsidRPr="00875F83">
        <w:t>, as a result, should be abandoned in favour of biblical passages that proclaim a message of salvation to all humanity.’</w:t>
      </w:r>
      <w:r>
        <w:t xml:space="preserve"> </w:t>
      </w:r>
      <w:r w:rsidR="00875F83">
        <w:rPr>
          <w:rStyle w:val="FootnoteReference"/>
        </w:rPr>
        <w:footnoteReference w:id="2"/>
      </w:r>
      <w:r w:rsidR="0006519B">
        <w:t xml:space="preserve">Yet, this is an issue that brings up lots of debate. </w:t>
      </w:r>
      <w:r w:rsidR="005820B2">
        <w:t>Many scholars would argue against this belief.</w:t>
      </w:r>
      <w:r w:rsidR="00FA0C37">
        <w:t xml:space="preserve"> S</w:t>
      </w:r>
      <w:r w:rsidR="005820B2">
        <w:t>o</w:t>
      </w:r>
      <w:r w:rsidR="00FA0C37">
        <w:t>,</w:t>
      </w:r>
      <w:r w:rsidR="005820B2">
        <w:t xml:space="preserve"> the question </w:t>
      </w:r>
      <w:r w:rsidR="00D849F5">
        <w:t>poses itself</w:t>
      </w:r>
      <w:r w:rsidR="005820B2">
        <w:t>, who</w:t>
      </w:r>
      <w:r w:rsidR="00FA0C37">
        <w:t xml:space="preserve"> is correct? Is this narrative misogynistic, or not?</w:t>
      </w:r>
    </w:p>
    <w:p w14:paraId="2EDD4FD6" w14:textId="364E9758" w:rsidR="001A3AA7" w:rsidRDefault="001A3AA7" w:rsidP="00E3114B">
      <w:r>
        <w:t>In the first creation narrative, seen in Genesis 1:1-2:4a, God creates humankind; woman and man,</w:t>
      </w:r>
      <w:r w:rsidR="008B1660">
        <w:t xml:space="preserve"> both</w:t>
      </w:r>
      <w:r>
        <w:t xml:space="preserve"> in his image after having created a variety of creatures of the earth, skies and seas. After having created them, he gave </w:t>
      </w:r>
      <w:r w:rsidR="006D123E">
        <w:t>both</w:t>
      </w:r>
      <w:r>
        <w:t xml:space="preserve"> dominion over these creatures</w:t>
      </w:r>
      <w:r w:rsidR="006D123E">
        <w:t>.</w:t>
      </w:r>
    </w:p>
    <w:p w14:paraId="7D995DA5" w14:textId="47058CFC" w:rsidR="006D123E" w:rsidRDefault="006D123E" w:rsidP="006D123E">
      <w:pPr>
        <w:ind w:left="283"/>
      </w:pPr>
      <w:r>
        <w:t>Let us make human</w:t>
      </w:r>
      <w:r w:rsidR="004361DA">
        <w:t>s in our image, according to our likeness, and let them have dominion over the fish of the sea and the birds</w:t>
      </w:r>
      <w:r w:rsidR="007F4755">
        <w:t xml:space="preserve"> of the air and over the cattle and over all the wild animals of the earth and over every creeping thing that creeps upon the earth.</w:t>
      </w:r>
    </w:p>
    <w:p w14:paraId="5C6CF13A" w14:textId="4EF7EFDC" w:rsidR="005426BA" w:rsidRDefault="009361EB" w:rsidP="005426BA">
      <w:r w:rsidRPr="003B3913">
        <w:t>T</w:t>
      </w:r>
      <w:r w:rsidR="00472FFE" w:rsidRPr="003B3913">
        <w:t>he Hebrew word for human is ‘</w:t>
      </w:r>
      <w:proofErr w:type="spellStart"/>
      <w:r w:rsidR="00472FFE" w:rsidRPr="003B3913">
        <w:t>adam</w:t>
      </w:r>
      <w:proofErr w:type="spellEnd"/>
      <w:r w:rsidR="00472FFE" w:rsidRPr="003B3913">
        <w:t xml:space="preserve"> </w:t>
      </w:r>
      <w:r w:rsidR="00875F83" w:rsidRPr="003B3913">
        <w:rPr>
          <w:rStyle w:val="FootnoteReference"/>
        </w:rPr>
        <w:footnoteReference w:id="3"/>
      </w:r>
      <w:r w:rsidR="00472FFE">
        <w:t xml:space="preserve"> and </w:t>
      </w:r>
      <w:r w:rsidR="00BD2C69">
        <w:t xml:space="preserve">is not necessarily </w:t>
      </w:r>
      <w:r>
        <w:t>attributed</w:t>
      </w:r>
      <w:r w:rsidR="00BD2C69">
        <w:t xml:space="preserve"> </w:t>
      </w:r>
      <w:r>
        <w:t>to</w:t>
      </w:r>
      <w:r w:rsidR="00BD2C69">
        <w:t xml:space="preserve"> an</w:t>
      </w:r>
      <w:r w:rsidR="00472FFE">
        <w:t xml:space="preserve"> explicit gender.</w:t>
      </w:r>
      <w:r w:rsidR="00BD2C69">
        <w:t xml:space="preserve"> However, this differs greatly from the second creation narrative, in which Man (Adam) is created not only before Woman (Eve), but </w:t>
      </w:r>
      <w:r w:rsidR="00BD2C69" w:rsidRPr="003B3913">
        <w:t>before the creatures of the earth and air</w:t>
      </w:r>
      <w:r w:rsidR="00BD2C69">
        <w:t xml:space="preserve"> also.</w:t>
      </w:r>
      <w:r w:rsidR="003B3913">
        <w:rPr>
          <w:rStyle w:val="FootnoteReference"/>
        </w:rPr>
        <w:footnoteReference w:id="4"/>
      </w:r>
    </w:p>
    <w:p w14:paraId="4169AE51" w14:textId="19B3B70D" w:rsidR="000D0112" w:rsidRDefault="00BD2C69" w:rsidP="005426BA">
      <w:r w:rsidRPr="003B3913">
        <w:t>In this narrative</w:t>
      </w:r>
      <w:r w:rsidR="00E0415F" w:rsidRPr="003B3913">
        <w:t>, Woman is created in order to be a ‘helper’ to Man.</w:t>
      </w:r>
      <w:r w:rsidR="003B3913" w:rsidRPr="003B3913">
        <w:rPr>
          <w:rStyle w:val="FootnoteReference"/>
        </w:rPr>
        <w:footnoteReference w:id="5"/>
      </w:r>
      <w:r w:rsidR="00E0415F">
        <w:t xml:space="preserve"> The word ‘helper’ here is often assumed to mean that she is required to subservient to man, </w:t>
      </w:r>
      <w:r w:rsidR="0050563D">
        <w:t>to not be an equal individual</w:t>
      </w:r>
      <w:r w:rsidR="007A36F2">
        <w:t>, in charge of the Garden of Eden</w:t>
      </w:r>
      <w:r w:rsidR="009361EB">
        <w:t xml:space="preserve">, </w:t>
      </w:r>
      <w:r w:rsidR="00D849F5">
        <w:t>unlike in Genesis 1</w:t>
      </w:r>
      <w:r w:rsidR="0050563D">
        <w:t xml:space="preserve">. This opinion has been </w:t>
      </w:r>
      <w:r w:rsidR="009361EB">
        <w:t>promoted</w:t>
      </w:r>
      <w:r w:rsidR="0050563D">
        <w:t xml:space="preserve"> elsewhere in the Scriptures</w:t>
      </w:r>
      <w:r w:rsidR="007A36F2">
        <w:t>. 1 Corinthians 11:9 states that “neither man was created for the sake of woman, but woman for the sake of man”</w:t>
      </w:r>
      <w:r w:rsidR="00B338B3">
        <w:t xml:space="preserve">. Yet, it is necessary to look at the original Hebrew </w:t>
      </w:r>
      <w:r w:rsidR="00D849F5">
        <w:t>in the Genesis passage</w:t>
      </w:r>
      <w:r w:rsidR="00B338B3">
        <w:t xml:space="preserve">, as </w:t>
      </w:r>
      <w:r w:rsidR="00B338B3" w:rsidRPr="00126103">
        <w:t>the Bible has been translated by generations of scholars and translation is only able to go so far.</w:t>
      </w:r>
      <w:r w:rsidR="001C1F2B">
        <w:t xml:space="preserve"> The English translation to ‘helper’ falls short in giving the reader the correct idea of what is meant, as </w:t>
      </w:r>
      <w:r w:rsidR="001C1F2B" w:rsidRPr="00126103">
        <w:t xml:space="preserve">the Hebrew word originally is </w:t>
      </w:r>
      <w:r w:rsidR="009361EB" w:rsidRPr="00126103">
        <w:t>‘</w:t>
      </w:r>
      <w:proofErr w:type="spellStart"/>
      <w:r w:rsidR="001C1F2B" w:rsidRPr="00126103">
        <w:rPr>
          <w:i/>
          <w:iCs/>
        </w:rPr>
        <w:t>ezer</w:t>
      </w:r>
      <w:proofErr w:type="spellEnd"/>
      <w:r w:rsidR="009361EB" w:rsidRPr="00126103">
        <w:rPr>
          <w:i/>
          <w:iCs/>
        </w:rPr>
        <w:t>’</w:t>
      </w:r>
      <w:r w:rsidR="00126103">
        <w:rPr>
          <w:rStyle w:val="FootnoteReference"/>
        </w:rPr>
        <w:footnoteReference w:id="6"/>
      </w:r>
      <w:r w:rsidR="001C1F2B">
        <w:t xml:space="preserve">. This word is found elsewhere in Scripture, sometimes </w:t>
      </w:r>
      <w:r w:rsidR="009361EB">
        <w:t xml:space="preserve">used </w:t>
      </w:r>
      <w:r w:rsidR="001C1F2B">
        <w:t>in order to describe God, and at other times to describe military aid</w:t>
      </w:r>
      <w:r w:rsidR="001C1F2B" w:rsidRPr="00126103">
        <w:t>. Found in examples such as, Psalm 46:1 and 1 Chronicles 12:20-21.</w:t>
      </w:r>
      <w:r w:rsidR="00126103">
        <w:rPr>
          <w:rStyle w:val="FootnoteReference"/>
        </w:rPr>
        <w:footnoteReference w:id="7"/>
      </w:r>
    </w:p>
    <w:p w14:paraId="51BF098C" w14:textId="0400CB10" w:rsidR="00630054" w:rsidRDefault="00630054" w:rsidP="005426BA">
      <w:r>
        <w:lastRenderedPageBreak/>
        <w:t xml:space="preserve">Others, argue that because Eve (in the second narrative) was created after Adam, she must therefore be inferior to him. The relationship between God and woman has been altered to show one of distance throughout history, </w:t>
      </w:r>
      <w:r w:rsidRPr="008D2F35">
        <w:t>through different medias such as writings and art</w:t>
      </w:r>
      <w:r>
        <w:t xml:space="preserve">. And this is even shown in the Bible, </w:t>
      </w:r>
      <w:r w:rsidR="003A755E">
        <w:t xml:space="preserve">such as in </w:t>
      </w:r>
      <w:r>
        <w:t>1 Timothy 2:12-13</w:t>
      </w:r>
      <w:r w:rsidR="003A755E">
        <w:t>, which</w:t>
      </w:r>
      <w:r>
        <w:t xml:space="preserve"> says </w:t>
      </w:r>
      <w:r w:rsidRPr="00F33C96">
        <w:t>“I do not permit a woman to teach or to have authority over a man; she is to keep silent. For Adam was formed first, then Eve.”</w:t>
      </w:r>
      <w:r w:rsidR="00F33C96">
        <w:rPr>
          <w:rStyle w:val="FootnoteReference"/>
        </w:rPr>
        <w:footnoteReference w:id="8"/>
      </w:r>
      <w:r>
        <w:t xml:space="preserve"> </w:t>
      </w:r>
      <w:r w:rsidR="003A755E">
        <w:rPr>
          <w:b/>
          <w:bCs/>
        </w:rPr>
        <w:t>However, s</w:t>
      </w:r>
      <w:r w:rsidR="003A755E" w:rsidRPr="00D849F5">
        <w:rPr>
          <w:b/>
          <w:bCs/>
        </w:rPr>
        <w:t>cholars such as Phyllis Trible have suggested, in attempt</w:t>
      </w:r>
      <w:r w:rsidR="00A1640C">
        <w:rPr>
          <w:b/>
          <w:bCs/>
        </w:rPr>
        <w:t>s</w:t>
      </w:r>
      <w:r w:rsidR="003A755E" w:rsidRPr="00D849F5">
        <w:rPr>
          <w:b/>
          <w:bCs/>
        </w:rPr>
        <w:t xml:space="preserve"> to ‘depatriarchalize’ the creation narratives, that there simply isn’t any suggestion of a sexual hierarchy in this passage.</w:t>
      </w:r>
      <w:r w:rsidR="003A755E">
        <w:t xml:space="preserve"> W</w:t>
      </w:r>
      <w:r>
        <w:t xml:space="preserve">hen returning to Genesis 2:7, </w:t>
      </w:r>
      <w:r w:rsidR="00A1640C">
        <w:t xml:space="preserve">it is evident </w:t>
      </w:r>
      <w:r>
        <w:t xml:space="preserve">there is no claim made that the temporal </w:t>
      </w:r>
      <w:r w:rsidR="008B34E6">
        <w:t xml:space="preserve">priority equates to higher </w:t>
      </w:r>
      <w:r w:rsidR="003A755E">
        <w:t>value</w:t>
      </w:r>
      <w:r w:rsidR="008B34E6">
        <w:t xml:space="preserve"> of man over woman. </w:t>
      </w:r>
      <w:r w:rsidR="008B34E6" w:rsidRPr="00F33C96">
        <w:t>It is said that man is formed from dust, but people do not question if dust is worth more value than man</w:t>
      </w:r>
      <w:r w:rsidR="00DE60FF">
        <w:t xml:space="preserve">. So, can this be a </w:t>
      </w:r>
      <w:r w:rsidR="00FE0506">
        <w:t>valid argument?</w:t>
      </w:r>
    </w:p>
    <w:p w14:paraId="07868FFC" w14:textId="21E97E2B" w:rsidR="008B34E6" w:rsidRDefault="008B34E6" w:rsidP="005426BA">
      <w:r>
        <w:t>The biblical text later</w:t>
      </w:r>
      <w:r w:rsidR="00FE0506">
        <w:t xml:space="preserve"> goes onto</w:t>
      </w:r>
      <w:r>
        <w:t xml:space="preserve"> describe the creation of woman </w:t>
      </w:r>
      <w:r w:rsidR="00FE0506">
        <w:t>out of</w:t>
      </w:r>
      <w:r>
        <w:t xml:space="preserve"> man</w:t>
      </w:r>
      <w:r w:rsidR="0017542F">
        <w:t>. God makes woman out of man’s rib. This often leads people to argue that woman was not made in the image of God, but in the image of man. This can</w:t>
      </w:r>
      <w:r w:rsidR="00974DFE">
        <w:t xml:space="preserve"> be</w:t>
      </w:r>
      <w:r w:rsidR="0017542F">
        <w:t xml:space="preserve"> </w:t>
      </w:r>
      <w:r w:rsidR="00FE0506">
        <w:t>argued through the use of</w:t>
      </w:r>
      <w:r w:rsidR="0017542F">
        <w:t xml:space="preserve"> </w:t>
      </w:r>
      <w:r w:rsidR="00FE0506">
        <w:t>s</w:t>
      </w:r>
      <w:r w:rsidR="0017542F">
        <w:t>criptur</w:t>
      </w:r>
      <w:r w:rsidR="00FE0506">
        <w:t>al passages</w:t>
      </w:r>
      <w:r w:rsidR="0017542F">
        <w:t xml:space="preserve"> such as 1 Corinthians 11:7</w:t>
      </w:r>
      <w:r w:rsidR="008621C5">
        <w:t xml:space="preserve">, which </w:t>
      </w:r>
      <w:r w:rsidR="008621C5" w:rsidRPr="00F33C96">
        <w:t xml:space="preserve">says “since he is the image and reflection of God, but woman is the reflection of </w:t>
      </w:r>
      <w:r w:rsidR="00FE0506" w:rsidRPr="00F33C96">
        <w:t>man</w:t>
      </w:r>
      <w:r w:rsidR="008621C5" w:rsidRPr="00F33C96">
        <w:t>”</w:t>
      </w:r>
      <w:r w:rsidR="00F33C96" w:rsidRPr="00F33C96">
        <w:rPr>
          <w:rStyle w:val="FootnoteReference"/>
        </w:rPr>
        <w:footnoteReference w:id="9"/>
      </w:r>
      <w:r w:rsidR="0017542F" w:rsidRPr="00F33C96">
        <w:t>.</w:t>
      </w:r>
      <w:r w:rsidR="0017542F">
        <w:t xml:space="preserve"> </w:t>
      </w:r>
      <w:r w:rsidR="008621C5" w:rsidRPr="00125F25">
        <w:t>The Hebrew language used for man, and</w:t>
      </w:r>
      <w:r w:rsidR="00974DFE" w:rsidRPr="00125F25">
        <w:t xml:space="preserve"> following</w:t>
      </w:r>
      <w:r w:rsidR="008621C5" w:rsidRPr="00125F25">
        <w:t xml:space="preserve">, woman, translate to </w:t>
      </w:r>
      <w:proofErr w:type="spellStart"/>
      <w:r w:rsidR="008621C5" w:rsidRPr="00125F25">
        <w:t>ish</w:t>
      </w:r>
      <w:proofErr w:type="spellEnd"/>
      <w:r w:rsidR="008621C5" w:rsidRPr="00125F25">
        <w:t xml:space="preserve"> (for man) and </w:t>
      </w:r>
      <w:proofErr w:type="spellStart"/>
      <w:r w:rsidR="008621C5" w:rsidRPr="00125F25">
        <w:t>ishshah</w:t>
      </w:r>
      <w:proofErr w:type="spellEnd"/>
      <w:r w:rsidR="008621C5" w:rsidRPr="00125F25">
        <w:t xml:space="preserve"> (for woman)</w:t>
      </w:r>
      <w:r w:rsidR="00F33C96">
        <w:rPr>
          <w:rStyle w:val="FootnoteReference"/>
        </w:rPr>
        <w:footnoteReference w:id="10"/>
      </w:r>
      <w:r w:rsidR="008621C5">
        <w:t>. So yes, woman (</w:t>
      </w:r>
      <w:proofErr w:type="spellStart"/>
      <w:r w:rsidR="008621C5">
        <w:t>ishshah</w:t>
      </w:r>
      <w:proofErr w:type="spellEnd"/>
      <w:r w:rsidR="008621C5">
        <w:t>), was taken from man (</w:t>
      </w:r>
      <w:proofErr w:type="spellStart"/>
      <w:r w:rsidR="008621C5">
        <w:t>ish</w:t>
      </w:r>
      <w:proofErr w:type="spellEnd"/>
      <w:r w:rsidR="008621C5">
        <w:t>)</w:t>
      </w:r>
      <w:r w:rsidR="00FE0506">
        <w:t xml:space="preserve"> in word and flesh</w:t>
      </w:r>
      <w:r w:rsidR="008621C5">
        <w:t xml:space="preserve"> as Adam exclaims in Genesis 2:23. </w:t>
      </w:r>
      <w:r w:rsidR="0017542F">
        <w:t xml:space="preserve">However, this </w:t>
      </w:r>
      <w:r w:rsidR="00F524A4">
        <w:t>idea of</w:t>
      </w:r>
      <w:r w:rsidR="0017542F">
        <w:t xml:space="preserve"> </w:t>
      </w:r>
      <w:r w:rsidR="008621C5">
        <w:t>man or woman being created in the image of God is not</w:t>
      </w:r>
      <w:r w:rsidR="0017542F">
        <w:t xml:space="preserve"> a statement that is made in the Genesis 2. It does not say that woman was made in the image of man, or God, but it does not even say that man is made in the image of God in this second account.</w:t>
      </w:r>
      <w:r w:rsidR="0015313B">
        <w:t xml:space="preserve"> </w:t>
      </w:r>
      <w:r w:rsidR="0015313B" w:rsidRPr="008B7E6A">
        <w:t xml:space="preserve">This is only stated in the first creation account, </w:t>
      </w:r>
      <w:r w:rsidR="00EE30E5" w:rsidRPr="008B7E6A">
        <w:t>where it says</w:t>
      </w:r>
      <w:r w:rsidR="0015313B" w:rsidRPr="008B7E6A">
        <w:t xml:space="preserve"> that humankind (‘</w:t>
      </w:r>
      <w:proofErr w:type="spellStart"/>
      <w:r w:rsidR="0015313B" w:rsidRPr="008B7E6A">
        <w:t>adam</w:t>
      </w:r>
      <w:proofErr w:type="spellEnd"/>
      <w:r w:rsidR="0015313B" w:rsidRPr="008B7E6A">
        <w:t>) is made in his image.</w:t>
      </w:r>
      <w:r w:rsidR="008621C5">
        <w:t xml:space="preserve"> </w:t>
      </w:r>
      <w:r w:rsidR="008B7E6A">
        <w:rPr>
          <w:rStyle w:val="FootnoteReference"/>
        </w:rPr>
        <w:footnoteReference w:id="11"/>
      </w:r>
    </w:p>
    <w:p w14:paraId="63B263CC" w14:textId="070BC9CC" w:rsidR="00EE30E5" w:rsidRDefault="00810FA8" w:rsidP="005426BA">
      <w:r>
        <w:t>Woman is often used as a ‘scapegoat’</w:t>
      </w:r>
      <w:r w:rsidR="00E33A97">
        <w:t xml:space="preserve"> for the fall, or sin entering the world</w:t>
      </w:r>
      <w:r w:rsidR="00401858">
        <w:t xml:space="preserve">, </w:t>
      </w:r>
      <w:r w:rsidR="00E33A97">
        <w:t>which is explored in Genesis 3</w:t>
      </w:r>
      <w:r w:rsidR="00401858">
        <w:t xml:space="preserve"> and results in misogynistic theologies</w:t>
      </w:r>
      <w:r w:rsidR="00E33A97">
        <w:t xml:space="preserve">. This </w:t>
      </w:r>
      <w:r w:rsidR="00401858">
        <w:t xml:space="preserve">can </w:t>
      </w:r>
      <w:r w:rsidR="00E33A97">
        <w:t xml:space="preserve">make a convincing argument that </w:t>
      </w:r>
      <w:r w:rsidR="00F524A4">
        <w:t xml:space="preserve">the </w:t>
      </w:r>
      <w:r w:rsidR="00E33A97">
        <w:t xml:space="preserve">Adam and Eve narrative is </w:t>
      </w:r>
      <w:r w:rsidR="00BE0DB5">
        <w:t xml:space="preserve">in and of itself </w:t>
      </w:r>
      <w:r w:rsidR="00E33A97">
        <w:t xml:space="preserve">misogynistic. According to the second creation account, God explicitly says to Adam </w:t>
      </w:r>
      <w:r w:rsidR="00E33A97" w:rsidRPr="00BE0DB5">
        <w:rPr>
          <w:i/>
          <w:iCs/>
        </w:rPr>
        <w:t>only</w:t>
      </w:r>
      <w:r w:rsidR="00E33A97">
        <w:t xml:space="preserve"> that he may not eat from the tree of the knowledge of good and evil</w:t>
      </w:r>
      <w:r w:rsidR="00EE30E5">
        <w:t xml:space="preserve">, which is what </w:t>
      </w:r>
      <w:r w:rsidR="00BE0DB5">
        <w:t>results</w:t>
      </w:r>
      <w:r w:rsidR="00EE30E5">
        <w:t xml:space="preserve"> the fall</w:t>
      </w:r>
      <w:r w:rsidR="00BE0DB5">
        <w:t xml:space="preserve"> of humanity</w:t>
      </w:r>
      <w:r w:rsidR="009E4ED1">
        <w:t>, as Eve was not created at this point.</w:t>
      </w:r>
      <w:r w:rsidR="00EE30E5">
        <w:t xml:space="preserve"> </w:t>
      </w:r>
      <w:r w:rsidR="00DF5F25">
        <w:t>But</w:t>
      </w:r>
      <w:r w:rsidR="00EE30E5">
        <w:t xml:space="preserve"> the text does not say </w:t>
      </w:r>
      <w:r w:rsidR="00DF5F25">
        <w:t>whether</w:t>
      </w:r>
      <w:r w:rsidR="00EE30E5">
        <w:t xml:space="preserve"> </w:t>
      </w:r>
      <w:r w:rsidR="00BE0DB5">
        <w:t xml:space="preserve">or not </w:t>
      </w:r>
      <w:r w:rsidR="00EE30E5">
        <w:t>God tells Eve the same</w:t>
      </w:r>
      <w:r w:rsidR="009E4ED1">
        <w:t>,</w:t>
      </w:r>
      <w:r w:rsidR="00BE0DB5">
        <w:t xml:space="preserve"> and</w:t>
      </w:r>
      <w:r w:rsidR="009E4ED1">
        <w:t xml:space="preserve"> yet</w:t>
      </w:r>
      <w:r w:rsidR="00BE0DB5">
        <w:t xml:space="preserve"> she is often </w:t>
      </w:r>
      <w:r w:rsidR="009E4ED1">
        <w:t>held to</w:t>
      </w:r>
      <w:r w:rsidR="00BE0DB5">
        <w:t xml:space="preserve"> full account.</w:t>
      </w:r>
      <w:r w:rsidR="00F524A4">
        <w:t xml:space="preserve"> </w:t>
      </w:r>
      <w:r w:rsidR="00EE30E5" w:rsidRPr="008D2F35">
        <w:t>Eve is very often depicted as having seduced Adam to eat from the forbidden tree</w:t>
      </w:r>
      <w:r w:rsidR="00EE30E5">
        <w:t xml:space="preserve">. But this is not stated; </w:t>
      </w:r>
      <w:r w:rsidR="003D2FC3">
        <w:t>instead,</w:t>
      </w:r>
      <w:r w:rsidR="00EE30E5">
        <w:t xml:space="preserve"> Genesis 3:6 says, </w:t>
      </w:r>
      <w:r w:rsidR="00EE30E5" w:rsidRPr="008B7E6A">
        <w:t>“she also gave some to her husband, who was with her</w:t>
      </w:r>
      <w:r w:rsidR="00F524A4" w:rsidRPr="008B7E6A">
        <w:t>,</w:t>
      </w:r>
      <w:r w:rsidR="00EE30E5" w:rsidRPr="008B7E6A">
        <w:t xml:space="preserve"> and</w:t>
      </w:r>
      <w:r w:rsidR="00F524A4" w:rsidRPr="008B7E6A">
        <w:t xml:space="preserve"> he</w:t>
      </w:r>
      <w:r w:rsidR="00EE30E5" w:rsidRPr="008B7E6A">
        <w:t xml:space="preserve"> ate”</w:t>
      </w:r>
      <w:r w:rsidR="008B7E6A">
        <w:rPr>
          <w:rStyle w:val="FootnoteReference"/>
        </w:rPr>
        <w:footnoteReference w:id="12"/>
      </w:r>
      <w:r w:rsidR="00EE30E5" w:rsidRPr="008B7E6A">
        <w:t>.</w:t>
      </w:r>
      <w:r w:rsidR="00EE30E5">
        <w:t xml:space="preserve"> The text does not </w:t>
      </w:r>
      <w:r w:rsidR="009E4ED1">
        <w:t xml:space="preserve">so much </w:t>
      </w:r>
      <w:r w:rsidR="00EE30E5">
        <w:t>even imply</w:t>
      </w:r>
      <w:r w:rsidR="00F524A4">
        <w:t xml:space="preserve"> her seducing him.</w:t>
      </w:r>
      <w:r w:rsidR="00EE30E5">
        <w:t xml:space="preserve"> But the blame is very often put </w:t>
      </w:r>
      <w:r w:rsidR="009E4ED1">
        <w:t xml:space="preserve">entirely </w:t>
      </w:r>
      <w:r w:rsidR="00EE30E5">
        <w:t>on Eve</w:t>
      </w:r>
      <w:r w:rsidR="00DF5F25">
        <w:t>;</w:t>
      </w:r>
      <w:r w:rsidR="00EE30E5">
        <w:t xml:space="preserve"> she is viewed as the transgressor. For example, </w:t>
      </w:r>
      <w:r w:rsidR="00EE30E5" w:rsidRPr="00F77CC9">
        <w:t>1 Timothy 2:14 says that it wasn’t Adam who was deceived, but Eve and as a result she became the transgressor.</w:t>
      </w:r>
      <w:r w:rsidR="00DF5F25">
        <w:t xml:space="preserve"> </w:t>
      </w:r>
      <w:r w:rsidR="00F77CC9">
        <w:rPr>
          <w:rStyle w:val="FootnoteReference"/>
        </w:rPr>
        <w:footnoteReference w:id="13"/>
      </w:r>
      <w:r w:rsidR="00DF5F25">
        <w:t xml:space="preserve">However, </w:t>
      </w:r>
      <w:r w:rsidR="009E4ED1">
        <w:t xml:space="preserve">in returning </w:t>
      </w:r>
      <w:r w:rsidR="00DF5F25">
        <w:t>to the original Genesis text, we see that Eve is not once called a sinner or transgressor.</w:t>
      </w:r>
    </w:p>
    <w:p w14:paraId="7D2DC363" w14:textId="0A47325B" w:rsidR="004F736E" w:rsidRDefault="003D2FC3" w:rsidP="005426BA">
      <w:r>
        <w:t>Following th</w:t>
      </w:r>
      <w:r w:rsidR="004F736E">
        <w:t xml:space="preserve">is part of the narrative, God </w:t>
      </w:r>
      <w:r w:rsidR="00F524A4">
        <w:t>‘</w:t>
      </w:r>
      <w:r w:rsidR="004F736E">
        <w:t>punishes</w:t>
      </w:r>
      <w:r w:rsidR="00F524A4">
        <w:t>’</w:t>
      </w:r>
      <w:r w:rsidR="004F736E">
        <w:t xml:space="preserve"> woman to painful childbirth and to a reality in which her husband rules over her. For years, people have enforced this text, </w:t>
      </w:r>
      <w:r w:rsidR="004F736E" w:rsidRPr="00F77CC9">
        <w:t>claiming that is universal and prescriptive for all times</w:t>
      </w:r>
      <w:r w:rsidR="00F77CC9">
        <w:rPr>
          <w:rStyle w:val="FootnoteReference"/>
        </w:rPr>
        <w:footnoteReference w:id="14"/>
      </w:r>
      <w:r w:rsidR="004F736E">
        <w:t xml:space="preserve">. Except, venturing further into the text, there is a </w:t>
      </w:r>
      <w:r w:rsidR="00F524A4">
        <w:t>‘</w:t>
      </w:r>
      <w:r w:rsidR="004F736E">
        <w:t>punishment</w:t>
      </w:r>
      <w:r w:rsidR="00F524A4">
        <w:t>’</w:t>
      </w:r>
      <w:r w:rsidR="004F736E">
        <w:t xml:space="preserve"> made for man</w:t>
      </w:r>
      <w:r w:rsidR="00F524A4">
        <w:t xml:space="preserve"> that is not treated </w:t>
      </w:r>
      <w:r w:rsidR="00BC3012">
        <w:t>held in equal regard.</w:t>
      </w:r>
    </w:p>
    <w:p w14:paraId="5DA470D7" w14:textId="211C0682" w:rsidR="001B0890" w:rsidRDefault="001B0890" w:rsidP="004F736E">
      <w:pPr>
        <w:ind w:left="283"/>
      </w:pPr>
      <w:r>
        <w:lastRenderedPageBreak/>
        <w:t>And to the man he said “Because you have listened to the voice of your wife and have eaten of the tree about which I commanded you, you shall not eat of it, cursed is the ground because of you; in toil you shall eat of it all the days of your life; thorns and thistles it shall bring forth for you; and you shall eat the plants of the field. By the sweat of your face you shall eat bread until you return to the ground”.</w:t>
      </w:r>
    </w:p>
    <w:p w14:paraId="307279BE" w14:textId="61BF2658" w:rsidR="00D0758C" w:rsidRDefault="00D60C7A" w:rsidP="001B0890">
      <w:r w:rsidRPr="0072110C">
        <w:t>As Ruth Tucker points out, people have not held this punishment to the same standard. As inventions of machinery and fertilisers have been created, this standard</w:t>
      </w:r>
      <w:r w:rsidR="0030528E" w:rsidRPr="0072110C">
        <w:t xml:space="preserve"> has</w:t>
      </w:r>
      <w:r w:rsidRPr="0072110C">
        <w:t xml:space="preserve"> changed</w:t>
      </w:r>
      <w:r w:rsidR="0072110C">
        <w:rPr>
          <w:rStyle w:val="FootnoteReference"/>
        </w:rPr>
        <w:footnoteReference w:id="15"/>
      </w:r>
      <w:r>
        <w:t>.</w:t>
      </w:r>
      <w:r w:rsidR="00D0758C">
        <w:t xml:space="preserve"> But it still took years for women to have access to pain relief during labour, despite accessibility, due to people believing this to be prescriptive to modern </w:t>
      </w:r>
      <w:r w:rsidR="00BC3012">
        <w:t>day and</w:t>
      </w:r>
      <w:r w:rsidR="00D0758C">
        <w:t xml:space="preserve"> deeming it ‘ungodly’ to do otherwise.</w:t>
      </w:r>
      <w:r w:rsidR="00A13D0B">
        <w:t xml:space="preserve"> </w:t>
      </w:r>
    </w:p>
    <w:p w14:paraId="6765C830" w14:textId="71184088" w:rsidR="001B0890" w:rsidRDefault="00F95C59" w:rsidP="001B0890">
      <w:r>
        <w:t xml:space="preserve">When we consider all of this, it would be easy to definitively say that the Adam and Eve narrative is in fact a perfect example of misogyny. However, </w:t>
      </w:r>
      <w:r w:rsidR="008D03CE">
        <w:t>taking both accounts as they appear in Genesis and not looking to the actions or interpretations of individuals and authoritative bodies may say otherwise. That the narrative is not inherently misogynistic, but it is instead people who have used it to promote</w:t>
      </w:r>
      <w:r w:rsidR="00617217">
        <w:t xml:space="preserve"> and justify</w:t>
      </w:r>
      <w:r w:rsidR="008D03CE">
        <w:t xml:space="preserve"> miso</w:t>
      </w:r>
      <w:r w:rsidR="00617217">
        <w:t>gynistic ideologies and theologies.</w:t>
      </w:r>
    </w:p>
    <w:p w14:paraId="7E6D9D20" w14:textId="2D598086" w:rsidR="003D2FC3" w:rsidRDefault="004F736E" w:rsidP="004F736E">
      <w:pPr>
        <w:ind w:left="283"/>
      </w:pPr>
      <w:r>
        <w:t xml:space="preserve"> </w:t>
      </w:r>
    </w:p>
    <w:p w14:paraId="6FFBB43D" w14:textId="77777777" w:rsidR="0015313B" w:rsidRDefault="0015313B" w:rsidP="005426BA"/>
    <w:p w14:paraId="02B21AA8" w14:textId="0BE4DAB2" w:rsidR="00E3114B" w:rsidRDefault="00E3114B" w:rsidP="00E3114B"/>
    <w:p w14:paraId="38EC162A" w14:textId="417091E5" w:rsidR="00FA098B" w:rsidRDefault="00FA098B"/>
    <w:p w14:paraId="1699CE84" w14:textId="77777777" w:rsidR="00FA098B" w:rsidRDefault="00FA098B">
      <w:r>
        <w:br w:type="page"/>
      </w:r>
    </w:p>
    <w:sdt>
      <w:sdtPr>
        <w:id w:val="2062203924"/>
        <w:docPartObj>
          <w:docPartGallery w:val="Bibliographies"/>
          <w:docPartUnique/>
        </w:docPartObj>
      </w:sdtPr>
      <w:sdtEndPr>
        <w:rPr>
          <w:rFonts w:asciiTheme="minorHAnsi" w:eastAsiaTheme="minorHAnsi" w:hAnsiTheme="minorHAnsi" w:cstheme="minorBidi"/>
          <w:color w:val="auto"/>
          <w:sz w:val="22"/>
          <w:szCs w:val="22"/>
        </w:rPr>
      </w:sdtEndPr>
      <w:sdtContent>
        <w:p w14:paraId="25946D01" w14:textId="6D3C4D7C" w:rsidR="00FA098B" w:rsidRDefault="00FA098B">
          <w:pPr>
            <w:pStyle w:val="Heading1"/>
          </w:pPr>
          <w:r>
            <w:t>Bibliography</w:t>
          </w:r>
        </w:p>
        <w:sdt>
          <w:sdtPr>
            <w:id w:val="111145805"/>
            <w:bibliography/>
          </w:sdtPr>
          <w:sdtContent>
            <w:p w14:paraId="2AF49BE0" w14:textId="77777777" w:rsidR="00D941A6" w:rsidRDefault="00D941A6">
              <w:r>
                <w:t xml:space="preserve">Daly, Mary, </w:t>
              </w:r>
              <w:r>
                <w:rPr>
                  <w:i/>
                  <w:iCs/>
                </w:rPr>
                <w:t xml:space="preserve">Beyond God the Father: Toward a Philosophy of Women’s Liberation </w:t>
              </w:r>
              <w:r>
                <w:t>(Beacon Press, 1973)</w:t>
              </w:r>
            </w:p>
            <w:p w14:paraId="03A8353C" w14:textId="77777777" w:rsidR="00D941A6" w:rsidRDefault="00D941A6">
              <w:r>
                <w:t xml:space="preserve">Clines, David, </w:t>
              </w:r>
              <w:r>
                <w:rPr>
                  <w:i/>
                  <w:iCs/>
                </w:rPr>
                <w:t xml:space="preserve">What Does Eve Do to Help? And Other Readerly Questions to the Old Testament </w:t>
              </w:r>
              <w:r>
                <w:t>(Sheffield Academic Press, 1990)</w:t>
              </w:r>
            </w:p>
            <w:p w14:paraId="4318E3B7" w14:textId="77777777" w:rsidR="00D941A6" w:rsidRDefault="00D941A6">
              <w:r>
                <w:rPr>
                  <w:i/>
                  <w:iCs/>
                </w:rPr>
                <w:t xml:space="preserve">The Holy Bible, </w:t>
              </w:r>
              <w:r w:rsidRPr="00D941A6">
                <w:t>New Revised Standard Version Updated Edition</w:t>
              </w:r>
              <w:r>
                <w:t xml:space="preserve"> (National Council of the Churches of Christ in the United States of America, 2021)</w:t>
              </w:r>
            </w:p>
            <w:p w14:paraId="321C3FA5" w14:textId="77777777" w:rsidR="00D941A6" w:rsidRDefault="00D941A6">
              <w:r>
                <w:t xml:space="preserve">Paynter, Helen, </w:t>
              </w:r>
              <w:r>
                <w:rPr>
                  <w:i/>
                  <w:iCs/>
                </w:rPr>
                <w:t xml:space="preserve">The Bible Doesn’t Tell Me So: Why You Don’t Have to Submit to Domestic Abuse and Coercive Control </w:t>
              </w:r>
              <w:r>
                <w:t>(BRF, 2020)</w:t>
              </w:r>
            </w:p>
            <w:p w14:paraId="71E4A5E8" w14:textId="77777777" w:rsidR="004B0254" w:rsidRDefault="00D941A6">
              <w:r>
                <w:t xml:space="preserve">Tucker, Ruth, </w:t>
              </w:r>
              <w:r>
                <w:rPr>
                  <w:i/>
                  <w:iCs/>
                </w:rPr>
                <w:t xml:space="preserve">Black and White Bible, Black and Blue Wife: My Story of Finding Hope After Abuse </w:t>
              </w:r>
              <w:r>
                <w:t>(Zondervan, 2016)</w:t>
              </w:r>
            </w:p>
            <w:p w14:paraId="4A268B0A" w14:textId="3378A0DC" w:rsidR="00FA098B" w:rsidRDefault="004B0254">
              <w:r>
                <w:t>Unknown, ‘The Human (</w:t>
              </w:r>
              <w:proofErr w:type="spellStart"/>
              <w:r>
                <w:t>Ha’adam</w:t>
              </w:r>
              <w:proofErr w:type="spellEnd"/>
              <w:r>
                <w:t>), Man (Ish), Woman (</w:t>
              </w:r>
              <w:proofErr w:type="spellStart"/>
              <w:r>
                <w:t>Ishashah</w:t>
              </w:r>
              <w:proofErr w:type="spellEnd"/>
              <w:r>
                <w:t xml:space="preserve">) in Genesis 2 &lt;  </w:t>
              </w:r>
              <w:r w:rsidRPr="004B0254">
                <w:t>https://margmowczko.com/human-man-woman-genesis-2/</w:t>
              </w:r>
              <w:r>
                <w:t xml:space="preserve"> &gt; Referencing &lt; </w:t>
              </w:r>
              <w:hyperlink r:id="rId7" w:history="1">
                <w:r w:rsidRPr="00C049FC">
                  <w:rPr>
                    <w:rStyle w:val="Hyperlink"/>
                  </w:rPr>
                  <w:t>https://www.mechon-mamre.org/p/pt/pt0102.htm</w:t>
                </w:r>
              </w:hyperlink>
              <w:r>
                <w:t xml:space="preserve"> &gt;</w:t>
              </w:r>
            </w:p>
          </w:sdtContent>
        </w:sdt>
      </w:sdtContent>
    </w:sdt>
    <w:p w14:paraId="28AE4A99" w14:textId="77777777" w:rsidR="00E3114B" w:rsidRDefault="00E3114B"/>
    <w:sectPr w:rsidR="00E311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C920D" w14:textId="77777777" w:rsidR="00242AFC" w:rsidRDefault="00242AFC" w:rsidP="00FF1480">
      <w:pPr>
        <w:spacing w:after="0" w:line="240" w:lineRule="auto"/>
      </w:pPr>
      <w:r>
        <w:separator/>
      </w:r>
    </w:p>
  </w:endnote>
  <w:endnote w:type="continuationSeparator" w:id="0">
    <w:p w14:paraId="3A1A484F" w14:textId="77777777" w:rsidR="00242AFC" w:rsidRDefault="00242AFC" w:rsidP="00FF1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C7400" w14:textId="77777777" w:rsidR="00242AFC" w:rsidRDefault="00242AFC" w:rsidP="00FF1480">
      <w:pPr>
        <w:spacing w:after="0" w:line="240" w:lineRule="auto"/>
      </w:pPr>
      <w:r>
        <w:separator/>
      </w:r>
    </w:p>
  </w:footnote>
  <w:footnote w:type="continuationSeparator" w:id="0">
    <w:p w14:paraId="0490D5B3" w14:textId="77777777" w:rsidR="00242AFC" w:rsidRDefault="00242AFC" w:rsidP="00FF1480">
      <w:pPr>
        <w:spacing w:after="0" w:line="240" w:lineRule="auto"/>
      </w:pPr>
      <w:r>
        <w:continuationSeparator/>
      </w:r>
    </w:p>
  </w:footnote>
  <w:footnote w:id="1">
    <w:p w14:paraId="3971FE38" w14:textId="7FF948C3" w:rsidR="00FF1480" w:rsidRPr="00FF1480" w:rsidRDefault="00FF1480">
      <w:pPr>
        <w:pStyle w:val="FootnoteText"/>
      </w:pPr>
      <w:r>
        <w:rPr>
          <w:rStyle w:val="FootnoteReference"/>
        </w:rPr>
        <w:footnoteRef/>
      </w:r>
      <w:r>
        <w:t xml:space="preserve"> Mary Daly, </w:t>
      </w:r>
      <w:r>
        <w:rPr>
          <w:i/>
          <w:iCs/>
        </w:rPr>
        <w:t xml:space="preserve">Beyond God the Father: Toward a Philosophy of Women’s Liberation </w:t>
      </w:r>
      <w:r>
        <w:t>(Beacon Press, 1973).</w:t>
      </w:r>
    </w:p>
  </w:footnote>
  <w:footnote w:id="2">
    <w:p w14:paraId="74244519" w14:textId="4054282C" w:rsidR="00875F83" w:rsidRPr="00875F83" w:rsidRDefault="00875F83">
      <w:pPr>
        <w:pStyle w:val="FootnoteText"/>
      </w:pPr>
      <w:r>
        <w:rPr>
          <w:rStyle w:val="FootnoteReference"/>
        </w:rPr>
        <w:footnoteRef/>
      </w:r>
      <w:r>
        <w:t xml:space="preserve"> David Clines, </w:t>
      </w:r>
      <w:r>
        <w:rPr>
          <w:i/>
          <w:iCs/>
        </w:rPr>
        <w:t xml:space="preserve">What Does Eve Do to Help? And Other Readerly Questions to the Old Testament </w:t>
      </w:r>
      <w:r>
        <w:t>(Sheffield Academic Press, 1990).</w:t>
      </w:r>
    </w:p>
  </w:footnote>
  <w:footnote w:id="3">
    <w:p w14:paraId="512A937A" w14:textId="78D78F78" w:rsidR="00875F83" w:rsidRDefault="00875F83">
      <w:pPr>
        <w:pStyle w:val="FootnoteText"/>
      </w:pPr>
      <w:r>
        <w:rPr>
          <w:rStyle w:val="FootnoteReference"/>
        </w:rPr>
        <w:footnoteRef/>
      </w:r>
      <w:r>
        <w:t xml:space="preserve"> Genesis 1:26</w:t>
      </w:r>
      <w:r w:rsidR="00EA5EC1">
        <w:t xml:space="preserve"> NRSVUE</w:t>
      </w:r>
    </w:p>
  </w:footnote>
  <w:footnote w:id="4">
    <w:p w14:paraId="18B9AFC7" w14:textId="50F944B0" w:rsidR="003B3913" w:rsidRDefault="003B3913">
      <w:pPr>
        <w:pStyle w:val="FootnoteText"/>
      </w:pPr>
      <w:r>
        <w:rPr>
          <w:rStyle w:val="FootnoteReference"/>
        </w:rPr>
        <w:footnoteRef/>
      </w:r>
      <w:r>
        <w:t xml:space="preserve"> Genesis 2:7, 18-22</w:t>
      </w:r>
    </w:p>
  </w:footnote>
  <w:footnote w:id="5">
    <w:p w14:paraId="237149F5" w14:textId="30253F5E" w:rsidR="003B3913" w:rsidRDefault="003B3913">
      <w:pPr>
        <w:pStyle w:val="FootnoteText"/>
      </w:pPr>
      <w:r>
        <w:rPr>
          <w:rStyle w:val="FootnoteReference"/>
        </w:rPr>
        <w:footnoteRef/>
      </w:r>
      <w:r>
        <w:t xml:space="preserve"> Genesis 2:18</w:t>
      </w:r>
    </w:p>
  </w:footnote>
  <w:footnote w:id="6">
    <w:p w14:paraId="45D2C26B" w14:textId="775E5CFE" w:rsidR="00126103" w:rsidRPr="00126103" w:rsidRDefault="00126103">
      <w:pPr>
        <w:pStyle w:val="FootnoteText"/>
      </w:pPr>
      <w:r>
        <w:rPr>
          <w:rStyle w:val="FootnoteReference"/>
        </w:rPr>
        <w:footnoteRef/>
      </w:r>
      <w:r>
        <w:t xml:space="preserve"> Helen Paynter, </w:t>
      </w:r>
      <w:r>
        <w:rPr>
          <w:i/>
          <w:iCs/>
        </w:rPr>
        <w:t>The Bible Doesn’t Tell Me So: Why You Don’t Have to Submit to Domestic Abuse and Coercive Control</w:t>
      </w:r>
      <w:r>
        <w:t xml:space="preserve"> (BRF, 2020)</w:t>
      </w:r>
      <w:r w:rsidR="0072110C">
        <w:t>,</w:t>
      </w:r>
      <w:r w:rsidR="00470C8F">
        <w:t xml:space="preserve"> </w:t>
      </w:r>
      <w:r w:rsidR="0072110C">
        <w:t>pp</w:t>
      </w:r>
      <w:r w:rsidR="00470C8F">
        <w:t>. 55</w:t>
      </w:r>
    </w:p>
  </w:footnote>
  <w:footnote w:id="7">
    <w:p w14:paraId="1E821BCE" w14:textId="63FE43FC" w:rsidR="00126103" w:rsidRPr="00470C8F" w:rsidRDefault="00126103">
      <w:pPr>
        <w:pStyle w:val="FootnoteText"/>
      </w:pPr>
      <w:r>
        <w:rPr>
          <w:rStyle w:val="FootnoteReference"/>
        </w:rPr>
        <w:footnoteRef/>
      </w:r>
      <w:r>
        <w:t xml:space="preserve"> </w:t>
      </w:r>
      <w:r w:rsidR="00470C8F">
        <w:t xml:space="preserve">Paynter, </w:t>
      </w:r>
      <w:r w:rsidR="00470C8F">
        <w:rPr>
          <w:i/>
          <w:iCs/>
        </w:rPr>
        <w:t>The Bible Doesn’t</w:t>
      </w:r>
      <w:r w:rsidR="00470C8F">
        <w:t>, p</w:t>
      </w:r>
      <w:r w:rsidR="0072110C">
        <w:t>p</w:t>
      </w:r>
      <w:r w:rsidR="00470C8F">
        <w:t xml:space="preserve">. 55 </w:t>
      </w:r>
      <w:r w:rsidR="0072110C">
        <w:t>-</w:t>
      </w:r>
      <w:r w:rsidR="00470C8F">
        <w:t xml:space="preserve"> 56.</w:t>
      </w:r>
    </w:p>
  </w:footnote>
  <w:footnote w:id="8">
    <w:p w14:paraId="2D7ADD3C" w14:textId="4D067E69" w:rsidR="00F33C96" w:rsidRDefault="00F33C96">
      <w:pPr>
        <w:pStyle w:val="FootnoteText"/>
      </w:pPr>
      <w:r>
        <w:rPr>
          <w:rStyle w:val="FootnoteReference"/>
        </w:rPr>
        <w:footnoteRef/>
      </w:r>
      <w:r>
        <w:t xml:space="preserve"> 1 Timothy 2:12-23 NRSVUE</w:t>
      </w:r>
    </w:p>
  </w:footnote>
  <w:footnote w:id="9">
    <w:p w14:paraId="41ACA608" w14:textId="19D2F9A4" w:rsidR="00F33C96" w:rsidRDefault="00F33C96">
      <w:pPr>
        <w:pStyle w:val="FootnoteText"/>
      </w:pPr>
      <w:r>
        <w:rPr>
          <w:rStyle w:val="FootnoteReference"/>
        </w:rPr>
        <w:footnoteRef/>
      </w:r>
      <w:r>
        <w:t xml:space="preserve"> 1 Corinthians 11:7 NRSVUE</w:t>
      </w:r>
    </w:p>
  </w:footnote>
  <w:footnote w:id="10">
    <w:p w14:paraId="1D1BCD57" w14:textId="17290EF3" w:rsidR="00F33C96" w:rsidRPr="00125F25" w:rsidRDefault="00F33C96">
      <w:pPr>
        <w:pStyle w:val="FootnoteText"/>
        <w:rPr>
          <w:b/>
          <w:bCs/>
        </w:rPr>
      </w:pPr>
      <w:r>
        <w:rPr>
          <w:rStyle w:val="FootnoteReference"/>
        </w:rPr>
        <w:footnoteRef/>
      </w:r>
      <w:r>
        <w:t xml:space="preserve">  &lt;</w:t>
      </w:r>
      <w:r w:rsidRPr="00F33C96">
        <w:t xml:space="preserve"> </w:t>
      </w:r>
      <w:hyperlink r:id="rId1" w:history="1">
        <w:r w:rsidRPr="004463C7">
          <w:rPr>
            <w:rStyle w:val="Hyperlink"/>
          </w:rPr>
          <w:t>https://margmowczko.com/human-man-woman-genesis-2/</w:t>
        </w:r>
      </w:hyperlink>
      <w:r>
        <w:t xml:space="preserve">&gt; </w:t>
      </w:r>
      <w:r w:rsidR="00125F25">
        <w:t>Citing &lt;</w:t>
      </w:r>
      <w:r w:rsidR="00125F25" w:rsidRPr="00125F25">
        <w:t xml:space="preserve"> </w:t>
      </w:r>
      <w:hyperlink r:id="rId2" w:history="1">
        <w:r w:rsidR="008373DC" w:rsidRPr="004463C7">
          <w:rPr>
            <w:rStyle w:val="Hyperlink"/>
          </w:rPr>
          <w:t>http://www.mechon-mamre.org/p/pt/pt0102.htm</w:t>
        </w:r>
      </w:hyperlink>
      <w:r w:rsidR="008373DC">
        <w:t xml:space="preserve"> </w:t>
      </w:r>
      <w:r w:rsidR="00125F25">
        <w:t>&gt;</w:t>
      </w:r>
    </w:p>
  </w:footnote>
  <w:footnote w:id="11">
    <w:p w14:paraId="159A0D58" w14:textId="2CA37816" w:rsidR="008B7E6A" w:rsidRDefault="008B7E6A">
      <w:pPr>
        <w:pStyle w:val="FootnoteText"/>
      </w:pPr>
      <w:r>
        <w:rPr>
          <w:rStyle w:val="FootnoteReference"/>
        </w:rPr>
        <w:footnoteRef/>
      </w:r>
      <w:r>
        <w:t xml:space="preserve"> Genesis 1:26-27 NRSVUE</w:t>
      </w:r>
    </w:p>
  </w:footnote>
  <w:footnote w:id="12">
    <w:p w14:paraId="17FDF720" w14:textId="41F870E3" w:rsidR="008B7E6A" w:rsidRDefault="008B7E6A">
      <w:pPr>
        <w:pStyle w:val="FootnoteText"/>
      </w:pPr>
      <w:r>
        <w:rPr>
          <w:rStyle w:val="FootnoteReference"/>
        </w:rPr>
        <w:footnoteRef/>
      </w:r>
      <w:r>
        <w:t xml:space="preserve"> Genesis 3:6 NRSVUE</w:t>
      </w:r>
    </w:p>
  </w:footnote>
  <w:footnote w:id="13">
    <w:p w14:paraId="6A4945CA" w14:textId="4ACF3593" w:rsidR="00F77CC9" w:rsidRDefault="00F77CC9">
      <w:pPr>
        <w:pStyle w:val="FootnoteText"/>
      </w:pPr>
      <w:r>
        <w:rPr>
          <w:rStyle w:val="FootnoteReference"/>
        </w:rPr>
        <w:footnoteRef/>
      </w:r>
      <w:r>
        <w:t xml:space="preserve"> 1 Timothy 2:14 NRSVUE</w:t>
      </w:r>
    </w:p>
  </w:footnote>
  <w:footnote w:id="14">
    <w:p w14:paraId="68637A63" w14:textId="1F2ECEC5" w:rsidR="00F77CC9" w:rsidRPr="00F77CC9" w:rsidRDefault="00F77CC9">
      <w:pPr>
        <w:pStyle w:val="FootnoteText"/>
      </w:pPr>
      <w:r>
        <w:rPr>
          <w:rStyle w:val="FootnoteReference"/>
        </w:rPr>
        <w:footnoteRef/>
      </w:r>
      <w:r>
        <w:t xml:space="preserve"> Ruth Tucker, </w:t>
      </w:r>
      <w:r>
        <w:rPr>
          <w:i/>
          <w:iCs/>
        </w:rPr>
        <w:t>Black and White Bible, Black and Blue Wife: My Story of Finding Hope After Abuse</w:t>
      </w:r>
      <w:r>
        <w:t xml:space="preserve"> (Zondervan, 2016, pp. 43-44</w:t>
      </w:r>
      <w:r w:rsidR="0072110C">
        <w:t>.</w:t>
      </w:r>
    </w:p>
  </w:footnote>
  <w:footnote w:id="15">
    <w:p w14:paraId="7D2EE272" w14:textId="69798301" w:rsidR="0072110C" w:rsidRPr="0072110C" w:rsidRDefault="0072110C">
      <w:pPr>
        <w:pStyle w:val="FootnoteText"/>
      </w:pPr>
      <w:r>
        <w:rPr>
          <w:rStyle w:val="FootnoteReference"/>
        </w:rPr>
        <w:footnoteRef/>
      </w:r>
      <w:r>
        <w:t xml:space="preserve"> Tucker, </w:t>
      </w:r>
      <w:r>
        <w:rPr>
          <w:i/>
          <w:iCs/>
        </w:rPr>
        <w:t xml:space="preserve">Black and White Bible, </w:t>
      </w:r>
      <w:r>
        <w:t>pp. 43-44.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14B"/>
    <w:rsid w:val="0006519B"/>
    <w:rsid w:val="000D0112"/>
    <w:rsid w:val="00125F25"/>
    <w:rsid w:val="00126103"/>
    <w:rsid w:val="0015313B"/>
    <w:rsid w:val="0017542F"/>
    <w:rsid w:val="001A3AA7"/>
    <w:rsid w:val="001B0890"/>
    <w:rsid w:val="001B50F5"/>
    <w:rsid w:val="001C1F2B"/>
    <w:rsid w:val="00241061"/>
    <w:rsid w:val="00242AFC"/>
    <w:rsid w:val="00293A04"/>
    <w:rsid w:val="002B5E16"/>
    <w:rsid w:val="002C78E2"/>
    <w:rsid w:val="0030528E"/>
    <w:rsid w:val="003A3ADA"/>
    <w:rsid w:val="003A755E"/>
    <w:rsid w:val="003B3913"/>
    <w:rsid w:val="003D2FC3"/>
    <w:rsid w:val="003E1BFF"/>
    <w:rsid w:val="00401858"/>
    <w:rsid w:val="004361DA"/>
    <w:rsid w:val="00470C8F"/>
    <w:rsid w:val="00472FFE"/>
    <w:rsid w:val="004B0254"/>
    <w:rsid w:val="004F736E"/>
    <w:rsid w:val="0050563D"/>
    <w:rsid w:val="005426BA"/>
    <w:rsid w:val="005820B2"/>
    <w:rsid w:val="005E71F4"/>
    <w:rsid w:val="00617217"/>
    <w:rsid w:val="00630054"/>
    <w:rsid w:val="006D123E"/>
    <w:rsid w:val="0072110C"/>
    <w:rsid w:val="007A36F2"/>
    <w:rsid w:val="007B5EF0"/>
    <w:rsid w:val="007F4755"/>
    <w:rsid w:val="00810FA8"/>
    <w:rsid w:val="008373DC"/>
    <w:rsid w:val="008621C5"/>
    <w:rsid w:val="00875F83"/>
    <w:rsid w:val="008B1660"/>
    <w:rsid w:val="008B34E6"/>
    <w:rsid w:val="008B7E6A"/>
    <w:rsid w:val="008D03CE"/>
    <w:rsid w:val="008D2F35"/>
    <w:rsid w:val="009361EB"/>
    <w:rsid w:val="00974DFE"/>
    <w:rsid w:val="009E4ED1"/>
    <w:rsid w:val="00A13D0B"/>
    <w:rsid w:val="00A1640C"/>
    <w:rsid w:val="00A7127A"/>
    <w:rsid w:val="00A96AE5"/>
    <w:rsid w:val="00AA7784"/>
    <w:rsid w:val="00B338B3"/>
    <w:rsid w:val="00BC3012"/>
    <w:rsid w:val="00BD2C69"/>
    <w:rsid w:val="00BE0DB5"/>
    <w:rsid w:val="00CB5B9C"/>
    <w:rsid w:val="00CC5F60"/>
    <w:rsid w:val="00D0758C"/>
    <w:rsid w:val="00D60C7A"/>
    <w:rsid w:val="00D849F5"/>
    <w:rsid w:val="00D941A6"/>
    <w:rsid w:val="00DE60FF"/>
    <w:rsid w:val="00DF5F25"/>
    <w:rsid w:val="00E0415F"/>
    <w:rsid w:val="00E3114B"/>
    <w:rsid w:val="00E33A97"/>
    <w:rsid w:val="00EA5EC1"/>
    <w:rsid w:val="00EE30E5"/>
    <w:rsid w:val="00F33C96"/>
    <w:rsid w:val="00F524A4"/>
    <w:rsid w:val="00F77CC9"/>
    <w:rsid w:val="00F92CC9"/>
    <w:rsid w:val="00F95C59"/>
    <w:rsid w:val="00FA098B"/>
    <w:rsid w:val="00FA0C37"/>
    <w:rsid w:val="00FE0506"/>
    <w:rsid w:val="00FF1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C821D"/>
  <w15:chartTrackingRefBased/>
  <w15:docId w15:val="{8C8D2E6B-36C4-46DF-9B2B-F74D5DF25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1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11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11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11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11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11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1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1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1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1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311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311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311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11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11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1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1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14B"/>
    <w:rPr>
      <w:rFonts w:eastAsiaTheme="majorEastAsia" w:cstheme="majorBidi"/>
      <w:color w:val="272727" w:themeColor="text1" w:themeTint="D8"/>
    </w:rPr>
  </w:style>
  <w:style w:type="paragraph" w:styleId="Title">
    <w:name w:val="Title"/>
    <w:basedOn w:val="Normal"/>
    <w:next w:val="Normal"/>
    <w:link w:val="TitleChar"/>
    <w:uiPriority w:val="10"/>
    <w:qFormat/>
    <w:rsid w:val="00E311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1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1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1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14B"/>
    <w:pPr>
      <w:spacing w:before="160"/>
      <w:jc w:val="center"/>
    </w:pPr>
    <w:rPr>
      <w:i/>
      <w:iCs/>
      <w:color w:val="404040" w:themeColor="text1" w:themeTint="BF"/>
    </w:rPr>
  </w:style>
  <w:style w:type="character" w:customStyle="1" w:styleId="QuoteChar">
    <w:name w:val="Quote Char"/>
    <w:basedOn w:val="DefaultParagraphFont"/>
    <w:link w:val="Quote"/>
    <w:uiPriority w:val="29"/>
    <w:rsid w:val="00E3114B"/>
    <w:rPr>
      <w:i/>
      <w:iCs/>
      <w:color w:val="404040" w:themeColor="text1" w:themeTint="BF"/>
    </w:rPr>
  </w:style>
  <w:style w:type="paragraph" w:styleId="ListParagraph">
    <w:name w:val="List Paragraph"/>
    <w:basedOn w:val="Normal"/>
    <w:uiPriority w:val="34"/>
    <w:qFormat/>
    <w:rsid w:val="00E3114B"/>
    <w:pPr>
      <w:ind w:left="720"/>
      <w:contextualSpacing/>
    </w:pPr>
  </w:style>
  <w:style w:type="character" w:styleId="IntenseEmphasis">
    <w:name w:val="Intense Emphasis"/>
    <w:basedOn w:val="DefaultParagraphFont"/>
    <w:uiPriority w:val="21"/>
    <w:qFormat/>
    <w:rsid w:val="00E3114B"/>
    <w:rPr>
      <w:i/>
      <w:iCs/>
      <w:color w:val="2F5496" w:themeColor="accent1" w:themeShade="BF"/>
    </w:rPr>
  </w:style>
  <w:style w:type="paragraph" w:styleId="IntenseQuote">
    <w:name w:val="Intense Quote"/>
    <w:basedOn w:val="Normal"/>
    <w:next w:val="Normal"/>
    <w:link w:val="IntenseQuoteChar"/>
    <w:uiPriority w:val="30"/>
    <w:qFormat/>
    <w:rsid w:val="00E311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114B"/>
    <w:rPr>
      <w:i/>
      <w:iCs/>
      <w:color w:val="2F5496" w:themeColor="accent1" w:themeShade="BF"/>
    </w:rPr>
  </w:style>
  <w:style w:type="character" w:styleId="IntenseReference">
    <w:name w:val="Intense Reference"/>
    <w:basedOn w:val="DefaultParagraphFont"/>
    <w:uiPriority w:val="32"/>
    <w:qFormat/>
    <w:rsid w:val="00E3114B"/>
    <w:rPr>
      <w:b/>
      <w:bCs/>
      <w:smallCaps/>
      <w:color w:val="2F5496" w:themeColor="accent1" w:themeShade="BF"/>
      <w:spacing w:val="5"/>
    </w:rPr>
  </w:style>
  <w:style w:type="paragraph" w:styleId="FootnoteText">
    <w:name w:val="footnote text"/>
    <w:basedOn w:val="Normal"/>
    <w:link w:val="FootnoteTextChar"/>
    <w:uiPriority w:val="99"/>
    <w:semiHidden/>
    <w:unhideWhenUsed/>
    <w:rsid w:val="00FF14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1480"/>
    <w:rPr>
      <w:sz w:val="20"/>
      <w:szCs w:val="20"/>
    </w:rPr>
  </w:style>
  <w:style w:type="character" w:styleId="FootnoteReference">
    <w:name w:val="footnote reference"/>
    <w:basedOn w:val="DefaultParagraphFont"/>
    <w:uiPriority w:val="99"/>
    <w:semiHidden/>
    <w:unhideWhenUsed/>
    <w:rsid w:val="00FF1480"/>
    <w:rPr>
      <w:vertAlign w:val="superscript"/>
    </w:rPr>
  </w:style>
  <w:style w:type="character" w:styleId="Hyperlink">
    <w:name w:val="Hyperlink"/>
    <w:basedOn w:val="DefaultParagraphFont"/>
    <w:uiPriority w:val="99"/>
    <w:unhideWhenUsed/>
    <w:rsid w:val="00F33C96"/>
    <w:rPr>
      <w:color w:val="0563C1" w:themeColor="hyperlink"/>
      <w:u w:val="single"/>
    </w:rPr>
  </w:style>
  <w:style w:type="character" w:styleId="UnresolvedMention">
    <w:name w:val="Unresolved Mention"/>
    <w:basedOn w:val="DefaultParagraphFont"/>
    <w:uiPriority w:val="99"/>
    <w:semiHidden/>
    <w:unhideWhenUsed/>
    <w:rsid w:val="00F33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chon-mamre.org/p/pt/pt0102.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www.mechon-mamre.org/p/pt/pt0102.htm" TargetMode="External"/><Relationship Id="rId1" Type="http://schemas.openxmlformats.org/officeDocument/2006/relationships/hyperlink" Target="https://margmowczko.com/human-man-woman-genesi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2D77B-9D23-451D-89BB-2DCB046B8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4</Pages>
  <Words>1284</Words>
  <Characters>7320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Stewart</dc:creator>
  <cp:keywords/>
  <dc:description/>
  <cp:lastModifiedBy>Hannah Stewart</cp:lastModifiedBy>
  <cp:revision>6</cp:revision>
  <dcterms:created xsi:type="dcterms:W3CDTF">2026-04-01T21:44:00Z</dcterms:created>
  <dcterms:modified xsi:type="dcterms:W3CDTF">2026-04-01T22:40:00Z</dcterms:modified>
</cp:coreProperties>
</file>