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994B0" w14:textId="4ECFB68F" w:rsidR="002A0270" w:rsidRPr="002A0270" w:rsidRDefault="002A0270" w:rsidP="002A0270">
      <w:pPr>
        <w:jc w:val="center"/>
        <w:rPr>
          <w:rFonts w:ascii="Arial" w:hAnsi="Arial" w:cs="Arial"/>
          <w:b/>
          <w:bCs/>
          <w:noProof/>
          <w:sz w:val="48"/>
          <w:szCs w:val="48"/>
        </w:rPr>
      </w:pPr>
      <w:r w:rsidRPr="002A0270">
        <w:rPr>
          <w:rFonts w:ascii="Arial" w:hAnsi="Arial" w:cs="Arial"/>
          <w:b/>
          <w:bCs/>
          <w:noProof/>
          <w:sz w:val="48"/>
          <w:szCs w:val="48"/>
        </w:rPr>
        <w:t>University of Wales Trinity Saint David</w:t>
      </w:r>
    </w:p>
    <w:p w14:paraId="2F352D8E" w14:textId="77777777" w:rsidR="002A0270" w:rsidRDefault="002A0270">
      <w:pPr>
        <w:rPr>
          <w:noProof/>
        </w:rPr>
      </w:pPr>
    </w:p>
    <w:p w14:paraId="461A13B6" w14:textId="395E150E" w:rsidR="00684B80" w:rsidRDefault="002A0270">
      <w:r>
        <w:rPr>
          <w:noProof/>
        </w:rPr>
        <w:drawing>
          <wp:inline distT="0" distB="0" distL="0" distR="0" wp14:anchorId="59FBF80C" wp14:editId="04EA0578">
            <wp:extent cx="6600825" cy="2332355"/>
            <wp:effectExtent l="0" t="0" r="0" b="0"/>
            <wp:docPr id="1" name="Picture 1" descr="A large building with a fountain in front of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arge building with a fountain in front of i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6600825" cy="2332355"/>
                    </a:xfrm>
                    <a:prstGeom prst="rect">
                      <a:avLst/>
                    </a:prstGeom>
                  </pic:spPr>
                </pic:pic>
              </a:graphicData>
            </a:graphic>
          </wp:inline>
        </w:drawing>
      </w:r>
    </w:p>
    <w:p w14:paraId="695A829D" w14:textId="5051BAA5" w:rsidR="002A0270" w:rsidRDefault="002A0270"/>
    <w:p w14:paraId="7E3E59BB" w14:textId="77777777" w:rsidR="002A0270" w:rsidRDefault="002A0270"/>
    <w:p w14:paraId="45DEF0D8" w14:textId="77777777" w:rsidR="002A0270" w:rsidRDefault="002A0270" w:rsidP="002A0270">
      <w:pPr>
        <w:rPr>
          <w:rFonts w:ascii="Arial" w:hAnsi="Arial" w:cs="Arial"/>
          <w:b/>
          <w:bCs/>
          <w:sz w:val="36"/>
          <w:szCs w:val="36"/>
        </w:rPr>
      </w:pPr>
    </w:p>
    <w:p w14:paraId="4F547538" w14:textId="23BEAF3D" w:rsidR="002A0270" w:rsidRPr="002A0270" w:rsidRDefault="002A0270" w:rsidP="002A0270">
      <w:pPr>
        <w:rPr>
          <w:rFonts w:ascii="Arial" w:hAnsi="Arial" w:cs="Arial"/>
          <w:b/>
          <w:bCs/>
          <w:sz w:val="36"/>
          <w:szCs w:val="36"/>
        </w:rPr>
      </w:pPr>
      <w:r w:rsidRPr="002A0270">
        <w:rPr>
          <w:rFonts w:ascii="Arial" w:hAnsi="Arial" w:cs="Arial"/>
          <w:b/>
          <w:bCs/>
          <w:sz w:val="36"/>
          <w:szCs w:val="36"/>
        </w:rPr>
        <w:t xml:space="preserve">Module Name: Introduction to </w:t>
      </w:r>
      <w:r w:rsidR="00B64894">
        <w:rPr>
          <w:rFonts w:ascii="Arial" w:hAnsi="Arial" w:cs="Arial"/>
          <w:b/>
          <w:bCs/>
          <w:sz w:val="36"/>
          <w:szCs w:val="36"/>
        </w:rPr>
        <w:t>Public Health</w:t>
      </w:r>
      <w:r>
        <w:rPr>
          <w:rFonts w:ascii="Arial" w:hAnsi="Arial" w:cs="Arial"/>
          <w:b/>
          <w:bCs/>
          <w:sz w:val="36"/>
          <w:szCs w:val="36"/>
        </w:rPr>
        <w:t xml:space="preserve">                        </w:t>
      </w:r>
    </w:p>
    <w:p w14:paraId="078B0116" w14:textId="1A2212CB" w:rsidR="002A0270" w:rsidRPr="002A0270" w:rsidRDefault="002A0270">
      <w:pPr>
        <w:rPr>
          <w:rFonts w:ascii="Arial" w:hAnsi="Arial" w:cs="Arial"/>
          <w:b/>
          <w:bCs/>
          <w:sz w:val="36"/>
          <w:szCs w:val="36"/>
        </w:rPr>
      </w:pPr>
      <w:r w:rsidRPr="002A0270">
        <w:rPr>
          <w:rFonts w:ascii="Arial" w:hAnsi="Arial" w:cs="Arial"/>
          <w:b/>
          <w:bCs/>
          <w:sz w:val="36"/>
          <w:szCs w:val="36"/>
        </w:rPr>
        <w:t>Module Code:</w:t>
      </w:r>
      <w:r>
        <w:rPr>
          <w:rFonts w:ascii="Arial" w:hAnsi="Arial" w:cs="Arial"/>
          <w:b/>
          <w:bCs/>
          <w:sz w:val="36"/>
          <w:szCs w:val="36"/>
        </w:rPr>
        <w:t xml:space="preserve"> LCHS400</w:t>
      </w:r>
      <w:r w:rsidR="00B64894">
        <w:rPr>
          <w:rFonts w:ascii="Arial" w:hAnsi="Arial" w:cs="Arial"/>
          <w:b/>
          <w:bCs/>
          <w:sz w:val="36"/>
          <w:szCs w:val="36"/>
        </w:rPr>
        <w:t>4</w:t>
      </w:r>
    </w:p>
    <w:p w14:paraId="6A721E36" w14:textId="1AEA9AFF" w:rsidR="002A0270" w:rsidRPr="002A0270" w:rsidRDefault="002A0270">
      <w:pPr>
        <w:rPr>
          <w:rFonts w:ascii="Arial" w:hAnsi="Arial" w:cs="Arial"/>
          <w:b/>
          <w:bCs/>
          <w:sz w:val="36"/>
          <w:szCs w:val="36"/>
        </w:rPr>
      </w:pPr>
      <w:r w:rsidRPr="002A0270">
        <w:rPr>
          <w:rFonts w:ascii="Arial" w:hAnsi="Arial" w:cs="Arial"/>
          <w:b/>
          <w:bCs/>
          <w:sz w:val="36"/>
          <w:szCs w:val="36"/>
        </w:rPr>
        <w:t>Student Name: Sylwia Jarocka</w:t>
      </w:r>
    </w:p>
    <w:p w14:paraId="17F2C529" w14:textId="4CA090A2" w:rsidR="002A0270" w:rsidRPr="002A0270" w:rsidRDefault="002A0270">
      <w:pPr>
        <w:rPr>
          <w:rFonts w:ascii="Arial" w:hAnsi="Arial" w:cs="Arial"/>
          <w:b/>
          <w:bCs/>
          <w:sz w:val="36"/>
          <w:szCs w:val="36"/>
        </w:rPr>
      </w:pPr>
      <w:r w:rsidRPr="002A0270">
        <w:rPr>
          <w:rFonts w:ascii="Arial" w:hAnsi="Arial" w:cs="Arial"/>
          <w:b/>
          <w:bCs/>
          <w:sz w:val="36"/>
          <w:szCs w:val="36"/>
        </w:rPr>
        <w:t>Student ID: 2130204</w:t>
      </w:r>
    </w:p>
    <w:p w14:paraId="55F2C30B" w14:textId="1DCFF93E" w:rsidR="002A0270" w:rsidRDefault="002A0270">
      <w:pPr>
        <w:rPr>
          <w:rFonts w:ascii="Arial" w:hAnsi="Arial" w:cs="Arial"/>
          <w:b/>
          <w:bCs/>
          <w:sz w:val="36"/>
          <w:szCs w:val="36"/>
        </w:rPr>
      </w:pPr>
      <w:r w:rsidRPr="002A0270">
        <w:rPr>
          <w:rFonts w:ascii="Arial" w:hAnsi="Arial" w:cs="Arial"/>
          <w:b/>
          <w:bCs/>
          <w:sz w:val="36"/>
          <w:szCs w:val="36"/>
        </w:rPr>
        <w:t xml:space="preserve">Lecturer: </w:t>
      </w:r>
      <w:r w:rsidR="00B64894">
        <w:rPr>
          <w:rFonts w:ascii="Arial" w:hAnsi="Arial" w:cs="Arial"/>
          <w:b/>
          <w:bCs/>
          <w:sz w:val="36"/>
          <w:szCs w:val="36"/>
        </w:rPr>
        <w:t>Laila Surani</w:t>
      </w:r>
    </w:p>
    <w:p w14:paraId="4E9989A1" w14:textId="358381D7" w:rsidR="00A13762" w:rsidRDefault="00A13762">
      <w:pPr>
        <w:rPr>
          <w:rFonts w:ascii="Arial" w:hAnsi="Arial" w:cs="Arial"/>
          <w:b/>
          <w:bCs/>
          <w:sz w:val="36"/>
          <w:szCs w:val="36"/>
        </w:rPr>
      </w:pPr>
    </w:p>
    <w:p w14:paraId="1118D5C6" w14:textId="00CDB70B" w:rsidR="00A13762" w:rsidRDefault="00A13762">
      <w:pPr>
        <w:rPr>
          <w:rFonts w:ascii="Arial" w:hAnsi="Arial" w:cs="Arial"/>
          <w:b/>
          <w:bCs/>
          <w:sz w:val="36"/>
          <w:szCs w:val="36"/>
        </w:rPr>
      </w:pPr>
    </w:p>
    <w:p w14:paraId="6EF3D79E" w14:textId="1BA3B233" w:rsidR="00A13762" w:rsidRDefault="00A13762">
      <w:pPr>
        <w:rPr>
          <w:rFonts w:ascii="Arial" w:hAnsi="Arial" w:cs="Arial"/>
          <w:b/>
          <w:bCs/>
          <w:sz w:val="36"/>
          <w:szCs w:val="36"/>
        </w:rPr>
      </w:pPr>
    </w:p>
    <w:p w14:paraId="71F81FD2" w14:textId="56E9BE90" w:rsidR="00A13762" w:rsidRDefault="00A13762">
      <w:pPr>
        <w:rPr>
          <w:rFonts w:ascii="Arial" w:hAnsi="Arial" w:cs="Arial"/>
          <w:b/>
          <w:bCs/>
          <w:sz w:val="36"/>
          <w:szCs w:val="36"/>
        </w:rPr>
      </w:pPr>
    </w:p>
    <w:p w14:paraId="60407D24" w14:textId="250DBE53" w:rsidR="00A13762" w:rsidRDefault="00A13762">
      <w:pPr>
        <w:rPr>
          <w:rFonts w:ascii="Arial" w:hAnsi="Arial" w:cs="Arial"/>
          <w:b/>
          <w:bCs/>
          <w:sz w:val="36"/>
          <w:szCs w:val="36"/>
        </w:rPr>
      </w:pPr>
    </w:p>
    <w:p w14:paraId="1B4B2D61" w14:textId="2E1890B2" w:rsidR="00A13762" w:rsidRDefault="00A13762">
      <w:pPr>
        <w:rPr>
          <w:rFonts w:ascii="Arial" w:hAnsi="Arial" w:cs="Arial"/>
          <w:b/>
          <w:bCs/>
          <w:sz w:val="36"/>
          <w:szCs w:val="36"/>
        </w:rPr>
      </w:pPr>
    </w:p>
    <w:p w14:paraId="7F73C7D0" w14:textId="17C57DE3" w:rsidR="00A13762" w:rsidRDefault="00A13762">
      <w:pPr>
        <w:rPr>
          <w:rFonts w:ascii="Arial" w:hAnsi="Arial" w:cs="Arial"/>
          <w:b/>
          <w:bCs/>
          <w:sz w:val="36"/>
          <w:szCs w:val="36"/>
        </w:rPr>
      </w:pPr>
    </w:p>
    <w:p w14:paraId="0E7B22BE" w14:textId="24F08C1F" w:rsidR="00A13762" w:rsidRDefault="00A13762">
      <w:pPr>
        <w:rPr>
          <w:rFonts w:ascii="Arial" w:hAnsi="Arial" w:cs="Arial"/>
          <w:b/>
          <w:bCs/>
          <w:sz w:val="36"/>
          <w:szCs w:val="36"/>
        </w:rPr>
      </w:pPr>
    </w:p>
    <w:p w14:paraId="3B3C4479" w14:textId="121BAD2D" w:rsidR="00A13762" w:rsidRDefault="00A13762">
      <w:pPr>
        <w:rPr>
          <w:rFonts w:ascii="Arial" w:hAnsi="Arial" w:cs="Arial"/>
          <w:b/>
          <w:bCs/>
          <w:sz w:val="36"/>
          <w:szCs w:val="36"/>
        </w:rPr>
      </w:pPr>
    </w:p>
    <w:p w14:paraId="4ACF5B4F" w14:textId="0FEEB5E0" w:rsidR="00A13762" w:rsidRDefault="00A13762">
      <w:pPr>
        <w:rPr>
          <w:rFonts w:ascii="Arial" w:hAnsi="Arial" w:cs="Arial"/>
          <w:b/>
          <w:bCs/>
          <w:sz w:val="36"/>
          <w:szCs w:val="36"/>
        </w:rPr>
      </w:pPr>
    </w:p>
    <w:sdt>
      <w:sdtPr>
        <w:rPr>
          <w:rFonts w:ascii="Arial" w:hAnsi="Arial" w:cs="Arial"/>
          <w:sz w:val="22"/>
          <w:szCs w:val="22"/>
        </w:rPr>
        <w:id w:val="-1176877168"/>
        <w:docPartObj>
          <w:docPartGallery w:val="Table of Contents"/>
          <w:docPartUnique/>
        </w:docPartObj>
      </w:sdtPr>
      <w:sdtEndPr>
        <w:rPr>
          <w:rFonts w:eastAsiaTheme="minorHAnsi"/>
          <w:b/>
          <w:bCs/>
          <w:color w:val="auto"/>
          <w:lang w:eastAsia="en-US"/>
        </w:rPr>
      </w:sdtEndPr>
      <w:sdtContent>
        <w:p w14:paraId="08883BE4" w14:textId="76FBF34D" w:rsidR="00A13762" w:rsidRPr="00A13762" w:rsidRDefault="00A13762" w:rsidP="00A13762">
          <w:pPr>
            <w:pStyle w:val="TOCHeading"/>
            <w:spacing w:line="360" w:lineRule="auto"/>
            <w:rPr>
              <w:rFonts w:ascii="Arial" w:hAnsi="Arial" w:cs="Arial"/>
              <w:sz w:val="22"/>
              <w:szCs w:val="22"/>
            </w:rPr>
          </w:pPr>
          <w:r w:rsidRPr="00A13762">
            <w:rPr>
              <w:rFonts w:ascii="Arial" w:hAnsi="Arial" w:cs="Arial"/>
              <w:sz w:val="22"/>
              <w:szCs w:val="22"/>
            </w:rPr>
            <w:t>Contents</w:t>
          </w:r>
        </w:p>
        <w:p w14:paraId="02E68BA2" w14:textId="710F95F3" w:rsidR="00A13762" w:rsidRPr="00A13762" w:rsidRDefault="00A13762" w:rsidP="00A13762">
          <w:pPr>
            <w:pStyle w:val="TOC1"/>
            <w:tabs>
              <w:tab w:val="right" w:leader="dot" w:pos="10456"/>
            </w:tabs>
            <w:spacing w:line="360" w:lineRule="auto"/>
            <w:rPr>
              <w:rFonts w:ascii="Arial" w:hAnsi="Arial" w:cs="Arial"/>
              <w:noProof/>
            </w:rPr>
          </w:pPr>
          <w:r w:rsidRPr="00A13762">
            <w:rPr>
              <w:rFonts w:ascii="Arial" w:hAnsi="Arial" w:cs="Arial"/>
            </w:rPr>
            <w:fldChar w:fldCharType="begin"/>
          </w:r>
          <w:r w:rsidRPr="00A13762">
            <w:rPr>
              <w:rFonts w:ascii="Arial" w:hAnsi="Arial" w:cs="Arial"/>
            </w:rPr>
            <w:instrText xml:space="preserve"> TOC \o "1-3" \h \z \u </w:instrText>
          </w:r>
          <w:r w:rsidRPr="00A13762">
            <w:rPr>
              <w:rFonts w:ascii="Arial" w:hAnsi="Arial" w:cs="Arial"/>
            </w:rPr>
            <w:fldChar w:fldCharType="separate"/>
          </w:r>
          <w:hyperlink w:anchor="_Toc123742917" w:history="1">
            <w:r w:rsidRPr="00A13762">
              <w:rPr>
                <w:rStyle w:val="Hyperlink"/>
                <w:rFonts w:ascii="Arial" w:hAnsi="Arial" w:cs="Arial"/>
                <w:noProof/>
              </w:rPr>
              <w:t>Introduction</w:t>
            </w:r>
            <w:r w:rsidRPr="00A13762">
              <w:rPr>
                <w:rFonts w:ascii="Arial" w:hAnsi="Arial" w:cs="Arial"/>
                <w:noProof/>
                <w:webHidden/>
              </w:rPr>
              <w:tab/>
            </w:r>
            <w:r w:rsidRPr="00A13762">
              <w:rPr>
                <w:rFonts w:ascii="Arial" w:hAnsi="Arial" w:cs="Arial"/>
                <w:noProof/>
                <w:webHidden/>
              </w:rPr>
              <w:fldChar w:fldCharType="begin"/>
            </w:r>
            <w:r w:rsidRPr="00A13762">
              <w:rPr>
                <w:rFonts w:ascii="Arial" w:hAnsi="Arial" w:cs="Arial"/>
                <w:noProof/>
                <w:webHidden/>
              </w:rPr>
              <w:instrText xml:space="preserve"> PAGEREF _Toc123742917 \h </w:instrText>
            </w:r>
            <w:r w:rsidRPr="00A13762">
              <w:rPr>
                <w:rFonts w:ascii="Arial" w:hAnsi="Arial" w:cs="Arial"/>
                <w:noProof/>
                <w:webHidden/>
              </w:rPr>
            </w:r>
            <w:r w:rsidRPr="00A13762">
              <w:rPr>
                <w:rFonts w:ascii="Arial" w:hAnsi="Arial" w:cs="Arial"/>
                <w:noProof/>
                <w:webHidden/>
              </w:rPr>
              <w:fldChar w:fldCharType="separate"/>
            </w:r>
            <w:r w:rsidR="00DE6E73">
              <w:rPr>
                <w:rFonts w:ascii="Arial" w:hAnsi="Arial" w:cs="Arial"/>
                <w:noProof/>
                <w:webHidden/>
              </w:rPr>
              <w:t>3</w:t>
            </w:r>
            <w:r w:rsidRPr="00A13762">
              <w:rPr>
                <w:rFonts w:ascii="Arial" w:hAnsi="Arial" w:cs="Arial"/>
                <w:noProof/>
                <w:webHidden/>
              </w:rPr>
              <w:fldChar w:fldCharType="end"/>
            </w:r>
          </w:hyperlink>
        </w:p>
        <w:p w14:paraId="61876CAA" w14:textId="6A8EA62C" w:rsidR="00A13762" w:rsidRPr="00A13762" w:rsidRDefault="00A13762" w:rsidP="00A13762">
          <w:pPr>
            <w:pStyle w:val="TOC1"/>
            <w:tabs>
              <w:tab w:val="right" w:leader="dot" w:pos="10456"/>
            </w:tabs>
            <w:spacing w:line="360" w:lineRule="auto"/>
            <w:rPr>
              <w:rFonts w:ascii="Arial" w:hAnsi="Arial" w:cs="Arial"/>
              <w:noProof/>
            </w:rPr>
          </w:pPr>
          <w:hyperlink w:anchor="_Toc123742918" w:history="1">
            <w:r w:rsidRPr="00A13762">
              <w:rPr>
                <w:rStyle w:val="Hyperlink"/>
                <w:rFonts w:ascii="Arial" w:hAnsi="Arial" w:cs="Arial"/>
                <w:noProof/>
              </w:rPr>
              <w:t>Strategies used in the UK to measure the incidence of Mumps</w:t>
            </w:r>
            <w:r w:rsidRPr="00A13762">
              <w:rPr>
                <w:rFonts w:ascii="Arial" w:hAnsi="Arial" w:cs="Arial"/>
                <w:noProof/>
                <w:webHidden/>
              </w:rPr>
              <w:tab/>
            </w:r>
            <w:r w:rsidRPr="00A13762">
              <w:rPr>
                <w:rFonts w:ascii="Arial" w:hAnsi="Arial" w:cs="Arial"/>
                <w:noProof/>
                <w:webHidden/>
              </w:rPr>
              <w:fldChar w:fldCharType="begin"/>
            </w:r>
            <w:r w:rsidRPr="00A13762">
              <w:rPr>
                <w:rFonts w:ascii="Arial" w:hAnsi="Arial" w:cs="Arial"/>
                <w:noProof/>
                <w:webHidden/>
              </w:rPr>
              <w:instrText xml:space="preserve"> PAGEREF _Toc123742918 \h </w:instrText>
            </w:r>
            <w:r w:rsidRPr="00A13762">
              <w:rPr>
                <w:rFonts w:ascii="Arial" w:hAnsi="Arial" w:cs="Arial"/>
                <w:noProof/>
                <w:webHidden/>
              </w:rPr>
            </w:r>
            <w:r w:rsidRPr="00A13762">
              <w:rPr>
                <w:rFonts w:ascii="Arial" w:hAnsi="Arial" w:cs="Arial"/>
                <w:noProof/>
                <w:webHidden/>
              </w:rPr>
              <w:fldChar w:fldCharType="separate"/>
            </w:r>
            <w:r w:rsidR="00DE6E73">
              <w:rPr>
                <w:rFonts w:ascii="Arial" w:hAnsi="Arial" w:cs="Arial"/>
                <w:noProof/>
                <w:webHidden/>
              </w:rPr>
              <w:t>3</w:t>
            </w:r>
            <w:r w:rsidRPr="00A13762">
              <w:rPr>
                <w:rFonts w:ascii="Arial" w:hAnsi="Arial" w:cs="Arial"/>
                <w:noProof/>
                <w:webHidden/>
              </w:rPr>
              <w:fldChar w:fldCharType="end"/>
            </w:r>
          </w:hyperlink>
        </w:p>
        <w:p w14:paraId="2360930C" w14:textId="2C4568A6" w:rsidR="00A13762" w:rsidRPr="00A13762" w:rsidRDefault="00A13762" w:rsidP="00A13762">
          <w:pPr>
            <w:pStyle w:val="TOC1"/>
            <w:tabs>
              <w:tab w:val="right" w:leader="dot" w:pos="10456"/>
            </w:tabs>
            <w:spacing w:line="360" w:lineRule="auto"/>
            <w:rPr>
              <w:rFonts w:ascii="Arial" w:hAnsi="Arial" w:cs="Arial"/>
              <w:noProof/>
            </w:rPr>
          </w:pPr>
          <w:hyperlink w:anchor="_Toc123742919" w:history="1">
            <w:r w:rsidRPr="00A13762">
              <w:rPr>
                <w:rStyle w:val="Hyperlink"/>
                <w:rFonts w:ascii="Arial" w:hAnsi="Arial" w:cs="Arial"/>
                <w:noProof/>
              </w:rPr>
              <w:t>Strategies used in the UK to monitor the incidence of Mumps</w:t>
            </w:r>
            <w:r w:rsidRPr="00A13762">
              <w:rPr>
                <w:rFonts w:ascii="Arial" w:hAnsi="Arial" w:cs="Arial"/>
                <w:noProof/>
                <w:webHidden/>
              </w:rPr>
              <w:tab/>
            </w:r>
            <w:r w:rsidRPr="00A13762">
              <w:rPr>
                <w:rFonts w:ascii="Arial" w:hAnsi="Arial" w:cs="Arial"/>
                <w:noProof/>
                <w:webHidden/>
              </w:rPr>
              <w:fldChar w:fldCharType="begin"/>
            </w:r>
            <w:r w:rsidRPr="00A13762">
              <w:rPr>
                <w:rFonts w:ascii="Arial" w:hAnsi="Arial" w:cs="Arial"/>
                <w:noProof/>
                <w:webHidden/>
              </w:rPr>
              <w:instrText xml:space="preserve"> PAGEREF _Toc123742919 \h </w:instrText>
            </w:r>
            <w:r w:rsidRPr="00A13762">
              <w:rPr>
                <w:rFonts w:ascii="Arial" w:hAnsi="Arial" w:cs="Arial"/>
                <w:noProof/>
                <w:webHidden/>
              </w:rPr>
            </w:r>
            <w:r w:rsidRPr="00A13762">
              <w:rPr>
                <w:rFonts w:ascii="Arial" w:hAnsi="Arial" w:cs="Arial"/>
                <w:noProof/>
                <w:webHidden/>
              </w:rPr>
              <w:fldChar w:fldCharType="separate"/>
            </w:r>
            <w:r w:rsidR="00DE6E73">
              <w:rPr>
                <w:rFonts w:ascii="Arial" w:hAnsi="Arial" w:cs="Arial"/>
                <w:noProof/>
                <w:webHidden/>
              </w:rPr>
              <w:t>3</w:t>
            </w:r>
            <w:r w:rsidRPr="00A13762">
              <w:rPr>
                <w:rFonts w:ascii="Arial" w:hAnsi="Arial" w:cs="Arial"/>
                <w:noProof/>
                <w:webHidden/>
              </w:rPr>
              <w:fldChar w:fldCharType="end"/>
            </w:r>
          </w:hyperlink>
        </w:p>
        <w:p w14:paraId="4AF6034F" w14:textId="270335A3" w:rsidR="00A13762" w:rsidRPr="00A13762" w:rsidRDefault="00A13762" w:rsidP="00A13762">
          <w:pPr>
            <w:pStyle w:val="TOC1"/>
            <w:tabs>
              <w:tab w:val="right" w:leader="dot" w:pos="10456"/>
            </w:tabs>
            <w:spacing w:line="360" w:lineRule="auto"/>
            <w:rPr>
              <w:rFonts w:ascii="Arial" w:hAnsi="Arial" w:cs="Arial"/>
              <w:noProof/>
            </w:rPr>
          </w:pPr>
          <w:hyperlink w:anchor="_Toc123742920" w:history="1">
            <w:r w:rsidRPr="00A13762">
              <w:rPr>
                <w:rStyle w:val="Hyperlink"/>
                <w:rFonts w:ascii="Arial" w:hAnsi="Arial" w:cs="Arial"/>
                <w:noProof/>
              </w:rPr>
              <w:t>Strategies used in the UK to control the incidence of the disease</w:t>
            </w:r>
            <w:r w:rsidRPr="00A13762">
              <w:rPr>
                <w:rFonts w:ascii="Arial" w:hAnsi="Arial" w:cs="Arial"/>
                <w:noProof/>
                <w:webHidden/>
              </w:rPr>
              <w:tab/>
            </w:r>
            <w:r w:rsidRPr="00A13762">
              <w:rPr>
                <w:rFonts w:ascii="Arial" w:hAnsi="Arial" w:cs="Arial"/>
                <w:noProof/>
                <w:webHidden/>
              </w:rPr>
              <w:fldChar w:fldCharType="begin"/>
            </w:r>
            <w:r w:rsidRPr="00A13762">
              <w:rPr>
                <w:rFonts w:ascii="Arial" w:hAnsi="Arial" w:cs="Arial"/>
                <w:noProof/>
                <w:webHidden/>
              </w:rPr>
              <w:instrText xml:space="preserve"> PAGEREF _Toc123742920 \h </w:instrText>
            </w:r>
            <w:r w:rsidRPr="00A13762">
              <w:rPr>
                <w:rFonts w:ascii="Arial" w:hAnsi="Arial" w:cs="Arial"/>
                <w:noProof/>
                <w:webHidden/>
              </w:rPr>
            </w:r>
            <w:r w:rsidRPr="00A13762">
              <w:rPr>
                <w:rFonts w:ascii="Arial" w:hAnsi="Arial" w:cs="Arial"/>
                <w:noProof/>
                <w:webHidden/>
              </w:rPr>
              <w:fldChar w:fldCharType="separate"/>
            </w:r>
            <w:r w:rsidR="00DE6E73">
              <w:rPr>
                <w:rFonts w:ascii="Arial" w:hAnsi="Arial" w:cs="Arial"/>
                <w:noProof/>
                <w:webHidden/>
              </w:rPr>
              <w:t>4</w:t>
            </w:r>
            <w:r w:rsidRPr="00A13762">
              <w:rPr>
                <w:rFonts w:ascii="Arial" w:hAnsi="Arial" w:cs="Arial"/>
                <w:noProof/>
                <w:webHidden/>
              </w:rPr>
              <w:fldChar w:fldCharType="end"/>
            </w:r>
          </w:hyperlink>
        </w:p>
        <w:p w14:paraId="5AE9C045" w14:textId="07037E37" w:rsidR="00A13762" w:rsidRPr="00A13762" w:rsidRDefault="00A13762" w:rsidP="00A13762">
          <w:pPr>
            <w:pStyle w:val="TOC1"/>
            <w:tabs>
              <w:tab w:val="right" w:leader="dot" w:pos="10456"/>
            </w:tabs>
            <w:spacing w:line="360" w:lineRule="auto"/>
            <w:rPr>
              <w:rFonts w:ascii="Arial" w:hAnsi="Arial" w:cs="Arial"/>
              <w:noProof/>
            </w:rPr>
          </w:pPr>
          <w:hyperlink w:anchor="_Toc123742921" w:history="1">
            <w:r w:rsidRPr="00A13762">
              <w:rPr>
                <w:rStyle w:val="Hyperlink"/>
                <w:rFonts w:ascii="Arial" w:hAnsi="Arial" w:cs="Arial"/>
                <w:noProof/>
              </w:rPr>
              <w:t>Conclusion</w:t>
            </w:r>
            <w:r w:rsidRPr="00A13762">
              <w:rPr>
                <w:rFonts w:ascii="Arial" w:hAnsi="Arial" w:cs="Arial"/>
                <w:noProof/>
                <w:webHidden/>
              </w:rPr>
              <w:tab/>
            </w:r>
            <w:r w:rsidRPr="00A13762">
              <w:rPr>
                <w:rFonts w:ascii="Arial" w:hAnsi="Arial" w:cs="Arial"/>
                <w:noProof/>
                <w:webHidden/>
              </w:rPr>
              <w:fldChar w:fldCharType="begin"/>
            </w:r>
            <w:r w:rsidRPr="00A13762">
              <w:rPr>
                <w:rFonts w:ascii="Arial" w:hAnsi="Arial" w:cs="Arial"/>
                <w:noProof/>
                <w:webHidden/>
              </w:rPr>
              <w:instrText xml:space="preserve"> PAGEREF _Toc123742921 \h </w:instrText>
            </w:r>
            <w:r w:rsidRPr="00A13762">
              <w:rPr>
                <w:rFonts w:ascii="Arial" w:hAnsi="Arial" w:cs="Arial"/>
                <w:noProof/>
                <w:webHidden/>
              </w:rPr>
            </w:r>
            <w:r w:rsidRPr="00A13762">
              <w:rPr>
                <w:rFonts w:ascii="Arial" w:hAnsi="Arial" w:cs="Arial"/>
                <w:noProof/>
                <w:webHidden/>
              </w:rPr>
              <w:fldChar w:fldCharType="separate"/>
            </w:r>
            <w:r w:rsidR="00DE6E73">
              <w:rPr>
                <w:rFonts w:ascii="Arial" w:hAnsi="Arial" w:cs="Arial"/>
                <w:noProof/>
                <w:webHidden/>
              </w:rPr>
              <w:t>4</w:t>
            </w:r>
            <w:r w:rsidRPr="00A13762">
              <w:rPr>
                <w:rFonts w:ascii="Arial" w:hAnsi="Arial" w:cs="Arial"/>
                <w:noProof/>
                <w:webHidden/>
              </w:rPr>
              <w:fldChar w:fldCharType="end"/>
            </w:r>
          </w:hyperlink>
        </w:p>
        <w:p w14:paraId="5481F759" w14:textId="25BC8FBF" w:rsidR="00A13762" w:rsidRPr="00A13762" w:rsidRDefault="00A13762" w:rsidP="00A13762">
          <w:pPr>
            <w:pStyle w:val="TOC1"/>
            <w:tabs>
              <w:tab w:val="right" w:leader="dot" w:pos="10456"/>
            </w:tabs>
            <w:spacing w:line="360" w:lineRule="auto"/>
            <w:rPr>
              <w:rFonts w:ascii="Arial" w:hAnsi="Arial" w:cs="Arial"/>
              <w:noProof/>
            </w:rPr>
          </w:pPr>
          <w:hyperlink w:anchor="_Toc123742922" w:history="1">
            <w:r w:rsidRPr="00A13762">
              <w:rPr>
                <w:rStyle w:val="Hyperlink"/>
                <w:rFonts w:ascii="Arial" w:hAnsi="Arial" w:cs="Arial"/>
                <w:noProof/>
              </w:rPr>
              <w:t>References</w:t>
            </w:r>
            <w:r w:rsidRPr="00A13762">
              <w:rPr>
                <w:rFonts w:ascii="Arial" w:hAnsi="Arial" w:cs="Arial"/>
                <w:noProof/>
                <w:webHidden/>
              </w:rPr>
              <w:tab/>
            </w:r>
            <w:r w:rsidRPr="00A13762">
              <w:rPr>
                <w:rFonts w:ascii="Arial" w:hAnsi="Arial" w:cs="Arial"/>
                <w:noProof/>
                <w:webHidden/>
              </w:rPr>
              <w:fldChar w:fldCharType="begin"/>
            </w:r>
            <w:r w:rsidRPr="00A13762">
              <w:rPr>
                <w:rFonts w:ascii="Arial" w:hAnsi="Arial" w:cs="Arial"/>
                <w:noProof/>
                <w:webHidden/>
              </w:rPr>
              <w:instrText xml:space="preserve"> PAGEREF _Toc123742922 \h </w:instrText>
            </w:r>
            <w:r w:rsidRPr="00A13762">
              <w:rPr>
                <w:rFonts w:ascii="Arial" w:hAnsi="Arial" w:cs="Arial"/>
                <w:noProof/>
                <w:webHidden/>
              </w:rPr>
            </w:r>
            <w:r w:rsidRPr="00A13762">
              <w:rPr>
                <w:rFonts w:ascii="Arial" w:hAnsi="Arial" w:cs="Arial"/>
                <w:noProof/>
                <w:webHidden/>
              </w:rPr>
              <w:fldChar w:fldCharType="separate"/>
            </w:r>
            <w:r w:rsidR="00DE6E73">
              <w:rPr>
                <w:rFonts w:ascii="Arial" w:hAnsi="Arial" w:cs="Arial"/>
                <w:noProof/>
                <w:webHidden/>
              </w:rPr>
              <w:t>5</w:t>
            </w:r>
            <w:r w:rsidRPr="00A13762">
              <w:rPr>
                <w:rFonts w:ascii="Arial" w:hAnsi="Arial" w:cs="Arial"/>
                <w:noProof/>
                <w:webHidden/>
              </w:rPr>
              <w:fldChar w:fldCharType="end"/>
            </w:r>
          </w:hyperlink>
        </w:p>
        <w:p w14:paraId="6D6E49DB" w14:textId="01460A0B" w:rsidR="00A13762" w:rsidRPr="00A13762" w:rsidRDefault="00A13762" w:rsidP="00A13762">
          <w:pPr>
            <w:spacing w:line="360" w:lineRule="auto"/>
            <w:rPr>
              <w:rFonts w:ascii="Arial" w:hAnsi="Arial" w:cs="Arial"/>
            </w:rPr>
          </w:pPr>
          <w:r w:rsidRPr="00A13762">
            <w:rPr>
              <w:rFonts w:ascii="Arial" w:hAnsi="Arial" w:cs="Arial"/>
              <w:b/>
              <w:bCs/>
            </w:rPr>
            <w:fldChar w:fldCharType="end"/>
          </w:r>
        </w:p>
      </w:sdtContent>
    </w:sdt>
    <w:p w14:paraId="53C4137D" w14:textId="242C7655" w:rsidR="00A13762" w:rsidRPr="00A13762" w:rsidRDefault="00A13762" w:rsidP="00A13762">
      <w:pPr>
        <w:spacing w:line="360" w:lineRule="auto"/>
        <w:rPr>
          <w:rFonts w:ascii="Arial" w:hAnsi="Arial" w:cs="Arial"/>
          <w:b/>
          <w:bCs/>
        </w:rPr>
      </w:pPr>
    </w:p>
    <w:p w14:paraId="58C45F23" w14:textId="0082ADC4" w:rsidR="00A13762" w:rsidRPr="00A13762" w:rsidRDefault="00A13762" w:rsidP="00A13762">
      <w:pPr>
        <w:spacing w:line="360" w:lineRule="auto"/>
        <w:rPr>
          <w:rFonts w:ascii="Arial" w:hAnsi="Arial" w:cs="Arial"/>
          <w:b/>
          <w:bCs/>
        </w:rPr>
      </w:pPr>
    </w:p>
    <w:p w14:paraId="3050E8D5" w14:textId="2B0108CD" w:rsidR="00A13762" w:rsidRPr="00A13762" w:rsidRDefault="00A13762" w:rsidP="00A13762">
      <w:pPr>
        <w:spacing w:line="360" w:lineRule="auto"/>
        <w:rPr>
          <w:rFonts w:ascii="Arial" w:hAnsi="Arial" w:cs="Arial"/>
          <w:b/>
          <w:bCs/>
        </w:rPr>
      </w:pPr>
    </w:p>
    <w:p w14:paraId="61BB6225" w14:textId="6CB11A71" w:rsidR="00A13762" w:rsidRPr="00A13762" w:rsidRDefault="00A13762" w:rsidP="00A13762">
      <w:pPr>
        <w:spacing w:line="360" w:lineRule="auto"/>
        <w:rPr>
          <w:rFonts w:ascii="Arial" w:hAnsi="Arial" w:cs="Arial"/>
          <w:b/>
          <w:bCs/>
        </w:rPr>
      </w:pPr>
    </w:p>
    <w:p w14:paraId="61503FE9" w14:textId="5EB0A5FC" w:rsidR="00A13762" w:rsidRPr="00A13762" w:rsidRDefault="00A13762" w:rsidP="00A13762">
      <w:pPr>
        <w:spacing w:line="360" w:lineRule="auto"/>
        <w:rPr>
          <w:rFonts w:ascii="Arial" w:hAnsi="Arial" w:cs="Arial"/>
          <w:b/>
          <w:bCs/>
        </w:rPr>
      </w:pPr>
    </w:p>
    <w:p w14:paraId="39DC944E" w14:textId="5E32536B" w:rsidR="00A13762" w:rsidRPr="00A13762" w:rsidRDefault="00A13762" w:rsidP="00A13762">
      <w:pPr>
        <w:spacing w:line="360" w:lineRule="auto"/>
        <w:rPr>
          <w:rFonts w:ascii="Arial" w:hAnsi="Arial" w:cs="Arial"/>
          <w:b/>
          <w:bCs/>
        </w:rPr>
      </w:pPr>
    </w:p>
    <w:p w14:paraId="4BB71CF7" w14:textId="4ADF1B8D" w:rsidR="00A13762" w:rsidRPr="00A13762" w:rsidRDefault="00A13762" w:rsidP="00A13762">
      <w:pPr>
        <w:spacing w:line="360" w:lineRule="auto"/>
        <w:rPr>
          <w:rFonts w:ascii="Arial" w:hAnsi="Arial" w:cs="Arial"/>
          <w:b/>
          <w:bCs/>
        </w:rPr>
      </w:pPr>
    </w:p>
    <w:p w14:paraId="6C30D8AC" w14:textId="28F52044" w:rsidR="00A13762" w:rsidRPr="00A13762" w:rsidRDefault="00A13762" w:rsidP="00A13762">
      <w:pPr>
        <w:spacing w:line="360" w:lineRule="auto"/>
        <w:rPr>
          <w:rFonts w:ascii="Arial" w:hAnsi="Arial" w:cs="Arial"/>
          <w:b/>
          <w:bCs/>
        </w:rPr>
      </w:pPr>
    </w:p>
    <w:p w14:paraId="5EE3AC30" w14:textId="5F51A552" w:rsidR="00A13762" w:rsidRPr="00A13762" w:rsidRDefault="00A13762" w:rsidP="00A13762">
      <w:pPr>
        <w:spacing w:line="360" w:lineRule="auto"/>
        <w:rPr>
          <w:rFonts w:ascii="Arial" w:hAnsi="Arial" w:cs="Arial"/>
          <w:b/>
          <w:bCs/>
        </w:rPr>
      </w:pPr>
    </w:p>
    <w:p w14:paraId="5A402C9B" w14:textId="6AFC0CC6" w:rsidR="00A13762" w:rsidRPr="00A13762" w:rsidRDefault="00A13762" w:rsidP="00A13762">
      <w:pPr>
        <w:spacing w:line="360" w:lineRule="auto"/>
        <w:rPr>
          <w:rFonts w:ascii="Arial" w:hAnsi="Arial" w:cs="Arial"/>
          <w:b/>
          <w:bCs/>
        </w:rPr>
      </w:pPr>
    </w:p>
    <w:p w14:paraId="6282F94B" w14:textId="55A2ABB4" w:rsidR="00A13762" w:rsidRPr="00A13762" w:rsidRDefault="00A13762" w:rsidP="00A13762">
      <w:pPr>
        <w:spacing w:line="360" w:lineRule="auto"/>
        <w:rPr>
          <w:rFonts w:ascii="Arial" w:hAnsi="Arial" w:cs="Arial"/>
          <w:b/>
          <w:bCs/>
        </w:rPr>
      </w:pPr>
    </w:p>
    <w:p w14:paraId="5CA20316" w14:textId="4E5D5602" w:rsidR="00A13762" w:rsidRPr="00A13762" w:rsidRDefault="00A13762" w:rsidP="00A13762">
      <w:pPr>
        <w:spacing w:line="360" w:lineRule="auto"/>
        <w:rPr>
          <w:rFonts w:ascii="Arial" w:hAnsi="Arial" w:cs="Arial"/>
          <w:b/>
          <w:bCs/>
        </w:rPr>
      </w:pPr>
    </w:p>
    <w:p w14:paraId="6DB95D98" w14:textId="7B488C5F" w:rsidR="00A13762" w:rsidRPr="00A13762" w:rsidRDefault="00A13762" w:rsidP="00A13762">
      <w:pPr>
        <w:spacing w:line="360" w:lineRule="auto"/>
        <w:rPr>
          <w:rFonts w:ascii="Arial" w:hAnsi="Arial" w:cs="Arial"/>
          <w:b/>
          <w:bCs/>
        </w:rPr>
      </w:pPr>
    </w:p>
    <w:p w14:paraId="293E17F7" w14:textId="4E2A3785" w:rsidR="00A13762" w:rsidRPr="00A13762" w:rsidRDefault="00A13762" w:rsidP="00A13762">
      <w:pPr>
        <w:spacing w:line="360" w:lineRule="auto"/>
        <w:rPr>
          <w:rFonts w:ascii="Arial" w:hAnsi="Arial" w:cs="Arial"/>
          <w:b/>
          <w:bCs/>
        </w:rPr>
      </w:pPr>
    </w:p>
    <w:p w14:paraId="44A0CC86" w14:textId="67D2F709" w:rsidR="00A13762" w:rsidRPr="00A13762" w:rsidRDefault="00A13762" w:rsidP="00A13762">
      <w:pPr>
        <w:spacing w:line="360" w:lineRule="auto"/>
        <w:rPr>
          <w:rFonts w:ascii="Arial" w:hAnsi="Arial" w:cs="Arial"/>
          <w:b/>
          <w:bCs/>
        </w:rPr>
      </w:pPr>
    </w:p>
    <w:p w14:paraId="235C039D" w14:textId="77777777" w:rsidR="00A13762" w:rsidRPr="00A13762" w:rsidRDefault="00A13762" w:rsidP="00A13762">
      <w:pPr>
        <w:spacing w:line="360" w:lineRule="auto"/>
        <w:rPr>
          <w:rFonts w:ascii="Arial" w:hAnsi="Arial" w:cs="Arial"/>
          <w:b/>
          <w:bCs/>
        </w:rPr>
      </w:pPr>
    </w:p>
    <w:p w14:paraId="3A47C2DB" w14:textId="6E0B17E8" w:rsidR="00A13762" w:rsidRPr="00A13762" w:rsidRDefault="00A13762" w:rsidP="00A13762">
      <w:pPr>
        <w:spacing w:line="360" w:lineRule="auto"/>
        <w:rPr>
          <w:rFonts w:ascii="Arial" w:hAnsi="Arial" w:cs="Arial"/>
          <w:b/>
          <w:bCs/>
        </w:rPr>
      </w:pPr>
    </w:p>
    <w:p w14:paraId="3AA12301" w14:textId="52C8C3CA" w:rsidR="00A13762" w:rsidRPr="00A13762" w:rsidRDefault="00A13762" w:rsidP="00A13762">
      <w:pPr>
        <w:spacing w:line="360" w:lineRule="auto"/>
        <w:rPr>
          <w:rFonts w:ascii="Arial" w:hAnsi="Arial" w:cs="Arial"/>
          <w:b/>
          <w:bCs/>
        </w:rPr>
      </w:pPr>
    </w:p>
    <w:p w14:paraId="7B0C01D5" w14:textId="16AF4656" w:rsidR="00A13762" w:rsidRPr="00A13762" w:rsidRDefault="00A13762" w:rsidP="00A13762">
      <w:pPr>
        <w:spacing w:line="360" w:lineRule="auto"/>
        <w:rPr>
          <w:rFonts w:ascii="Arial" w:hAnsi="Arial" w:cs="Arial"/>
          <w:b/>
          <w:bCs/>
        </w:rPr>
      </w:pPr>
    </w:p>
    <w:p w14:paraId="036BA78E" w14:textId="77777777" w:rsidR="00A13762" w:rsidRPr="00A13762" w:rsidRDefault="00A13762" w:rsidP="00A13762">
      <w:pPr>
        <w:pStyle w:val="Heading1"/>
        <w:spacing w:line="360" w:lineRule="auto"/>
        <w:rPr>
          <w:rFonts w:ascii="Arial" w:hAnsi="Arial" w:cs="Arial"/>
          <w:sz w:val="22"/>
          <w:szCs w:val="22"/>
        </w:rPr>
      </w:pPr>
      <w:bookmarkStart w:id="0" w:name="_Toc123742917"/>
      <w:r w:rsidRPr="00A13762">
        <w:rPr>
          <w:rFonts w:ascii="Arial" w:hAnsi="Arial" w:cs="Arial"/>
          <w:sz w:val="22"/>
          <w:szCs w:val="22"/>
        </w:rPr>
        <w:lastRenderedPageBreak/>
        <w:t>Introduction</w:t>
      </w:r>
      <w:bookmarkEnd w:id="0"/>
    </w:p>
    <w:p w14:paraId="5407B712" w14:textId="77777777" w:rsidR="00A13762" w:rsidRPr="00A13762" w:rsidRDefault="00A13762" w:rsidP="00A13762">
      <w:pPr>
        <w:shd w:val="clear" w:color="auto" w:fill="FFFFFF"/>
        <w:spacing w:after="0" w:line="360" w:lineRule="auto"/>
        <w:jc w:val="both"/>
        <w:rPr>
          <w:rFonts w:ascii="Arial" w:eastAsia="Times New Roman" w:hAnsi="Arial" w:cs="Arial"/>
          <w:lang w:eastAsia="en-GB"/>
        </w:rPr>
      </w:pPr>
      <w:r w:rsidRPr="00A13762">
        <w:rPr>
          <w:rFonts w:ascii="Arial" w:hAnsi="Arial" w:cs="Arial"/>
        </w:rPr>
        <w:t xml:space="preserve">This paper is aimed at exploring the major measures, to measure, monitor and control the incidence of mumps virus disease in the United Kingdom. The strategies used for measurement, monitoring, and controlling the disease will be critically evaluated. From the data available on the government page, we learn that the </w:t>
      </w:r>
      <w:r w:rsidRPr="00A13762">
        <w:rPr>
          <w:rFonts w:ascii="Arial" w:eastAsia="Times New Roman" w:hAnsi="Arial" w:cs="Arial"/>
          <w:lang w:eastAsia="en-GB"/>
        </w:rPr>
        <w:t>nationwide catch-up program to increase children’s and young people's uptake of the MMR vaccine launched in April 2013 by the Public Health England (now UK Health Security Agency (UKHSA)), NHS England, and the Ministry of Health was successful in the first few years. However, after reaching a minimum point in 2016, we are starting to see a constant increase in the number of confirmed cases of mumps. These tests were conducted by oral fluid (</w:t>
      </w:r>
      <w:r w:rsidRPr="00A13762">
        <w:rPr>
          <w:rFonts w:ascii="Arial" w:hAnsi="Arial" w:cs="Arial"/>
          <w:color w:val="222222"/>
          <w:shd w:val="clear" w:color="auto" w:fill="FFFFFF"/>
        </w:rPr>
        <w:t>Ramanathan et al, 2013)</w:t>
      </w:r>
      <w:r w:rsidRPr="00A13762">
        <w:rPr>
          <w:rFonts w:ascii="Arial" w:eastAsia="Times New Roman" w:hAnsi="Arial" w:cs="Arial"/>
          <w:lang w:eastAsia="en-GB"/>
        </w:rPr>
        <w:t xml:space="preserve">. </w:t>
      </w:r>
    </w:p>
    <w:p w14:paraId="73CFA49D" w14:textId="77777777" w:rsidR="00A13762" w:rsidRPr="00A13762" w:rsidRDefault="00A13762" w:rsidP="00A13762">
      <w:pPr>
        <w:pStyle w:val="Heading1"/>
        <w:spacing w:line="360" w:lineRule="auto"/>
        <w:rPr>
          <w:rFonts w:ascii="Arial" w:hAnsi="Arial" w:cs="Arial"/>
          <w:sz w:val="22"/>
          <w:szCs w:val="22"/>
        </w:rPr>
      </w:pPr>
      <w:bookmarkStart w:id="1" w:name="_Toc122176104"/>
      <w:bookmarkStart w:id="2" w:name="_Toc123742918"/>
      <w:r w:rsidRPr="00A13762">
        <w:rPr>
          <w:rFonts w:ascii="Arial" w:hAnsi="Arial" w:cs="Arial"/>
          <w:sz w:val="22"/>
          <w:szCs w:val="22"/>
        </w:rPr>
        <w:t>Strategies used in the UK to measure the incidence of Mumps</w:t>
      </w:r>
      <w:bookmarkEnd w:id="1"/>
      <w:bookmarkEnd w:id="2"/>
    </w:p>
    <w:p w14:paraId="7FEB17F0" w14:textId="77777777" w:rsidR="00A13762" w:rsidRPr="00A13762" w:rsidRDefault="00A13762" w:rsidP="00A13762">
      <w:pPr>
        <w:shd w:val="clear" w:color="auto" w:fill="FFFFFF"/>
        <w:spacing w:after="0" w:line="360" w:lineRule="auto"/>
        <w:jc w:val="both"/>
        <w:rPr>
          <w:rFonts w:ascii="Arial" w:eastAsia="Times New Roman" w:hAnsi="Arial" w:cs="Arial"/>
          <w:lang w:eastAsia="en-GB"/>
        </w:rPr>
      </w:pPr>
      <w:r w:rsidRPr="00A13762">
        <w:rPr>
          <w:rFonts w:ascii="Arial" w:eastAsia="Times New Roman" w:hAnsi="Arial" w:cs="Arial"/>
          <w:lang w:eastAsia="en-GB"/>
        </w:rPr>
        <w:t>I have used the data from 2013 until the first quarter of 2020, after that, the testing was disrupted because of the stress that the pandemic had caused. In the first quarter of 2020, there were a record eleven thousand one hundred and eighty-nine uncorrected notified cases, five thousand one hundred and twenty-three of which tested with a record number of two thousand five hundred and fifty-six cases confirmed. In order for a vaccination campaign to be successful, the health authorities set up a target of 95% of the population to be immunized (</w:t>
      </w:r>
      <w:r w:rsidRPr="00A13762">
        <w:rPr>
          <w:rFonts w:ascii="Arial" w:hAnsi="Arial" w:cs="Arial"/>
          <w:color w:val="222222"/>
          <w:shd w:val="clear" w:color="auto" w:fill="FFFFFF"/>
        </w:rPr>
        <w:t>Su et al, 2020)</w:t>
      </w:r>
      <w:r w:rsidRPr="00A13762">
        <w:rPr>
          <w:rFonts w:ascii="Arial" w:eastAsia="Times New Roman" w:hAnsi="Arial" w:cs="Arial"/>
          <w:lang w:eastAsia="en-GB"/>
        </w:rPr>
        <w:t>. As you can see from the second slide, this target was almost achieved but is still under the mark. This can be due to numerous numbers of factors, such as social media, disinformation campaigns, or the government not doing enough to convince the population. In conclusion, the government’s public health policies didn`t provide enough aid or lost momentum in dealing with the mumps outbreaks (</w:t>
      </w:r>
      <w:r w:rsidRPr="00A13762">
        <w:rPr>
          <w:rFonts w:ascii="Arial" w:hAnsi="Arial" w:cs="Arial"/>
          <w:color w:val="222222"/>
          <w:shd w:val="clear" w:color="auto" w:fill="FFFFFF"/>
        </w:rPr>
        <w:t>Hungerford et al, 2016)</w:t>
      </w:r>
      <w:r w:rsidRPr="00A13762">
        <w:rPr>
          <w:rFonts w:ascii="Arial" w:eastAsia="Times New Roman" w:hAnsi="Arial" w:cs="Arial"/>
          <w:lang w:eastAsia="en-GB"/>
        </w:rPr>
        <w:t xml:space="preserve">. </w:t>
      </w:r>
    </w:p>
    <w:p w14:paraId="79024A98" w14:textId="77777777" w:rsidR="00A13762" w:rsidRPr="00A13762" w:rsidRDefault="00A13762" w:rsidP="00A13762">
      <w:pPr>
        <w:shd w:val="clear" w:color="auto" w:fill="FFFFFF"/>
        <w:spacing w:after="0" w:line="360" w:lineRule="auto"/>
        <w:jc w:val="both"/>
        <w:rPr>
          <w:rFonts w:ascii="Arial" w:eastAsia="Times New Roman" w:hAnsi="Arial" w:cs="Arial"/>
          <w:lang w:eastAsia="en-GB"/>
        </w:rPr>
      </w:pPr>
      <w:r w:rsidRPr="00A13762">
        <w:rPr>
          <w:rFonts w:ascii="Arial" w:eastAsia="Times New Roman" w:hAnsi="Arial" w:cs="Arial"/>
          <w:lang w:eastAsia="en-GB"/>
        </w:rPr>
        <w:t>The investigation as well as a measurement of the incidence rate of mumps outbreak and prevalence in the United Kingdom is generally consisting of several steps from which some occurs in a parallel fashion with the specific guidance. The steps of incidence measurement are investigated as per the steps of exposure, prevalence and target region (</w:t>
      </w:r>
      <w:r w:rsidRPr="00A13762">
        <w:rPr>
          <w:rFonts w:ascii="Arial" w:hAnsi="Arial" w:cs="Arial"/>
          <w:color w:val="222222"/>
          <w:shd w:val="clear" w:color="auto" w:fill="FFFFFF"/>
        </w:rPr>
        <w:t>Ramanathan et al, 2013)</w:t>
      </w:r>
      <w:r w:rsidRPr="00A13762">
        <w:rPr>
          <w:rFonts w:ascii="Arial" w:eastAsia="Times New Roman" w:hAnsi="Arial" w:cs="Arial"/>
          <w:lang w:eastAsia="en-GB"/>
        </w:rPr>
        <w:t>. The use of mathematical in statistical analysis models of development of epidemiological data are employed by the government of the United Kingdom to assess the potential incidence of mumps. Some of the major strategies that are undertaken by the government of the United Kingdom to measure the incidence of mumps mainly include investigating the confirmed the suspected cases as well as identifying the group of the target population that has close contact with the patients of mumps (</w:t>
      </w:r>
      <w:r w:rsidRPr="00A13762">
        <w:rPr>
          <w:rFonts w:ascii="Arial" w:hAnsi="Arial" w:cs="Arial"/>
          <w:color w:val="222222"/>
          <w:shd w:val="clear" w:color="auto" w:fill="FFFFFF"/>
        </w:rPr>
        <w:t>Hungerford et al, 2016)</w:t>
      </w:r>
      <w:r w:rsidRPr="00A13762">
        <w:rPr>
          <w:rFonts w:ascii="Arial" w:eastAsia="Times New Roman" w:hAnsi="Arial" w:cs="Arial"/>
          <w:lang w:eastAsia="en-GB"/>
        </w:rPr>
        <w:t>. Oral fluid testing is one of the major strategies used in England from 2013 to 2022 by quarter to identify the incidence of mumps among different age groups (</w:t>
      </w:r>
      <w:r w:rsidRPr="00A13762">
        <w:rPr>
          <w:rFonts w:ascii="Arial" w:hAnsi="Arial" w:cs="Arial"/>
          <w:color w:val="222222"/>
          <w:shd w:val="clear" w:color="auto" w:fill="FFFFFF"/>
        </w:rPr>
        <w:t>Su et al, 2020)</w:t>
      </w:r>
      <w:r w:rsidRPr="00A13762">
        <w:rPr>
          <w:rFonts w:ascii="Arial" w:eastAsia="Times New Roman" w:hAnsi="Arial" w:cs="Arial"/>
          <w:lang w:eastAsia="en-GB"/>
        </w:rPr>
        <w:t>. The oral fluid testing is also identified as saliva testing which is a method to detect the presence of any targeted substance or pathogen in the oral fluid it is a very helpful and easy testing system to identify the presence of the mumps virus.</w:t>
      </w:r>
    </w:p>
    <w:p w14:paraId="67F4A586" w14:textId="77777777" w:rsidR="00A13762" w:rsidRPr="00A13762" w:rsidRDefault="00A13762" w:rsidP="00A13762">
      <w:pPr>
        <w:pStyle w:val="Heading1"/>
        <w:spacing w:line="360" w:lineRule="auto"/>
        <w:rPr>
          <w:rFonts w:ascii="Arial" w:hAnsi="Arial" w:cs="Arial"/>
          <w:sz w:val="22"/>
          <w:szCs w:val="22"/>
        </w:rPr>
      </w:pPr>
      <w:bookmarkStart w:id="3" w:name="_Toc122176105"/>
      <w:bookmarkStart w:id="4" w:name="_Toc123742919"/>
      <w:r w:rsidRPr="00A13762">
        <w:rPr>
          <w:rFonts w:ascii="Arial" w:hAnsi="Arial" w:cs="Arial"/>
          <w:sz w:val="22"/>
          <w:szCs w:val="22"/>
        </w:rPr>
        <w:t>Strategies used in the UK to monitor the incidence of Mumps</w:t>
      </w:r>
      <w:bookmarkEnd w:id="3"/>
      <w:bookmarkEnd w:id="4"/>
    </w:p>
    <w:p w14:paraId="2F7EECB5" w14:textId="77777777" w:rsidR="00A13762" w:rsidRPr="00A13762" w:rsidRDefault="00A13762" w:rsidP="00A13762">
      <w:pPr>
        <w:spacing w:line="360" w:lineRule="auto"/>
        <w:jc w:val="both"/>
        <w:rPr>
          <w:rFonts w:ascii="Arial" w:hAnsi="Arial" w:cs="Arial"/>
        </w:rPr>
      </w:pPr>
      <w:r w:rsidRPr="00A13762">
        <w:rPr>
          <w:rFonts w:ascii="Arial" w:hAnsi="Arial" w:cs="Arial"/>
        </w:rPr>
        <w:t xml:space="preserve">The monitoring of the data regarding the incidence and prevalence of the mumps outbreak in the United Kingdom is well-developed through research and practice. Easy identification of cases a thorough service is possible in the United Kingdom by developing free screening and oral fluid testing for targeted populations every quarter. The research evidence suggests thorough data on the same and helps in monitoring the incidence rates of mumps majorly among children and young individuals in the United </w:t>
      </w:r>
      <w:r w:rsidRPr="00A13762">
        <w:rPr>
          <w:rFonts w:ascii="Arial" w:hAnsi="Arial" w:cs="Arial"/>
        </w:rPr>
        <w:lastRenderedPageBreak/>
        <w:t>Kingdom (</w:t>
      </w:r>
      <w:r w:rsidRPr="00A13762">
        <w:rPr>
          <w:rFonts w:ascii="Arial" w:hAnsi="Arial" w:cs="Arial"/>
          <w:color w:val="222222"/>
          <w:shd w:val="clear" w:color="auto" w:fill="FFFFFF"/>
        </w:rPr>
        <w:t>Ramanathan et al, 2013)</w:t>
      </w:r>
      <w:r w:rsidRPr="00A13762">
        <w:rPr>
          <w:rFonts w:ascii="Arial" w:hAnsi="Arial" w:cs="Arial"/>
        </w:rPr>
        <w:t>. The National Health services in the United Kingdom is one of the major organisations that helps in surveying the coverage of research and evidence towards the outbreak and monitor the incidence rate of mumps for better coverage of vaccination and understanding of the root causes of such outbreaks.</w:t>
      </w:r>
    </w:p>
    <w:p w14:paraId="334BAC3A" w14:textId="77777777" w:rsidR="00A13762" w:rsidRPr="00A13762" w:rsidRDefault="00A13762" w:rsidP="00A13762">
      <w:pPr>
        <w:pStyle w:val="Heading1"/>
        <w:spacing w:line="360" w:lineRule="auto"/>
        <w:rPr>
          <w:rFonts w:ascii="Arial" w:hAnsi="Arial" w:cs="Arial"/>
          <w:sz w:val="22"/>
          <w:szCs w:val="22"/>
        </w:rPr>
      </w:pPr>
      <w:bookmarkStart w:id="5" w:name="_Toc122176106"/>
      <w:bookmarkStart w:id="6" w:name="_Toc123742920"/>
      <w:r w:rsidRPr="00A13762">
        <w:rPr>
          <w:rFonts w:ascii="Arial" w:hAnsi="Arial" w:cs="Arial"/>
          <w:sz w:val="22"/>
          <w:szCs w:val="22"/>
        </w:rPr>
        <w:t>Strategies used in the UK to control the incidence of the disease</w:t>
      </w:r>
      <w:bookmarkEnd w:id="5"/>
      <w:bookmarkEnd w:id="6"/>
      <w:r w:rsidRPr="00A13762">
        <w:rPr>
          <w:rFonts w:ascii="Arial" w:hAnsi="Arial" w:cs="Arial"/>
          <w:sz w:val="22"/>
          <w:szCs w:val="22"/>
        </w:rPr>
        <w:t xml:space="preserve"> </w:t>
      </w:r>
    </w:p>
    <w:p w14:paraId="791B0A0E" w14:textId="77777777" w:rsidR="00A13762" w:rsidRPr="00A13762" w:rsidRDefault="00A13762" w:rsidP="00A13762">
      <w:pPr>
        <w:spacing w:line="360" w:lineRule="auto"/>
        <w:jc w:val="both"/>
        <w:rPr>
          <w:rFonts w:ascii="Arial" w:hAnsi="Arial" w:cs="Arial"/>
        </w:rPr>
      </w:pPr>
      <w:r w:rsidRPr="00A13762">
        <w:rPr>
          <w:rFonts w:ascii="Arial" w:hAnsi="Arial" w:cs="Arial"/>
        </w:rPr>
        <w:t>Public Health England and National Health services have introduced professional data for lab-confirmed cases of mumps in 2019 and this shows the highest number in 2009 and the decline since then (Childhood Vaccination Coverage Statistics- England, 2021). The major control strategies that were used in the United Kingdom by the government and implemented for the safety of the target population is the MMR vaccination drives and campaigns for children (MUMPS, 2013). Still many cases were identified in 2019 that indicated the lapse in the vaccination process for mumps, measles, and rubella (</w:t>
      </w:r>
      <w:r w:rsidRPr="00A13762">
        <w:rPr>
          <w:rFonts w:ascii="Arial" w:hAnsi="Arial" w:cs="Arial"/>
          <w:color w:val="222222"/>
          <w:shd w:val="clear" w:color="auto" w:fill="FFFFFF"/>
        </w:rPr>
        <w:t>Hungerford et al, 2016)</w:t>
      </w:r>
      <w:r w:rsidRPr="00A13762">
        <w:rPr>
          <w:rFonts w:ascii="Arial" w:hAnsi="Arial" w:cs="Arial"/>
        </w:rPr>
        <w:t>. Mumps is a viral infection that needs to be controlled and distinctively recognised among the region and individuals that are most at rescue of the disease. The low understanding education, as well as awareness regarding the vaccination and negative implications and restrictive behaviour towards vaccination by many groups in society, is the major element that has led to the failure of the vaccination strategies and the increase in the rate of mumps virus disease among children in 2019. Also, the mumps vaccination catch-up program for children aged 10 to 11 years is introduced as a new control measured by the National Health Services to ensure better vaccination drives and to overcome the incidence of this disease for the missed out children (</w:t>
      </w:r>
      <w:r w:rsidRPr="00A13762">
        <w:rPr>
          <w:rFonts w:ascii="Arial" w:hAnsi="Arial" w:cs="Arial"/>
          <w:color w:val="222222"/>
          <w:shd w:val="clear" w:color="auto" w:fill="FFFFFF"/>
        </w:rPr>
        <w:t>Brown et al, 2012).</w:t>
      </w:r>
    </w:p>
    <w:p w14:paraId="1D5DA4E3" w14:textId="77777777" w:rsidR="00A13762" w:rsidRPr="00A13762" w:rsidRDefault="00A13762" w:rsidP="00A13762">
      <w:pPr>
        <w:pStyle w:val="Heading1"/>
        <w:spacing w:line="360" w:lineRule="auto"/>
        <w:rPr>
          <w:rFonts w:ascii="Arial" w:hAnsi="Arial" w:cs="Arial"/>
          <w:sz w:val="22"/>
          <w:szCs w:val="22"/>
        </w:rPr>
      </w:pPr>
      <w:bookmarkStart w:id="7" w:name="_Toc122176107"/>
      <w:bookmarkStart w:id="8" w:name="_Toc123742921"/>
      <w:r w:rsidRPr="00A13762">
        <w:rPr>
          <w:rFonts w:ascii="Arial" w:hAnsi="Arial" w:cs="Arial"/>
          <w:sz w:val="22"/>
          <w:szCs w:val="22"/>
        </w:rPr>
        <w:t>Conclusion</w:t>
      </w:r>
      <w:bookmarkEnd w:id="7"/>
      <w:bookmarkEnd w:id="8"/>
    </w:p>
    <w:p w14:paraId="2C8B5E39" w14:textId="77777777" w:rsidR="00A13762" w:rsidRPr="00A13762" w:rsidRDefault="00A13762" w:rsidP="00A13762">
      <w:pPr>
        <w:spacing w:line="360" w:lineRule="auto"/>
        <w:jc w:val="both"/>
        <w:rPr>
          <w:rFonts w:ascii="Arial" w:hAnsi="Arial" w:cs="Arial"/>
        </w:rPr>
      </w:pPr>
      <w:r w:rsidRPr="00A13762">
        <w:rPr>
          <w:rFonts w:ascii="Arial" w:hAnsi="Arial" w:cs="Arial"/>
        </w:rPr>
        <w:t xml:space="preserve">Some of the major strategies that are undertaken by the government of the United Kingdom in order to measure the incidence of mumps mainly include investigating the confirmed suspected cases as well as identifying the group of the target population that have close contact to the patients of mumps. Easy identification of cases a thorough service is possible in the United Kingdom by developing free screening and oral fluid testing for targeted populations every quarter. Still many cases were identified in 2019 that indicated the lapse in the vaccination process for mumps, measles, and rubella. Hence, it is concluded that use of vaccination strategies is helpful in reducing the burden of mumps infection among children in the UK, but the behaviour and health attitudes of the parents and communities need to be changed to promote the better success of these drives. </w:t>
      </w:r>
    </w:p>
    <w:p w14:paraId="79AA8EAA" w14:textId="77777777" w:rsidR="00A13762" w:rsidRPr="00A13762" w:rsidRDefault="00A13762" w:rsidP="00A13762">
      <w:pPr>
        <w:spacing w:line="360" w:lineRule="auto"/>
        <w:rPr>
          <w:rFonts w:ascii="Arial" w:eastAsiaTheme="majorEastAsia" w:hAnsi="Arial" w:cs="Arial"/>
          <w:color w:val="2F5496" w:themeColor="accent1" w:themeShade="BF"/>
        </w:rPr>
      </w:pPr>
      <w:r w:rsidRPr="00A13762">
        <w:rPr>
          <w:rFonts w:ascii="Arial" w:hAnsi="Arial" w:cs="Arial"/>
        </w:rPr>
        <w:br w:type="page"/>
      </w:r>
    </w:p>
    <w:p w14:paraId="1F30076C" w14:textId="77777777" w:rsidR="00A13762" w:rsidRPr="00A13762" w:rsidRDefault="00A13762" w:rsidP="00A13762">
      <w:pPr>
        <w:pStyle w:val="Heading1"/>
        <w:spacing w:line="360" w:lineRule="auto"/>
        <w:rPr>
          <w:rFonts w:ascii="Arial" w:hAnsi="Arial" w:cs="Arial"/>
          <w:sz w:val="22"/>
          <w:szCs w:val="22"/>
        </w:rPr>
      </w:pPr>
      <w:bookmarkStart w:id="9" w:name="_Toc122176108"/>
      <w:bookmarkStart w:id="10" w:name="_Toc123742922"/>
      <w:r w:rsidRPr="00A13762">
        <w:rPr>
          <w:rFonts w:ascii="Arial" w:hAnsi="Arial" w:cs="Arial"/>
          <w:sz w:val="22"/>
          <w:szCs w:val="22"/>
        </w:rPr>
        <w:lastRenderedPageBreak/>
        <w:t>References</w:t>
      </w:r>
      <w:bookmarkEnd w:id="9"/>
      <w:bookmarkEnd w:id="10"/>
    </w:p>
    <w:p w14:paraId="109970DC" w14:textId="77777777" w:rsidR="00A13762" w:rsidRPr="00A13762" w:rsidRDefault="00A13762" w:rsidP="00A13762">
      <w:pPr>
        <w:spacing w:line="360" w:lineRule="auto"/>
        <w:jc w:val="both"/>
        <w:rPr>
          <w:rFonts w:ascii="Arial" w:hAnsi="Arial" w:cs="Arial"/>
          <w:color w:val="222222"/>
          <w:shd w:val="clear" w:color="auto" w:fill="FFFFFF"/>
        </w:rPr>
      </w:pPr>
      <w:r w:rsidRPr="00A13762">
        <w:rPr>
          <w:rFonts w:ascii="Arial" w:hAnsi="Arial" w:cs="Arial"/>
          <w:color w:val="222222"/>
          <w:shd w:val="clear" w:color="auto" w:fill="FFFFFF"/>
        </w:rPr>
        <w:t>Brown, K.F., Long, S.J., Ramsay, M., Hudson, M.J., Green, J., Vincent, C.A., Kroll, J.S., Fraser, G. and Sevdalis, N., 2012. UK parents’ decision-making about measles–mumps–rubella (MMR) vaccine 10 years after the MMR-autism controversy: A qualitative analysis. </w:t>
      </w:r>
      <w:r w:rsidRPr="00A13762">
        <w:rPr>
          <w:rFonts w:ascii="Arial" w:hAnsi="Arial" w:cs="Arial"/>
          <w:i/>
          <w:iCs/>
          <w:color w:val="222222"/>
          <w:shd w:val="clear" w:color="auto" w:fill="FFFFFF"/>
        </w:rPr>
        <w:t>Vaccine</w:t>
      </w:r>
      <w:r w:rsidRPr="00A13762">
        <w:rPr>
          <w:rFonts w:ascii="Arial" w:hAnsi="Arial" w:cs="Arial"/>
          <w:color w:val="222222"/>
          <w:shd w:val="clear" w:color="auto" w:fill="FFFFFF"/>
        </w:rPr>
        <w:t>, </w:t>
      </w:r>
      <w:r w:rsidRPr="00A13762">
        <w:rPr>
          <w:rFonts w:ascii="Arial" w:hAnsi="Arial" w:cs="Arial"/>
          <w:i/>
          <w:iCs/>
          <w:color w:val="222222"/>
          <w:shd w:val="clear" w:color="auto" w:fill="FFFFFF"/>
        </w:rPr>
        <w:t>30</w:t>
      </w:r>
      <w:r w:rsidRPr="00A13762">
        <w:rPr>
          <w:rFonts w:ascii="Arial" w:hAnsi="Arial" w:cs="Arial"/>
          <w:color w:val="222222"/>
          <w:shd w:val="clear" w:color="auto" w:fill="FFFFFF"/>
        </w:rPr>
        <w:t>(10), pp.1855-1864.</w:t>
      </w:r>
    </w:p>
    <w:p w14:paraId="698B6B5B" w14:textId="77777777" w:rsidR="00A13762" w:rsidRPr="00A13762" w:rsidRDefault="00A13762" w:rsidP="00A13762">
      <w:pPr>
        <w:spacing w:line="360" w:lineRule="auto"/>
        <w:jc w:val="both"/>
        <w:rPr>
          <w:rFonts w:ascii="Arial" w:hAnsi="Arial" w:cs="Arial"/>
        </w:rPr>
      </w:pPr>
      <w:r w:rsidRPr="00A13762">
        <w:rPr>
          <w:rFonts w:ascii="Arial" w:hAnsi="Arial" w:cs="Arial"/>
        </w:rPr>
        <w:t xml:space="preserve">Childhood Vaccination Coverage Statistics- England, 2021-22, NHS choices. NHS. Available at:https://digital.nhs.uk/data-and-information/publications/statistical/nhs-munisationstatistics/2021-22#top (Accessed: December 17, 2022). </w:t>
      </w:r>
    </w:p>
    <w:p w14:paraId="24A26E2F" w14:textId="77777777" w:rsidR="00A13762" w:rsidRPr="00A13762" w:rsidRDefault="00A13762" w:rsidP="00A13762">
      <w:pPr>
        <w:spacing w:line="360" w:lineRule="auto"/>
        <w:jc w:val="both"/>
        <w:rPr>
          <w:rFonts w:ascii="Arial" w:hAnsi="Arial" w:cs="Arial"/>
          <w:color w:val="222222"/>
          <w:shd w:val="clear" w:color="auto" w:fill="FFFFFF"/>
        </w:rPr>
      </w:pPr>
      <w:r w:rsidRPr="00A13762">
        <w:rPr>
          <w:rFonts w:ascii="Arial" w:hAnsi="Arial" w:cs="Arial"/>
          <w:color w:val="222222"/>
          <w:shd w:val="clear" w:color="auto" w:fill="FFFFFF"/>
        </w:rPr>
        <w:t>Hungerford, D., Macpherson, P., Farmer, S., Ghebrehewet, S., Seddon, D., Vivancos, R. and Keenan, A., 2016. Effect of socioeconomic deprivation on uptake of measles, mumps and rubella vaccination in Liverpool, UK over 16 years: a longitudinal ecological study. </w:t>
      </w:r>
      <w:r w:rsidRPr="00A13762">
        <w:rPr>
          <w:rFonts w:ascii="Arial" w:hAnsi="Arial" w:cs="Arial"/>
          <w:i/>
          <w:iCs/>
          <w:color w:val="222222"/>
          <w:shd w:val="clear" w:color="auto" w:fill="FFFFFF"/>
        </w:rPr>
        <w:t>Epidemiology &amp; Infection</w:t>
      </w:r>
      <w:r w:rsidRPr="00A13762">
        <w:rPr>
          <w:rFonts w:ascii="Arial" w:hAnsi="Arial" w:cs="Arial"/>
          <w:color w:val="222222"/>
          <w:shd w:val="clear" w:color="auto" w:fill="FFFFFF"/>
        </w:rPr>
        <w:t>, </w:t>
      </w:r>
      <w:r w:rsidRPr="00A13762">
        <w:rPr>
          <w:rFonts w:ascii="Arial" w:hAnsi="Arial" w:cs="Arial"/>
          <w:i/>
          <w:iCs/>
          <w:color w:val="222222"/>
          <w:shd w:val="clear" w:color="auto" w:fill="FFFFFF"/>
        </w:rPr>
        <w:t>144</w:t>
      </w:r>
      <w:r w:rsidRPr="00A13762">
        <w:rPr>
          <w:rFonts w:ascii="Arial" w:hAnsi="Arial" w:cs="Arial"/>
          <w:color w:val="222222"/>
          <w:shd w:val="clear" w:color="auto" w:fill="FFFFFF"/>
        </w:rPr>
        <w:t>(6), pp.1201-1211.</w:t>
      </w:r>
    </w:p>
    <w:p w14:paraId="0669B8AD" w14:textId="77777777" w:rsidR="00A13762" w:rsidRPr="00A13762" w:rsidRDefault="00A13762" w:rsidP="00A13762">
      <w:pPr>
        <w:spacing w:line="360" w:lineRule="auto"/>
        <w:jc w:val="both"/>
        <w:rPr>
          <w:rFonts w:ascii="Arial" w:hAnsi="Arial" w:cs="Arial"/>
        </w:rPr>
      </w:pPr>
      <w:r w:rsidRPr="00A13762">
        <w:rPr>
          <w:rFonts w:ascii="Arial" w:hAnsi="Arial" w:cs="Arial"/>
        </w:rPr>
        <w:t xml:space="preserve"> MUMPS: Notifications and confirmed cases by oral fluid testing in England, 2013 to 2022 by Quarter (2022) GOV.UK. Crown copyright. Available at: https://www.gov.uk/government/publications/mumps-confirmed-cases/mumps-notifications-andconfirmed-cases-by-oral-fluid-testing-in-england-2013-to-2014-by-quarter (Accessed: December 17, 2022).</w:t>
      </w:r>
    </w:p>
    <w:p w14:paraId="20DE6FC9" w14:textId="77777777" w:rsidR="00A13762" w:rsidRPr="00A13762" w:rsidRDefault="00A13762" w:rsidP="00A13762">
      <w:pPr>
        <w:spacing w:line="360" w:lineRule="auto"/>
        <w:jc w:val="both"/>
        <w:rPr>
          <w:rFonts w:ascii="Arial" w:hAnsi="Arial" w:cs="Arial"/>
        </w:rPr>
      </w:pPr>
      <w:r w:rsidRPr="00A13762">
        <w:rPr>
          <w:rFonts w:ascii="Arial" w:hAnsi="Arial" w:cs="Arial"/>
        </w:rPr>
        <w:t>NHS., 2021. Mumps. Retrieved from (</w:t>
      </w:r>
      <w:hyperlink r:id="rId6" w:history="1">
        <w:r w:rsidRPr="00A13762">
          <w:rPr>
            <w:rStyle w:val="Hyperlink"/>
            <w:rFonts w:ascii="Arial" w:hAnsi="Arial" w:cs="Arial"/>
          </w:rPr>
          <w:t>Mumps - NHS (www.nhs.uk)</w:t>
        </w:r>
      </w:hyperlink>
      <w:r w:rsidRPr="00A13762">
        <w:rPr>
          <w:rFonts w:ascii="Arial" w:hAnsi="Arial" w:cs="Arial"/>
        </w:rPr>
        <w:t>) last accessed on [17/12/2022].</w:t>
      </w:r>
    </w:p>
    <w:p w14:paraId="10732892" w14:textId="77777777" w:rsidR="00A13762" w:rsidRPr="00A13762" w:rsidRDefault="00A13762" w:rsidP="00A13762">
      <w:pPr>
        <w:spacing w:line="360" w:lineRule="auto"/>
        <w:jc w:val="both"/>
        <w:rPr>
          <w:rFonts w:ascii="Arial" w:hAnsi="Arial" w:cs="Arial"/>
          <w:color w:val="222222"/>
          <w:shd w:val="clear" w:color="auto" w:fill="FFFFFF"/>
        </w:rPr>
      </w:pPr>
      <w:r w:rsidRPr="00A13762">
        <w:rPr>
          <w:rFonts w:ascii="Arial" w:hAnsi="Arial" w:cs="Arial"/>
          <w:color w:val="222222"/>
          <w:shd w:val="clear" w:color="auto" w:fill="FFFFFF"/>
        </w:rPr>
        <w:t>Ramanathan, R., Voigt, E.A., Kennedy, R.B. and Poland, G., 2018. Knowledge gaps persist and hinder progress in eliminating mumps. </w:t>
      </w:r>
      <w:r w:rsidRPr="00A13762">
        <w:rPr>
          <w:rFonts w:ascii="Arial" w:hAnsi="Arial" w:cs="Arial"/>
          <w:i/>
          <w:iCs/>
          <w:color w:val="222222"/>
          <w:shd w:val="clear" w:color="auto" w:fill="FFFFFF"/>
        </w:rPr>
        <w:t>Vaccine</w:t>
      </w:r>
      <w:r w:rsidRPr="00A13762">
        <w:rPr>
          <w:rFonts w:ascii="Arial" w:hAnsi="Arial" w:cs="Arial"/>
          <w:color w:val="222222"/>
          <w:shd w:val="clear" w:color="auto" w:fill="FFFFFF"/>
        </w:rPr>
        <w:t>, </w:t>
      </w:r>
      <w:r w:rsidRPr="00A13762">
        <w:rPr>
          <w:rFonts w:ascii="Arial" w:hAnsi="Arial" w:cs="Arial"/>
          <w:i/>
          <w:iCs/>
          <w:color w:val="222222"/>
          <w:shd w:val="clear" w:color="auto" w:fill="FFFFFF"/>
        </w:rPr>
        <w:t>36</w:t>
      </w:r>
      <w:r w:rsidRPr="00A13762">
        <w:rPr>
          <w:rFonts w:ascii="Arial" w:hAnsi="Arial" w:cs="Arial"/>
          <w:color w:val="222222"/>
          <w:shd w:val="clear" w:color="auto" w:fill="FFFFFF"/>
        </w:rPr>
        <w:t>(26), pp.3721-3726.</w:t>
      </w:r>
    </w:p>
    <w:p w14:paraId="2CE82582" w14:textId="77777777" w:rsidR="00A13762" w:rsidRPr="00A13762" w:rsidRDefault="00A13762" w:rsidP="00A13762">
      <w:pPr>
        <w:spacing w:line="360" w:lineRule="auto"/>
        <w:jc w:val="both"/>
        <w:rPr>
          <w:rFonts w:ascii="Arial" w:hAnsi="Arial" w:cs="Arial"/>
        </w:rPr>
      </w:pPr>
      <w:r w:rsidRPr="00A13762">
        <w:rPr>
          <w:rFonts w:ascii="Arial" w:hAnsi="Arial" w:cs="Arial"/>
          <w:color w:val="222222"/>
          <w:shd w:val="clear" w:color="auto" w:fill="FFFFFF"/>
        </w:rPr>
        <w:t>Su, S.B., Chang, H.L. and Chen, K.T., 2020. Current status of mumps virus infection: epidemiology, pathogenesis, and vaccine. </w:t>
      </w:r>
      <w:r w:rsidRPr="00A13762">
        <w:rPr>
          <w:rFonts w:ascii="Arial" w:hAnsi="Arial" w:cs="Arial"/>
          <w:i/>
          <w:iCs/>
          <w:color w:val="222222"/>
          <w:shd w:val="clear" w:color="auto" w:fill="FFFFFF"/>
        </w:rPr>
        <w:t>International journal of environmental research and public health</w:t>
      </w:r>
      <w:r w:rsidRPr="00A13762">
        <w:rPr>
          <w:rFonts w:ascii="Arial" w:hAnsi="Arial" w:cs="Arial"/>
          <w:color w:val="222222"/>
          <w:shd w:val="clear" w:color="auto" w:fill="FFFFFF"/>
        </w:rPr>
        <w:t>, </w:t>
      </w:r>
      <w:r w:rsidRPr="00A13762">
        <w:rPr>
          <w:rFonts w:ascii="Arial" w:hAnsi="Arial" w:cs="Arial"/>
          <w:i/>
          <w:iCs/>
          <w:color w:val="222222"/>
          <w:shd w:val="clear" w:color="auto" w:fill="FFFFFF"/>
        </w:rPr>
        <w:t>17</w:t>
      </w:r>
      <w:r w:rsidRPr="00A13762">
        <w:rPr>
          <w:rFonts w:ascii="Arial" w:hAnsi="Arial" w:cs="Arial"/>
          <w:color w:val="222222"/>
          <w:shd w:val="clear" w:color="auto" w:fill="FFFFFF"/>
        </w:rPr>
        <w:t>(5), p.1686.</w:t>
      </w:r>
    </w:p>
    <w:p w14:paraId="6F80615F" w14:textId="77777777" w:rsidR="00A13762" w:rsidRPr="002A0270" w:rsidRDefault="00A13762">
      <w:pPr>
        <w:rPr>
          <w:rFonts w:ascii="Arial" w:hAnsi="Arial" w:cs="Arial"/>
          <w:b/>
          <w:bCs/>
          <w:sz w:val="36"/>
          <w:szCs w:val="36"/>
        </w:rPr>
      </w:pPr>
    </w:p>
    <w:sectPr w:rsidR="00A13762" w:rsidRPr="002A0270" w:rsidSect="002A027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A0270"/>
    <w:rsid w:val="002A0270"/>
    <w:rsid w:val="00684B80"/>
    <w:rsid w:val="0080308A"/>
    <w:rsid w:val="00A13762"/>
    <w:rsid w:val="00B64894"/>
    <w:rsid w:val="00DE6E73"/>
    <w:rsid w:val="00E1447E"/>
    <w:rsid w:val="00E16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9FA18"/>
  <w15:chartTrackingRefBased/>
  <w15:docId w15:val="{C38C7B51-00FE-41F1-9C7C-BB8FD681F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762"/>
    <w:pPr>
      <w:keepNext/>
      <w:keepLines/>
      <w:spacing w:before="240" w:after="0"/>
      <w:outlineLvl w:val="0"/>
    </w:pPr>
    <w:rPr>
      <w:rFonts w:asciiTheme="majorHAnsi" w:eastAsiaTheme="majorEastAsia" w:hAnsiTheme="majorHAnsi" w:cstheme="majorBidi"/>
      <w:color w:val="2F5496" w:themeColor="accent1" w:themeShade="BF"/>
      <w:kern w:val="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762"/>
    <w:rPr>
      <w:rFonts w:asciiTheme="majorHAnsi" w:eastAsiaTheme="majorEastAsia" w:hAnsiTheme="majorHAnsi" w:cstheme="majorBidi"/>
      <w:color w:val="2F5496" w:themeColor="accent1" w:themeShade="BF"/>
      <w:kern w:val="2"/>
      <w:sz w:val="32"/>
      <w:szCs w:val="32"/>
    </w:rPr>
  </w:style>
  <w:style w:type="character" w:styleId="Hyperlink">
    <w:name w:val="Hyperlink"/>
    <w:basedOn w:val="DefaultParagraphFont"/>
    <w:uiPriority w:val="99"/>
    <w:unhideWhenUsed/>
    <w:rsid w:val="00A13762"/>
    <w:rPr>
      <w:color w:val="0000FF"/>
      <w:u w:val="single"/>
    </w:rPr>
  </w:style>
  <w:style w:type="paragraph" w:styleId="TOCHeading">
    <w:name w:val="TOC Heading"/>
    <w:basedOn w:val="Heading1"/>
    <w:next w:val="Normal"/>
    <w:uiPriority w:val="39"/>
    <w:unhideWhenUsed/>
    <w:qFormat/>
    <w:rsid w:val="00A13762"/>
    <w:pPr>
      <w:outlineLvl w:val="9"/>
    </w:pPr>
    <w:rPr>
      <w:kern w:val="0"/>
      <w:lang w:eastAsia="en-GB"/>
    </w:rPr>
  </w:style>
  <w:style w:type="paragraph" w:styleId="TOC1">
    <w:name w:val="toc 1"/>
    <w:basedOn w:val="Normal"/>
    <w:next w:val="Normal"/>
    <w:autoRedefine/>
    <w:uiPriority w:val="39"/>
    <w:unhideWhenUsed/>
    <w:rsid w:val="00A1376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hs.uk/conditions/mumps/"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8A0A44-4EAE-4091-9B98-1B434E0A3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1339</Words>
  <Characters>7638</Characters>
  <Application>Microsoft Office Word</Application>
  <DocSecurity>0</DocSecurity>
  <Lines>63</Lines>
  <Paragraphs>17</Paragraphs>
  <ScaleCrop>false</ScaleCrop>
  <Company>University of Wales Trinity Saint David</Company>
  <LinksUpToDate>false</LinksUpToDate>
  <CharactersWithSpaces>8960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Draghici</dc:creator>
  <cp:keywords/>
  <dc:description/>
  <cp:lastModifiedBy>Bogdan Draghici</cp:lastModifiedBy>
  <cp:revision>3</cp:revision>
  <dcterms:created xsi:type="dcterms:W3CDTF">2023-01-04T16:50:00Z</dcterms:created>
  <dcterms:modified xsi:type="dcterms:W3CDTF">2023-01-04T17:15:00Z</dcterms:modified>
</cp:coreProperties>
</file>