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092B2" w14:textId="545622F4" w:rsidR="009D2D98" w:rsidRPr="00554A3E" w:rsidRDefault="009D2D98" w:rsidP="00554A3E">
      <w:pPr>
        <w:spacing w:line="360" w:lineRule="auto"/>
        <w:jc w:val="both"/>
        <w:rPr>
          <w:rFonts w:ascii="Arial" w:hAnsi="Arial" w:cs="Arial"/>
        </w:rPr>
      </w:pPr>
      <w:r w:rsidRPr="00554A3E">
        <w:rPr>
          <w:rFonts w:ascii="Arial" w:hAnsi="Arial" w:cs="Arial"/>
          <w:noProof/>
        </w:rPr>
        <mc:AlternateContent>
          <mc:Choice Requires="wpg">
            <w:drawing>
              <wp:anchor distT="0" distB="0" distL="114300" distR="114300" simplePos="0" relativeHeight="251660288" behindDoc="0" locked="0" layoutInCell="1" allowOverlap="1" wp14:anchorId="677212F9" wp14:editId="108565A3">
                <wp:simplePos x="0" y="0"/>
                <wp:positionH relativeFrom="page">
                  <wp:align>left</wp:align>
                </wp:positionH>
                <wp:positionV relativeFrom="page">
                  <wp:align>top</wp:align>
                </wp:positionV>
                <wp:extent cx="6365653" cy="3401568"/>
                <wp:effectExtent l="0" t="0" r="0" b="254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65653" cy="3401568"/>
                          <a:chOff x="0" y="0"/>
                          <a:chExt cx="6364893"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54668" y="780415"/>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6C5E35" w14:textId="2E9773BF" w:rsidR="00DF493E" w:rsidRDefault="001378FA" w:rsidP="009D2D98">
                                  <w:pPr>
                                    <w:pStyle w:val="NoSpacing"/>
                                    <w:spacing w:after="240" w:line="216" w:lineRule="auto"/>
                                    <w:jc w:val="center"/>
                                    <w:rPr>
                                      <w:rFonts w:asciiTheme="majorHAnsi" w:hAnsiTheme="majorHAnsi"/>
                                      <w:color w:val="0E2841" w:themeColor="text2"/>
                                      <w:spacing w:val="10"/>
                                      <w:sz w:val="36"/>
                                      <w:szCs w:val="36"/>
                                    </w:rPr>
                                  </w:pPr>
                                  <w:r w:rsidRPr="001378FA">
                                    <w:rPr>
                                      <w:rFonts w:asciiTheme="majorHAnsi" w:hAnsiTheme="majorHAnsi"/>
                                      <w:color w:val="0E2841" w:themeColor="text2"/>
                                      <w:spacing w:val="10"/>
                                      <w:sz w:val="36"/>
                                      <w:szCs w:val="36"/>
                                    </w:rPr>
                                    <w:t>Data Handling &amp; Business Intelligence (LCBB5014)</w:t>
                                  </w:r>
                                </w:p>
                              </w:sdtContent>
                            </w:sdt>
                            <w:sdt>
                              <w:sdtPr>
                                <w:rPr>
                                  <w:rFonts w:asciiTheme="majorHAnsi" w:hAnsiTheme="majorHAnsi"/>
                                  <w:caps/>
                                  <w:color w:val="0E2841"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E670A1E" w14:textId="52D1A76A" w:rsidR="00DF493E" w:rsidRDefault="001378FA" w:rsidP="009D2D98">
                                  <w:pPr>
                                    <w:pStyle w:val="NoSpacing"/>
                                    <w:spacing w:line="216" w:lineRule="auto"/>
                                    <w:jc w:val="center"/>
                                    <w:rPr>
                                      <w:rFonts w:asciiTheme="majorHAnsi" w:hAnsiTheme="majorHAnsi"/>
                                      <w:caps/>
                                      <w:color w:val="0E2841" w:themeColor="text2"/>
                                      <w:sz w:val="96"/>
                                      <w:szCs w:val="96"/>
                                    </w:rPr>
                                  </w:pPr>
                                  <w:r w:rsidRPr="001378FA">
                                    <w:rPr>
                                      <w:rFonts w:asciiTheme="majorHAnsi" w:hAnsiTheme="majorHAnsi"/>
                                      <w:caps/>
                                      <w:color w:val="0E2841" w:themeColor="text2"/>
                                      <w:sz w:val="72"/>
                                      <w:szCs w:val="72"/>
                                    </w:rPr>
                                    <w:t>Assignment 1 -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7212F9" id="Group 125" o:spid="_x0000_s1026" alt="Title: Title and subtitle with crop mark graphic" style="position:absolute;left:0;text-align:left;margin-left:0;margin-top:0;width:501.25pt;height:267.85pt;z-index:251660288;mso-position-horizontal:left;mso-position-horizontal-relative:page;mso-position-vertical:top;mso-position-vertical-relative:page;mso-width-relative:margin;mso-height-relative:margin" coordsize="63648,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546;top:7804;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&#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6C5E35" w14:textId="2E9773BF" w:rsidR="00DF493E" w:rsidRDefault="001378FA" w:rsidP="009D2D98">
                            <w:pPr>
                              <w:pStyle w:val="NoSpacing"/>
                              <w:spacing w:after="240" w:line="216" w:lineRule="auto"/>
                              <w:jc w:val="center"/>
                              <w:rPr>
                                <w:rFonts w:asciiTheme="majorHAnsi" w:hAnsiTheme="majorHAnsi"/>
                                <w:color w:val="0E2841" w:themeColor="text2"/>
                                <w:spacing w:val="10"/>
                                <w:sz w:val="36"/>
                                <w:szCs w:val="36"/>
                              </w:rPr>
                            </w:pPr>
                            <w:r w:rsidRPr="001378FA">
                              <w:rPr>
                                <w:rFonts w:asciiTheme="majorHAnsi" w:hAnsiTheme="majorHAnsi"/>
                                <w:color w:val="0E2841" w:themeColor="text2"/>
                                <w:spacing w:val="10"/>
                                <w:sz w:val="36"/>
                                <w:szCs w:val="36"/>
                              </w:rPr>
                              <w:t>Data Handling &amp; Business Intelligence (LCBB5014)</w:t>
                            </w:r>
                          </w:p>
                        </w:sdtContent>
                      </w:sdt>
                      <w:sdt>
                        <w:sdtPr>
                          <w:rPr>
                            <w:rFonts w:asciiTheme="majorHAnsi" w:hAnsiTheme="majorHAnsi"/>
                            <w:caps/>
                            <w:color w:val="0E2841"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E670A1E" w14:textId="52D1A76A" w:rsidR="00DF493E" w:rsidRDefault="001378FA" w:rsidP="009D2D98">
                            <w:pPr>
                              <w:pStyle w:val="NoSpacing"/>
                              <w:spacing w:line="216" w:lineRule="auto"/>
                              <w:jc w:val="center"/>
                              <w:rPr>
                                <w:rFonts w:asciiTheme="majorHAnsi" w:hAnsiTheme="majorHAnsi"/>
                                <w:caps/>
                                <w:color w:val="0E2841" w:themeColor="text2"/>
                                <w:sz w:val="96"/>
                                <w:szCs w:val="96"/>
                              </w:rPr>
                            </w:pPr>
                            <w:r w:rsidRPr="001378FA">
                              <w:rPr>
                                <w:rFonts w:asciiTheme="majorHAnsi" w:hAnsiTheme="majorHAnsi"/>
                                <w:caps/>
                                <w:color w:val="0E2841" w:themeColor="text2"/>
                                <w:sz w:val="72"/>
                                <w:szCs w:val="72"/>
                              </w:rPr>
                              <w:t>Assignment 1 - report</w:t>
                            </w:r>
                          </w:p>
                        </w:sdtContent>
                      </w:sdt>
                    </w:txbxContent>
                  </v:textbox>
                </v:shape>
                <w10:wrap anchorx="page" anchory="page"/>
              </v:group>
            </w:pict>
          </mc:Fallback>
        </mc:AlternateContent>
      </w:r>
      <w:r w:rsidRPr="00554A3E">
        <w:rPr>
          <w:rFonts w:ascii="Arial" w:hAnsi="Arial" w:cs="Arial"/>
          <w:b/>
          <w:bCs/>
          <w:noProof/>
        </w:rPr>
        <w:drawing>
          <wp:anchor distT="0" distB="0" distL="114300" distR="114300" simplePos="0" relativeHeight="251662336" behindDoc="0" locked="0" layoutInCell="1" allowOverlap="1" wp14:anchorId="47DBED8F" wp14:editId="1EEB7DD2">
            <wp:simplePos x="0" y="0"/>
            <wp:positionH relativeFrom="margin">
              <wp:align>center</wp:align>
            </wp:positionH>
            <wp:positionV relativeFrom="margin">
              <wp:align>top</wp:align>
            </wp:positionV>
            <wp:extent cx="2743200" cy="1219200"/>
            <wp:effectExtent l="0" t="0" r="0" b="0"/>
            <wp:wrapSquare wrapText="bothSides"/>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anchor>
        </w:drawing>
      </w:r>
    </w:p>
    <w:sdt>
      <w:sdtPr>
        <w:rPr>
          <w:rFonts w:ascii="Arial" w:hAnsi="Arial" w:cs="Arial"/>
        </w:rPr>
        <w:id w:val="-1109426192"/>
        <w:docPartObj>
          <w:docPartGallery w:val="Cover Pages"/>
          <w:docPartUnique/>
        </w:docPartObj>
      </w:sdtPr>
      <w:sdtEndPr>
        <w:rPr>
          <w:b/>
          <w:bCs/>
          <w:kern w:val="0"/>
          <w:sz w:val="26"/>
          <w:szCs w:val="26"/>
        </w:rPr>
      </w:sdtEndPr>
      <w:sdtContent>
        <w:p w14:paraId="4D6CB833" w14:textId="57402EF4" w:rsidR="00DF493E" w:rsidRPr="00554A3E" w:rsidRDefault="00DF493E" w:rsidP="00554A3E">
          <w:pPr>
            <w:spacing w:line="360" w:lineRule="auto"/>
            <w:jc w:val="both"/>
            <w:rPr>
              <w:rFonts w:ascii="Arial" w:hAnsi="Arial" w:cs="Arial"/>
            </w:rPr>
          </w:pPr>
          <w:r w:rsidRPr="00554A3E">
            <w:rPr>
              <w:rFonts w:ascii="Arial" w:hAnsi="Arial" w:cs="Arial"/>
              <w:noProof/>
            </w:rPr>
            <mc:AlternateContent>
              <mc:Choice Requires="wpg">
                <w:drawing>
                  <wp:anchor distT="0" distB="0" distL="114300" distR="114300" simplePos="0" relativeHeight="251661312" behindDoc="0" locked="0" layoutInCell="1" allowOverlap="1" wp14:anchorId="5EE354CB" wp14:editId="0787BC17">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8094EE2" w14:textId="54D700DB" w:rsidR="00DF493E" w:rsidRDefault="001378FA">
                                      <w:pPr>
                                        <w:pStyle w:val="NoSpacing"/>
                                        <w:spacing w:after="240"/>
                                        <w:jc w:val="right"/>
                                        <w:rPr>
                                          <w:color w:val="0E2841" w:themeColor="text2"/>
                                          <w:spacing w:val="10"/>
                                          <w:sz w:val="36"/>
                                          <w:szCs w:val="36"/>
                                        </w:rPr>
                                      </w:pPr>
                                      <w:r>
                                        <w:rPr>
                                          <w:color w:val="0E2841" w:themeColor="text2"/>
                                          <w:spacing w:val="10"/>
                                          <w:sz w:val="36"/>
                                          <w:szCs w:val="36"/>
                                        </w:rPr>
                                        <w:t>Andra Tabaras</w:t>
                                      </w:r>
                                      <w:r w:rsidR="00DF493E">
                                        <w:rPr>
                                          <w:color w:val="0E2841" w:themeColor="text2"/>
                                          <w:spacing w:val="10"/>
                                          <w:sz w:val="36"/>
                                          <w:szCs w:val="36"/>
                                        </w:rPr>
                                        <w:t xml:space="preserve"> (</w:t>
                                      </w:r>
                                      <w:r w:rsidR="00377690">
                                        <w:rPr>
                                          <w:color w:val="0E2841" w:themeColor="text2"/>
                                          <w:spacing w:val="10"/>
                                          <w:sz w:val="36"/>
                                          <w:szCs w:val="36"/>
                                        </w:rPr>
                                        <w:t>2335892</w:t>
                                      </w:r>
                                      <w:r w:rsidR="00DF493E">
                                        <w:rPr>
                                          <w:color w:val="0E2841" w:themeColor="text2"/>
                                          <w:spacing w:val="10"/>
                                          <w:sz w:val="36"/>
                                          <w:szCs w:val="36"/>
                                        </w:rPr>
                                        <w:t>)</w:t>
                                      </w:r>
                                    </w:p>
                                  </w:sdtContent>
                                </w:sdt>
                                <w:p w14:paraId="5823F690" w14:textId="6F87425F" w:rsidR="00DF493E" w:rsidRDefault="00DF493E" w:rsidP="001378FA">
                                  <w:pPr>
                                    <w:pStyle w:val="NoSpacing"/>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E354CB" id="Group 121" o:spid="_x0000_s1031"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rI1ZQUAANA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8094EE2" w14:textId="54D700DB" w:rsidR="00DF493E" w:rsidRDefault="001378FA">
                                <w:pPr>
                                  <w:pStyle w:val="NoSpacing"/>
                                  <w:spacing w:after="240"/>
                                  <w:jc w:val="right"/>
                                  <w:rPr>
                                    <w:color w:val="0E2841" w:themeColor="text2"/>
                                    <w:spacing w:val="10"/>
                                    <w:sz w:val="36"/>
                                    <w:szCs w:val="36"/>
                                  </w:rPr>
                                </w:pPr>
                                <w:r>
                                  <w:rPr>
                                    <w:color w:val="0E2841" w:themeColor="text2"/>
                                    <w:spacing w:val="10"/>
                                    <w:sz w:val="36"/>
                                    <w:szCs w:val="36"/>
                                  </w:rPr>
                                  <w:t>Andra Tabaras</w:t>
                                </w:r>
                                <w:r w:rsidR="00DF493E">
                                  <w:rPr>
                                    <w:color w:val="0E2841" w:themeColor="text2"/>
                                    <w:spacing w:val="10"/>
                                    <w:sz w:val="36"/>
                                    <w:szCs w:val="36"/>
                                  </w:rPr>
                                  <w:t xml:space="preserve"> (</w:t>
                                </w:r>
                                <w:r w:rsidR="00377690">
                                  <w:rPr>
                                    <w:color w:val="0E2841" w:themeColor="text2"/>
                                    <w:spacing w:val="10"/>
                                    <w:sz w:val="36"/>
                                    <w:szCs w:val="36"/>
                                  </w:rPr>
                                  <w:t>2335892</w:t>
                                </w:r>
                                <w:r w:rsidR="00DF493E">
                                  <w:rPr>
                                    <w:color w:val="0E2841" w:themeColor="text2"/>
                                    <w:spacing w:val="10"/>
                                    <w:sz w:val="36"/>
                                    <w:szCs w:val="36"/>
                                  </w:rPr>
                                  <w:t>)</w:t>
                                </w:r>
                              </w:p>
                            </w:sdtContent>
                          </w:sdt>
                          <w:p w14:paraId="5823F690" w14:textId="6F87425F" w:rsidR="00DF493E" w:rsidRDefault="00DF493E" w:rsidP="001378FA">
                            <w:pPr>
                              <w:pStyle w:val="NoSpacing"/>
                              <w:rPr>
                                <w:color w:val="0E2841" w:themeColor="text2"/>
                                <w:spacing w:val="10"/>
                                <w:sz w:val="28"/>
                                <w:szCs w:val="28"/>
                              </w:rPr>
                            </w:pPr>
                          </w:p>
                        </w:txbxContent>
                      </v:textbox>
                    </v:shape>
                    <w10:wrap anchorx="page" anchory="page"/>
                  </v:group>
                </w:pict>
              </mc:Fallback>
            </mc:AlternateContent>
          </w:r>
          <w:r w:rsidRPr="00554A3E">
            <w:rPr>
              <w:rFonts w:ascii="Arial" w:hAnsi="Arial" w:cs="Arial"/>
              <w:noProof/>
            </w:rPr>
            <mc:AlternateContent>
              <mc:Choice Requires="wps">
                <w:drawing>
                  <wp:anchor distT="0" distB="0" distL="114300" distR="114300" simplePos="0" relativeHeight="251659264" behindDoc="1" locked="0" layoutInCell="1" allowOverlap="1" wp14:anchorId="4F3BF8B1" wp14:editId="4AC074FE">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A574535"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8e8e8 [3214]" stroked="f">
                    <w10:wrap anchorx="page" anchory="page"/>
                  </v:rect>
                </w:pict>
              </mc:Fallback>
            </mc:AlternateContent>
          </w:r>
        </w:p>
        <w:p w14:paraId="5AEFC96E" w14:textId="54F28BC9" w:rsidR="00DF493E" w:rsidRPr="00554A3E" w:rsidRDefault="00DF493E" w:rsidP="00554A3E">
          <w:pPr>
            <w:spacing w:line="360" w:lineRule="auto"/>
            <w:jc w:val="both"/>
            <w:rPr>
              <w:rFonts w:ascii="Arial" w:hAnsi="Arial" w:cs="Arial"/>
              <w:b/>
              <w:bCs/>
              <w:kern w:val="0"/>
              <w:sz w:val="26"/>
              <w:szCs w:val="26"/>
            </w:rPr>
          </w:pPr>
          <w:r w:rsidRPr="00554A3E">
            <w:rPr>
              <w:rFonts w:ascii="Arial" w:hAnsi="Arial" w:cs="Arial"/>
              <w:b/>
              <w:bCs/>
              <w:kern w:val="0"/>
              <w:sz w:val="26"/>
              <w:szCs w:val="26"/>
            </w:rPr>
            <w:br w:type="page"/>
          </w:r>
        </w:p>
      </w:sdtContent>
    </w:sdt>
    <w:sdt>
      <w:sdtPr>
        <w:rPr>
          <w:rFonts w:ascii="Arial" w:eastAsiaTheme="minorHAnsi" w:hAnsi="Arial" w:cs="Arial"/>
          <w:b w:val="0"/>
          <w:bCs w:val="0"/>
          <w:color w:val="auto"/>
          <w:kern w:val="2"/>
          <w:sz w:val="24"/>
          <w:szCs w:val="24"/>
          <w:lang w:val="en-GB"/>
          <w14:ligatures w14:val="standardContextual"/>
        </w:rPr>
        <w:id w:val="-1859341548"/>
        <w:docPartObj>
          <w:docPartGallery w:val="Table of Contents"/>
          <w:docPartUnique/>
        </w:docPartObj>
      </w:sdtPr>
      <w:sdtEndPr>
        <w:rPr>
          <w:noProof/>
        </w:rPr>
      </w:sdtEndPr>
      <w:sdtContent>
        <w:p w14:paraId="026EBF4D" w14:textId="25DDC9E2" w:rsidR="00DF493E" w:rsidRPr="00554A3E" w:rsidRDefault="00DF493E" w:rsidP="00554A3E">
          <w:pPr>
            <w:pStyle w:val="TOCHeading"/>
            <w:spacing w:line="360" w:lineRule="auto"/>
            <w:jc w:val="both"/>
            <w:rPr>
              <w:rFonts w:ascii="Arial" w:hAnsi="Arial" w:cs="Arial"/>
            </w:rPr>
          </w:pPr>
          <w:r w:rsidRPr="00554A3E">
            <w:rPr>
              <w:rFonts w:ascii="Arial" w:hAnsi="Arial" w:cs="Arial"/>
            </w:rPr>
            <w:t>Table of Contents</w:t>
          </w:r>
        </w:p>
        <w:p w14:paraId="0DCC5BC7" w14:textId="6CF271B7" w:rsidR="00554A3E" w:rsidRDefault="00DF493E">
          <w:pPr>
            <w:pStyle w:val="TOC1"/>
            <w:tabs>
              <w:tab w:val="right" w:leader="dot" w:pos="9016"/>
            </w:tabs>
            <w:rPr>
              <w:rFonts w:eastAsiaTheme="minorEastAsia"/>
              <w:b w:val="0"/>
              <w:bCs w:val="0"/>
              <w:caps w:val="0"/>
              <w:noProof/>
              <w:sz w:val="24"/>
              <w:szCs w:val="24"/>
              <w:lang w:eastAsia="en-GB"/>
            </w:rPr>
          </w:pPr>
          <w:r w:rsidRPr="00554A3E">
            <w:rPr>
              <w:rFonts w:ascii="Arial" w:hAnsi="Arial" w:cs="Arial"/>
              <w:b w:val="0"/>
              <w:bCs w:val="0"/>
            </w:rPr>
            <w:fldChar w:fldCharType="begin"/>
          </w:r>
          <w:r w:rsidRPr="00554A3E">
            <w:rPr>
              <w:rFonts w:ascii="Arial" w:hAnsi="Arial" w:cs="Arial"/>
            </w:rPr>
            <w:instrText xml:space="preserve"> TOC \o "1-3" \h \z \u </w:instrText>
          </w:r>
          <w:r w:rsidRPr="00554A3E">
            <w:rPr>
              <w:rFonts w:ascii="Arial" w:hAnsi="Arial" w:cs="Arial"/>
              <w:b w:val="0"/>
              <w:bCs w:val="0"/>
            </w:rPr>
            <w:fldChar w:fldCharType="separate"/>
          </w:r>
          <w:hyperlink w:anchor="_Toc214710213" w:history="1">
            <w:r w:rsidR="00554A3E" w:rsidRPr="00984491">
              <w:rPr>
                <w:rStyle w:val="Hyperlink"/>
                <w:rFonts w:ascii="Arial" w:hAnsi="Arial" w:cs="Arial"/>
                <w:noProof/>
              </w:rPr>
              <w:t>Executive Summary</w:t>
            </w:r>
            <w:r w:rsidR="00554A3E">
              <w:rPr>
                <w:noProof/>
                <w:webHidden/>
              </w:rPr>
              <w:tab/>
            </w:r>
            <w:r w:rsidR="00554A3E">
              <w:rPr>
                <w:noProof/>
                <w:webHidden/>
              </w:rPr>
              <w:fldChar w:fldCharType="begin"/>
            </w:r>
            <w:r w:rsidR="00554A3E">
              <w:rPr>
                <w:noProof/>
                <w:webHidden/>
              </w:rPr>
              <w:instrText xml:space="preserve"> PAGEREF _Toc214710213 \h </w:instrText>
            </w:r>
            <w:r w:rsidR="00554A3E">
              <w:rPr>
                <w:noProof/>
                <w:webHidden/>
              </w:rPr>
            </w:r>
            <w:r w:rsidR="00554A3E">
              <w:rPr>
                <w:noProof/>
                <w:webHidden/>
              </w:rPr>
              <w:fldChar w:fldCharType="separate"/>
            </w:r>
            <w:r w:rsidR="00554A3E">
              <w:rPr>
                <w:noProof/>
                <w:webHidden/>
              </w:rPr>
              <w:t>2</w:t>
            </w:r>
            <w:r w:rsidR="00554A3E">
              <w:rPr>
                <w:noProof/>
                <w:webHidden/>
              </w:rPr>
              <w:fldChar w:fldCharType="end"/>
            </w:r>
          </w:hyperlink>
        </w:p>
        <w:p w14:paraId="73E99058" w14:textId="4ECB8A26" w:rsidR="00554A3E" w:rsidRDefault="00554A3E">
          <w:pPr>
            <w:pStyle w:val="TOC1"/>
            <w:tabs>
              <w:tab w:val="right" w:leader="dot" w:pos="9016"/>
            </w:tabs>
            <w:rPr>
              <w:rFonts w:eastAsiaTheme="minorEastAsia"/>
              <w:b w:val="0"/>
              <w:bCs w:val="0"/>
              <w:caps w:val="0"/>
              <w:noProof/>
              <w:sz w:val="24"/>
              <w:szCs w:val="24"/>
              <w:lang w:eastAsia="en-GB"/>
            </w:rPr>
          </w:pPr>
          <w:hyperlink w:anchor="_Toc214710214" w:history="1">
            <w:r w:rsidRPr="0098449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_Toc214710214 \h </w:instrText>
            </w:r>
            <w:r>
              <w:rPr>
                <w:noProof/>
                <w:webHidden/>
              </w:rPr>
            </w:r>
            <w:r>
              <w:rPr>
                <w:noProof/>
                <w:webHidden/>
              </w:rPr>
              <w:fldChar w:fldCharType="separate"/>
            </w:r>
            <w:r>
              <w:rPr>
                <w:noProof/>
                <w:webHidden/>
              </w:rPr>
              <w:t>3</w:t>
            </w:r>
            <w:r>
              <w:rPr>
                <w:noProof/>
                <w:webHidden/>
              </w:rPr>
              <w:fldChar w:fldCharType="end"/>
            </w:r>
          </w:hyperlink>
        </w:p>
        <w:p w14:paraId="625382DE" w14:textId="4C20EE80" w:rsidR="00554A3E" w:rsidRDefault="00554A3E">
          <w:pPr>
            <w:pStyle w:val="TOC1"/>
            <w:tabs>
              <w:tab w:val="right" w:leader="dot" w:pos="9016"/>
            </w:tabs>
            <w:rPr>
              <w:rFonts w:eastAsiaTheme="minorEastAsia"/>
              <w:b w:val="0"/>
              <w:bCs w:val="0"/>
              <w:caps w:val="0"/>
              <w:noProof/>
              <w:sz w:val="24"/>
              <w:szCs w:val="24"/>
              <w:lang w:eastAsia="en-GB"/>
            </w:rPr>
          </w:pPr>
          <w:hyperlink w:anchor="_Toc214710215" w:history="1">
            <w:r w:rsidRPr="00984491">
              <w:rPr>
                <w:rStyle w:val="Hyperlink"/>
                <w:rFonts w:ascii="Arial" w:hAnsi="Arial" w:cs="Arial"/>
                <w:noProof/>
              </w:rPr>
              <w:t>Trends in BI, DW, and DM</w:t>
            </w:r>
            <w:r>
              <w:rPr>
                <w:noProof/>
                <w:webHidden/>
              </w:rPr>
              <w:tab/>
            </w:r>
            <w:r>
              <w:rPr>
                <w:noProof/>
                <w:webHidden/>
              </w:rPr>
              <w:fldChar w:fldCharType="begin"/>
            </w:r>
            <w:r>
              <w:rPr>
                <w:noProof/>
                <w:webHidden/>
              </w:rPr>
              <w:instrText xml:space="preserve"> PAGEREF _Toc214710215 \h </w:instrText>
            </w:r>
            <w:r>
              <w:rPr>
                <w:noProof/>
                <w:webHidden/>
              </w:rPr>
            </w:r>
            <w:r>
              <w:rPr>
                <w:noProof/>
                <w:webHidden/>
              </w:rPr>
              <w:fldChar w:fldCharType="separate"/>
            </w:r>
            <w:r>
              <w:rPr>
                <w:noProof/>
                <w:webHidden/>
              </w:rPr>
              <w:t>3</w:t>
            </w:r>
            <w:r>
              <w:rPr>
                <w:noProof/>
                <w:webHidden/>
              </w:rPr>
              <w:fldChar w:fldCharType="end"/>
            </w:r>
          </w:hyperlink>
        </w:p>
        <w:p w14:paraId="38D06514" w14:textId="5C4FFA5D" w:rsidR="00554A3E" w:rsidRDefault="00554A3E">
          <w:pPr>
            <w:pStyle w:val="TOC1"/>
            <w:tabs>
              <w:tab w:val="right" w:leader="dot" w:pos="9016"/>
            </w:tabs>
            <w:rPr>
              <w:rFonts w:eastAsiaTheme="minorEastAsia"/>
              <w:b w:val="0"/>
              <w:bCs w:val="0"/>
              <w:caps w:val="0"/>
              <w:noProof/>
              <w:sz w:val="24"/>
              <w:szCs w:val="24"/>
              <w:lang w:eastAsia="en-GB"/>
            </w:rPr>
          </w:pPr>
          <w:hyperlink w:anchor="_Toc214710216" w:history="1">
            <w:r w:rsidRPr="00984491">
              <w:rPr>
                <w:rStyle w:val="Hyperlink"/>
                <w:rFonts w:ascii="Arial" w:hAnsi="Arial" w:cs="Arial"/>
                <w:noProof/>
              </w:rPr>
              <w:t>Data Warehousing in the Organisation Applications</w:t>
            </w:r>
            <w:r>
              <w:rPr>
                <w:noProof/>
                <w:webHidden/>
              </w:rPr>
              <w:tab/>
            </w:r>
            <w:r>
              <w:rPr>
                <w:noProof/>
                <w:webHidden/>
              </w:rPr>
              <w:fldChar w:fldCharType="begin"/>
            </w:r>
            <w:r>
              <w:rPr>
                <w:noProof/>
                <w:webHidden/>
              </w:rPr>
              <w:instrText xml:space="preserve"> PAGEREF _Toc214710216 \h </w:instrText>
            </w:r>
            <w:r>
              <w:rPr>
                <w:noProof/>
                <w:webHidden/>
              </w:rPr>
            </w:r>
            <w:r>
              <w:rPr>
                <w:noProof/>
                <w:webHidden/>
              </w:rPr>
              <w:fldChar w:fldCharType="separate"/>
            </w:r>
            <w:r>
              <w:rPr>
                <w:noProof/>
                <w:webHidden/>
              </w:rPr>
              <w:t>4</w:t>
            </w:r>
            <w:r>
              <w:rPr>
                <w:noProof/>
                <w:webHidden/>
              </w:rPr>
              <w:fldChar w:fldCharType="end"/>
            </w:r>
          </w:hyperlink>
        </w:p>
        <w:p w14:paraId="2DC26F5B" w14:textId="7ED5E3F6" w:rsidR="00554A3E" w:rsidRDefault="00554A3E">
          <w:pPr>
            <w:pStyle w:val="TOC1"/>
            <w:tabs>
              <w:tab w:val="right" w:leader="dot" w:pos="9016"/>
            </w:tabs>
            <w:rPr>
              <w:rFonts w:eastAsiaTheme="minorEastAsia"/>
              <w:b w:val="0"/>
              <w:bCs w:val="0"/>
              <w:caps w:val="0"/>
              <w:noProof/>
              <w:sz w:val="24"/>
              <w:szCs w:val="24"/>
              <w:lang w:eastAsia="en-GB"/>
            </w:rPr>
          </w:pPr>
          <w:hyperlink w:anchor="_Toc214710217" w:history="1">
            <w:r w:rsidRPr="00984491">
              <w:rPr>
                <w:rStyle w:val="Hyperlink"/>
                <w:rFonts w:ascii="Arial" w:hAnsi="Arial" w:cs="Arial"/>
                <w:noProof/>
              </w:rPr>
              <w:t>Data Mining Techniques</w:t>
            </w:r>
            <w:r>
              <w:rPr>
                <w:noProof/>
                <w:webHidden/>
              </w:rPr>
              <w:tab/>
            </w:r>
            <w:r>
              <w:rPr>
                <w:noProof/>
                <w:webHidden/>
              </w:rPr>
              <w:fldChar w:fldCharType="begin"/>
            </w:r>
            <w:r>
              <w:rPr>
                <w:noProof/>
                <w:webHidden/>
              </w:rPr>
              <w:instrText xml:space="preserve"> PAGEREF _Toc214710217 \h </w:instrText>
            </w:r>
            <w:r>
              <w:rPr>
                <w:noProof/>
                <w:webHidden/>
              </w:rPr>
            </w:r>
            <w:r>
              <w:rPr>
                <w:noProof/>
                <w:webHidden/>
              </w:rPr>
              <w:fldChar w:fldCharType="separate"/>
            </w:r>
            <w:r>
              <w:rPr>
                <w:noProof/>
                <w:webHidden/>
              </w:rPr>
              <w:t>5</w:t>
            </w:r>
            <w:r>
              <w:rPr>
                <w:noProof/>
                <w:webHidden/>
              </w:rPr>
              <w:fldChar w:fldCharType="end"/>
            </w:r>
          </w:hyperlink>
        </w:p>
        <w:p w14:paraId="1736CDA7" w14:textId="3B5E32B4" w:rsidR="00554A3E" w:rsidRDefault="00554A3E">
          <w:pPr>
            <w:pStyle w:val="TOC1"/>
            <w:tabs>
              <w:tab w:val="right" w:leader="dot" w:pos="9016"/>
            </w:tabs>
            <w:rPr>
              <w:rFonts w:eastAsiaTheme="minorEastAsia"/>
              <w:b w:val="0"/>
              <w:bCs w:val="0"/>
              <w:caps w:val="0"/>
              <w:noProof/>
              <w:sz w:val="24"/>
              <w:szCs w:val="24"/>
              <w:lang w:eastAsia="en-GB"/>
            </w:rPr>
          </w:pPr>
          <w:hyperlink w:anchor="_Toc214710218" w:history="1">
            <w:r w:rsidRPr="00984491">
              <w:rPr>
                <w:rStyle w:val="Hyperlink"/>
                <w:rFonts w:ascii="Arial" w:hAnsi="Arial" w:cs="Arial"/>
                <w:noProof/>
              </w:rPr>
              <w:t>Predictive Analysis</w:t>
            </w:r>
            <w:r>
              <w:rPr>
                <w:noProof/>
                <w:webHidden/>
              </w:rPr>
              <w:tab/>
            </w:r>
            <w:r>
              <w:rPr>
                <w:noProof/>
                <w:webHidden/>
              </w:rPr>
              <w:fldChar w:fldCharType="begin"/>
            </w:r>
            <w:r>
              <w:rPr>
                <w:noProof/>
                <w:webHidden/>
              </w:rPr>
              <w:instrText xml:space="preserve"> PAGEREF _Toc214710218 \h </w:instrText>
            </w:r>
            <w:r>
              <w:rPr>
                <w:noProof/>
                <w:webHidden/>
              </w:rPr>
            </w:r>
            <w:r>
              <w:rPr>
                <w:noProof/>
                <w:webHidden/>
              </w:rPr>
              <w:fldChar w:fldCharType="separate"/>
            </w:r>
            <w:r>
              <w:rPr>
                <w:noProof/>
                <w:webHidden/>
              </w:rPr>
              <w:t>6</w:t>
            </w:r>
            <w:r>
              <w:rPr>
                <w:noProof/>
                <w:webHidden/>
              </w:rPr>
              <w:fldChar w:fldCharType="end"/>
            </w:r>
          </w:hyperlink>
        </w:p>
        <w:p w14:paraId="2C7C401C" w14:textId="54BC34C4" w:rsidR="00554A3E" w:rsidRDefault="00554A3E">
          <w:pPr>
            <w:pStyle w:val="TOC1"/>
            <w:tabs>
              <w:tab w:val="right" w:leader="dot" w:pos="9016"/>
            </w:tabs>
            <w:rPr>
              <w:rFonts w:eastAsiaTheme="minorEastAsia"/>
              <w:b w:val="0"/>
              <w:bCs w:val="0"/>
              <w:caps w:val="0"/>
              <w:noProof/>
              <w:sz w:val="24"/>
              <w:szCs w:val="24"/>
              <w:lang w:eastAsia="en-GB"/>
            </w:rPr>
          </w:pPr>
          <w:hyperlink w:anchor="_Toc214710219" w:history="1">
            <w:r w:rsidRPr="00984491">
              <w:rPr>
                <w:rStyle w:val="Hyperlink"/>
                <w:rFonts w:ascii="Arial" w:hAnsi="Arial" w:cs="Arial"/>
                <w:noProof/>
              </w:rPr>
              <w:t>Ethical and Data Security Considerations</w:t>
            </w:r>
            <w:r>
              <w:rPr>
                <w:noProof/>
                <w:webHidden/>
              </w:rPr>
              <w:tab/>
            </w:r>
            <w:r>
              <w:rPr>
                <w:noProof/>
                <w:webHidden/>
              </w:rPr>
              <w:fldChar w:fldCharType="begin"/>
            </w:r>
            <w:r>
              <w:rPr>
                <w:noProof/>
                <w:webHidden/>
              </w:rPr>
              <w:instrText xml:space="preserve"> PAGEREF _Toc214710219 \h </w:instrText>
            </w:r>
            <w:r>
              <w:rPr>
                <w:noProof/>
                <w:webHidden/>
              </w:rPr>
            </w:r>
            <w:r>
              <w:rPr>
                <w:noProof/>
                <w:webHidden/>
              </w:rPr>
              <w:fldChar w:fldCharType="separate"/>
            </w:r>
            <w:r>
              <w:rPr>
                <w:noProof/>
                <w:webHidden/>
              </w:rPr>
              <w:t>7</w:t>
            </w:r>
            <w:r>
              <w:rPr>
                <w:noProof/>
                <w:webHidden/>
              </w:rPr>
              <w:fldChar w:fldCharType="end"/>
            </w:r>
          </w:hyperlink>
        </w:p>
        <w:p w14:paraId="35B42DBE" w14:textId="02BC4F6A" w:rsidR="00554A3E" w:rsidRDefault="00554A3E">
          <w:pPr>
            <w:pStyle w:val="TOC1"/>
            <w:tabs>
              <w:tab w:val="right" w:leader="dot" w:pos="9016"/>
            </w:tabs>
            <w:rPr>
              <w:rFonts w:eastAsiaTheme="minorEastAsia"/>
              <w:b w:val="0"/>
              <w:bCs w:val="0"/>
              <w:caps w:val="0"/>
              <w:noProof/>
              <w:sz w:val="24"/>
              <w:szCs w:val="24"/>
              <w:lang w:eastAsia="en-GB"/>
            </w:rPr>
          </w:pPr>
          <w:hyperlink w:anchor="_Toc214710220" w:history="1">
            <w:r w:rsidRPr="00984491">
              <w:rPr>
                <w:rStyle w:val="Hyperlink"/>
                <w:rFonts w:ascii="Arial" w:hAnsi="Arial" w:cs="Arial"/>
                <w:noProof/>
              </w:rPr>
              <w:t>Reporting and Dashboard Solutions</w:t>
            </w:r>
            <w:r>
              <w:rPr>
                <w:noProof/>
                <w:webHidden/>
              </w:rPr>
              <w:tab/>
            </w:r>
            <w:r>
              <w:rPr>
                <w:noProof/>
                <w:webHidden/>
              </w:rPr>
              <w:fldChar w:fldCharType="begin"/>
            </w:r>
            <w:r>
              <w:rPr>
                <w:noProof/>
                <w:webHidden/>
              </w:rPr>
              <w:instrText xml:space="preserve"> PAGEREF _Toc214710220 \h </w:instrText>
            </w:r>
            <w:r>
              <w:rPr>
                <w:noProof/>
                <w:webHidden/>
              </w:rPr>
            </w:r>
            <w:r>
              <w:rPr>
                <w:noProof/>
                <w:webHidden/>
              </w:rPr>
              <w:fldChar w:fldCharType="separate"/>
            </w:r>
            <w:r>
              <w:rPr>
                <w:noProof/>
                <w:webHidden/>
              </w:rPr>
              <w:t>8</w:t>
            </w:r>
            <w:r>
              <w:rPr>
                <w:noProof/>
                <w:webHidden/>
              </w:rPr>
              <w:fldChar w:fldCharType="end"/>
            </w:r>
          </w:hyperlink>
        </w:p>
        <w:p w14:paraId="5C4B9502" w14:textId="5138ADB4" w:rsidR="00554A3E" w:rsidRDefault="00554A3E">
          <w:pPr>
            <w:pStyle w:val="TOC1"/>
            <w:tabs>
              <w:tab w:val="right" w:leader="dot" w:pos="9016"/>
            </w:tabs>
            <w:rPr>
              <w:rFonts w:eastAsiaTheme="minorEastAsia"/>
              <w:b w:val="0"/>
              <w:bCs w:val="0"/>
              <w:caps w:val="0"/>
              <w:noProof/>
              <w:sz w:val="24"/>
              <w:szCs w:val="24"/>
              <w:lang w:eastAsia="en-GB"/>
            </w:rPr>
          </w:pPr>
          <w:hyperlink w:anchor="_Toc214710221" w:history="1">
            <w:r w:rsidRPr="0098449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_Toc214710221 \h </w:instrText>
            </w:r>
            <w:r>
              <w:rPr>
                <w:noProof/>
                <w:webHidden/>
              </w:rPr>
            </w:r>
            <w:r>
              <w:rPr>
                <w:noProof/>
                <w:webHidden/>
              </w:rPr>
              <w:fldChar w:fldCharType="separate"/>
            </w:r>
            <w:r>
              <w:rPr>
                <w:noProof/>
                <w:webHidden/>
              </w:rPr>
              <w:t>9</w:t>
            </w:r>
            <w:r>
              <w:rPr>
                <w:noProof/>
                <w:webHidden/>
              </w:rPr>
              <w:fldChar w:fldCharType="end"/>
            </w:r>
          </w:hyperlink>
        </w:p>
        <w:p w14:paraId="5AA05666" w14:textId="105A3D24" w:rsidR="00554A3E" w:rsidRDefault="00554A3E">
          <w:pPr>
            <w:pStyle w:val="TOC1"/>
            <w:tabs>
              <w:tab w:val="right" w:leader="dot" w:pos="9016"/>
            </w:tabs>
            <w:rPr>
              <w:rFonts w:eastAsiaTheme="minorEastAsia"/>
              <w:b w:val="0"/>
              <w:bCs w:val="0"/>
              <w:caps w:val="0"/>
              <w:noProof/>
              <w:sz w:val="24"/>
              <w:szCs w:val="24"/>
              <w:lang w:eastAsia="en-GB"/>
            </w:rPr>
          </w:pPr>
          <w:hyperlink w:anchor="_Toc214710222" w:history="1">
            <w:r w:rsidRPr="0098449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_Toc214710222 \h </w:instrText>
            </w:r>
            <w:r>
              <w:rPr>
                <w:noProof/>
                <w:webHidden/>
              </w:rPr>
            </w:r>
            <w:r>
              <w:rPr>
                <w:noProof/>
                <w:webHidden/>
              </w:rPr>
              <w:fldChar w:fldCharType="separate"/>
            </w:r>
            <w:r>
              <w:rPr>
                <w:noProof/>
                <w:webHidden/>
              </w:rPr>
              <w:t>10</w:t>
            </w:r>
            <w:r>
              <w:rPr>
                <w:noProof/>
                <w:webHidden/>
              </w:rPr>
              <w:fldChar w:fldCharType="end"/>
            </w:r>
          </w:hyperlink>
        </w:p>
        <w:p w14:paraId="6DADA398" w14:textId="541F7DBD" w:rsidR="00DF493E" w:rsidRPr="00554A3E" w:rsidRDefault="00DF493E" w:rsidP="00554A3E">
          <w:pPr>
            <w:spacing w:line="360" w:lineRule="auto"/>
            <w:jc w:val="both"/>
            <w:rPr>
              <w:rFonts w:ascii="Arial" w:hAnsi="Arial" w:cs="Arial"/>
            </w:rPr>
          </w:pPr>
          <w:r w:rsidRPr="00554A3E">
            <w:rPr>
              <w:rFonts w:ascii="Arial" w:hAnsi="Arial" w:cs="Arial"/>
              <w:b/>
              <w:bCs/>
              <w:noProof/>
            </w:rPr>
            <w:fldChar w:fldCharType="end"/>
          </w:r>
        </w:p>
      </w:sdtContent>
    </w:sdt>
    <w:p w14:paraId="78E087B3" w14:textId="77777777" w:rsidR="00DF493E" w:rsidRPr="00554A3E" w:rsidRDefault="00DF493E" w:rsidP="00554A3E">
      <w:pPr>
        <w:spacing w:line="360" w:lineRule="auto"/>
        <w:jc w:val="both"/>
        <w:rPr>
          <w:rFonts w:ascii="Arial" w:hAnsi="Arial" w:cs="Arial"/>
          <w:b/>
          <w:bCs/>
          <w:kern w:val="0"/>
          <w:sz w:val="26"/>
          <w:szCs w:val="26"/>
        </w:rPr>
      </w:pPr>
      <w:r w:rsidRPr="00554A3E">
        <w:rPr>
          <w:rFonts w:ascii="Arial" w:hAnsi="Arial" w:cs="Arial"/>
          <w:b/>
          <w:bCs/>
          <w:kern w:val="0"/>
          <w:sz w:val="26"/>
          <w:szCs w:val="26"/>
        </w:rPr>
        <w:br w:type="page"/>
      </w:r>
    </w:p>
    <w:p w14:paraId="0D95854E" w14:textId="70B8B40F" w:rsidR="00DF493E" w:rsidRPr="00554A3E" w:rsidRDefault="00DF493E" w:rsidP="00554A3E">
      <w:pPr>
        <w:pStyle w:val="Heading1"/>
        <w:spacing w:line="360" w:lineRule="auto"/>
        <w:jc w:val="both"/>
        <w:rPr>
          <w:rFonts w:ascii="Arial" w:hAnsi="Arial" w:cs="Arial"/>
        </w:rPr>
      </w:pPr>
      <w:bookmarkStart w:id="0" w:name="_Toc214710213"/>
      <w:r w:rsidRPr="00554A3E">
        <w:rPr>
          <w:rFonts w:ascii="Arial" w:hAnsi="Arial" w:cs="Arial"/>
        </w:rPr>
        <w:lastRenderedPageBreak/>
        <w:t>Executive Summary</w:t>
      </w:r>
      <w:bookmarkEnd w:id="0"/>
    </w:p>
    <w:p w14:paraId="3564A7AB" w14:textId="7F314087" w:rsidR="007E09DC" w:rsidRPr="007E09DC" w:rsidRDefault="007E09DC" w:rsidP="007E09DC">
      <w:pPr>
        <w:autoSpaceDE w:val="0"/>
        <w:autoSpaceDN w:val="0"/>
        <w:adjustRightInd w:val="0"/>
        <w:spacing w:line="360" w:lineRule="auto"/>
        <w:jc w:val="both"/>
        <w:rPr>
          <w:rFonts w:ascii="Arial" w:hAnsi="Arial" w:cs="Arial"/>
          <w:kern w:val="0"/>
          <w:sz w:val="26"/>
          <w:szCs w:val="26"/>
        </w:rPr>
      </w:pPr>
      <w:r w:rsidRPr="007E09DC">
        <w:rPr>
          <w:rFonts w:ascii="Arial" w:hAnsi="Arial" w:cs="Arial"/>
          <w:kern w:val="0"/>
          <w:sz w:val="26"/>
          <w:szCs w:val="26"/>
        </w:rPr>
        <w:t>This report examines how John Good Group, a medium-sized logistics and supply chain organisation, can use Business Intelligence (BI), Data Warehousing (DW), and Data Mining (DM) to strengthen strategic decision-making and operational performance.</w:t>
      </w:r>
      <w:r>
        <w:rPr>
          <w:rFonts w:ascii="Arial" w:hAnsi="Arial" w:cs="Arial"/>
          <w:kern w:val="0"/>
          <w:sz w:val="26"/>
          <w:szCs w:val="26"/>
        </w:rPr>
        <w:t xml:space="preserve"> </w:t>
      </w:r>
      <w:r w:rsidRPr="007E09DC">
        <w:rPr>
          <w:rFonts w:ascii="Arial" w:hAnsi="Arial" w:cs="Arial"/>
          <w:kern w:val="0"/>
          <w:sz w:val="26"/>
          <w:szCs w:val="26"/>
        </w:rPr>
        <w:t>A central DW is proposed as the single source of truth, integrating shipment, warehouse, financial, and customer data to improve data accessibility, support accurate KPI tracking, and enable advanced analytics across trade lanes and service lines.BI dashboards in tools such as Microsoft Power BI and Tableau would provide real-time visibility of key metrics including on-time in-full (OTIF), container utilisation, average transit time, demurrage costs, and customer profitability, enabling managers to quickly identify bottlenecks, underperforming routes, and service risks. DM techniques, particularly clustering and classification, are recommended to segment customers, predict churn, and detect fraud, while predictive analytics models would forecast shipment volumes, capacity needs, and cost trends to inform pricing, contracting, and network design decisions.</w:t>
      </w:r>
      <w:r>
        <w:rPr>
          <w:rFonts w:ascii="Arial" w:hAnsi="Arial" w:cs="Arial"/>
          <w:kern w:val="0"/>
          <w:sz w:val="26"/>
          <w:szCs w:val="26"/>
        </w:rPr>
        <w:t xml:space="preserve"> </w:t>
      </w:r>
      <w:r w:rsidRPr="007E09DC">
        <w:rPr>
          <w:rFonts w:ascii="Arial" w:hAnsi="Arial" w:cs="Arial"/>
          <w:kern w:val="0"/>
          <w:sz w:val="26"/>
          <w:szCs w:val="26"/>
        </w:rPr>
        <w:t>The report also highlights ethical and security requirements under UK GDPR, emphasising lawful processing, transparency, role-based access, encryption, and monitoring to mitigate insider and cyber threats. A phased implementation roadmap is outlined, covering data governance, platform selection, pilot dashboards, and gradual scaling of predictive and visual analytics capabilities.</w:t>
      </w:r>
    </w:p>
    <w:p w14:paraId="718121CF" w14:textId="77777777" w:rsidR="007E09DC" w:rsidRPr="007E09DC" w:rsidRDefault="007E09DC" w:rsidP="007E09DC">
      <w:pPr>
        <w:autoSpaceDE w:val="0"/>
        <w:autoSpaceDN w:val="0"/>
        <w:adjustRightInd w:val="0"/>
        <w:spacing w:line="360" w:lineRule="auto"/>
        <w:jc w:val="both"/>
        <w:rPr>
          <w:rFonts w:ascii="Arial" w:hAnsi="Arial" w:cs="Arial"/>
          <w:kern w:val="0"/>
          <w:sz w:val="26"/>
          <w:szCs w:val="26"/>
        </w:rPr>
      </w:pPr>
    </w:p>
    <w:p w14:paraId="39C900AF" w14:textId="77777777" w:rsidR="007E09DC" w:rsidRDefault="007E09DC">
      <w:pPr>
        <w:rPr>
          <w:rFonts w:ascii="Arial" w:hAnsi="Arial" w:cs="Arial"/>
          <w:kern w:val="0"/>
          <w:sz w:val="26"/>
          <w:szCs w:val="26"/>
        </w:rPr>
      </w:pPr>
      <w:bookmarkStart w:id="1" w:name="_Toc214710214"/>
      <w:r>
        <w:rPr>
          <w:rFonts w:ascii="Arial" w:hAnsi="Arial" w:cs="Arial"/>
          <w:kern w:val="0"/>
          <w:sz w:val="26"/>
          <w:szCs w:val="26"/>
        </w:rPr>
        <w:br w:type="page"/>
      </w:r>
    </w:p>
    <w:p w14:paraId="6BE61EF3" w14:textId="53E6A9D0" w:rsidR="00DF493E" w:rsidRPr="00554A3E" w:rsidRDefault="00DF493E" w:rsidP="00554A3E">
      <w:pPr>
        <w:autoSpaceDE w:val="0"/>
        <w:autoSpaceDN w:val="0"/>
        <w:adjustRightInd w:val="0"/>
        <w:spacing w:line="360" w:lineRule="auto"/>
        <w:jc w:val="both"/>
        <w:rPr>
          <w:rFonts w:ascii="Arial" w:hAnsi="Arial" w:cs="Arial"/>
          <w:i/>
          <w:iCs/>
          <w:kern w:val="0"/>
          <w:sz w:val="26"/>
          <w:szCs w:val="26"/>
        </w:rPr>
      </w:pPr>
      <w:r w:rsidRPr="00554A3E">
        <w:rPr>
          <w:rStyle w:val="Heading1Char"/>
          <w:rFonts w:ascii="Arial" w:hAnsi="Arial" w:cs="Arial"/>
        </w:rPr>
        <w:lastRenderedPageBreak/>
        <w:t>Introduction</w:t>
      </w:r>
      <w:bookmarkEnd w:id="1"/>
    </w:p>
    <w:p w14:paraId="6D5EFF4A" w14:textId="39A2238B" w:rsidR="00DF493E" w:rsidRPr="00554A3E" w:rsidRDefault="00603931" w:rsidP="00554A3E">
      <w:pPr>
        <w:autoSpaceDE w:val="0"/>
        <w:autoSpaceDN w:val="0"/>
        <w:adjustRightInd w:val="0"/>
        <w:spacing w:line="360" w:lineRule="auto"/>
        <w:jc w:val="both"/>
        <w:rPr>
          <w:rFonts w:ascii="Arial" w:hAnsi="Arial" w:cs="Arial"/>
          <w:kern w:val="0"/>
          <w:sz w:val="26"/>
          <w:szCs w:val="26"/>
        </w:rPr>
      </w:pPr>
      <w:r w:rsidRPr="00603931">
        <w:rPr>
          <w:rFonts w:ascii="Arial" w:hAnsi="Arial" w:cs="Arial"/>
          <w:kern w:val="0"/>
          <w:sz w:val="26"/>
          <w:szCs w:val="26"/>
        </w:rPr>
        <w:t>Business Intelligence (BI), as a technology-driven method for analysing data to deliver actionable insights for managerial decision-making, has become increasingly important with the rise of "big data" (</w:t>
      </w:r>
      <w:proofErr w:type="spellStart"/>
      <w:r w:rsidRPr="00603931">
        <w:rPr>
          <w:rFonts w:ascii="Arial" w:hAnsi="Arial" w:cs="Arial"/>
          <w:kern w:val="0"/>
          <w:sz w:val="26"/>
          <w:szCs w:val="26"/>
        </w:rPr>
        <w:t>Puklavec</w:t>
      </w:r>
      <w:proofErr w:type="spellEnd"/>
      <w:r w:rsidRPr="00603931">
        <w:rPr>
          <w:rFonts w:ascii="Arial" w:hAnsi="Arial" w:cs="Arial"/>
          <w:kern w:val="0"/>
          <w:sz w:val="26"/>
          <w:szCs w:val="26"/>
        </w:rPr>
        <w:t xml:space="preserve"> et al., 2018). John Good Group, a medium-sized UK company specialising in freight forwarding, logistics, and supply chain services, handles international shipments, warehousing, and value-added services for varied commercial clients. Within a data-intensive industry, leveraging BI, Data Warehousing (DW), and Data Mining (DM) is essential for improving operational visibility, facilitating data-driven decisions, and maintaining competitiveness in a dynamic logistics landscape. This report evaluates how these technologies can enhance John Good Group’s strategic decision-making and operational performance, while improving forecasting and performance management. It reviews trends in BI, DW, and DM, analyses the role of centralised data warehousing, explores applicable data mining techniques for customer and operational data, and assesses predictive analytics tools and UK GDPR compliance. Finally, practical recommendations and a phased implementation strategy are outlined.</w:t>
      </w:r>
    </w:p>
    <w:p w14:paraId="7074AF71" w14:textId="74F92024" w:rsidR="00DF493E" w:rsidRPr="00554A3E" w:rsidRDefault="00DF493E" w:rsidP="00603931">
      <w:pPr>
        <w:autoSpaceDE w:val="0"/>
        <w:autoSpaceDN w:val="0"/>
        <w:adjustRightInd w:val="0"/>
        <w:spacing w:before="240" w:line="360" w:lineRule="auto"/>
        <w:jc w:val="both"/>
        <w:rPr>
          <w:rFonts w:ascii="Arial" w:hAnsi="Arial" w:cs="Arial"/>
          <w:i/>
          <w:iCs/>
          <w:kern w:val="0"/>
          <w:sz w:val="26"/>
          <w:szCs w:val="26"/>
        </w:rPr>
      </w:pPr>
      <w:bookmarkStart w:id="2" w:name="_Toc214710215"/>
      <w:r w:rsidRPr="00554A3E">
        <w:rPr>
          <w:rStyle w:val="Heading1Char"/>
          <w:rFonts w:ascii="Arial" w:hAnsi="Arial" w:cs="Arial"/>
        </w:rPr>
        <w:t>Trends in BI, DW, and DM</w:t>
      </w:r>
      <w:bookmarkEnd w:id="2"/>
    </w:p>
    <w:p w14:paraId="6E113D49" w14:textId="5F09F93A" w:rsidR="00A106CE" w:rsidRPr="00554A3E" w:rsidRDefault="00A106CE"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Business intelligence (BI) refers to the interactive process of examining and analysing structured information, often stored in data warehouses, to identify trends or patterns that inform decision-making (Tiwari, 2023). Data mining complements BI by systematically uncovering valuable insights within organized datasets, requiring patterns to meet criteria such as validity, innovation, utility, and clarity (Maheshwari, 2015). Combining techniques from database management, statistics, artificial intelligence, and business management, data mining utilizes historical data to forecast future trends, making it a multidisciplinary and transformative tool. The modern BI and data warehousing landscape are undergoing significant changes driven by technological innovations and shifting business demands. Key trends include real-time BI enabling immediate responses to market shifts (DCHBI, 2025) and cloud-based data warehousing, which enhances scalability, reduces costs, and boosts efficiency </w:t>
      </w:r>
      <w:r w:rsidRPr="00554A3E">
        <w:rPr>
          <w:rFonts w:ascii="Arial" w:hAnsi="Arial" w:cs="Arial"/>
          <w:kern w:val="0"/>
        </w:rPr>
        <w:lastRenderedPageBreak/>
        <w:t>(</w:t>
      </w:r>
      <w:proofErr w:type="spellStart"/>
      <w:r w:rsidRPr="00554A3E">
        <w:rPr>
          <w:rFonts w:ascii="Arial" w:hAnsi="Arial" w:cs="Arial"/>
          <w:kern w:val="0"/>
        </w:rPr>
        <w:t>Acceldata</w:t>
      </w:r>
      <w:proofErr w:type="spellEnd"/>
      <w:r w:rsidRPr="00554A3E">
        <w:rPr>
          <w:rFonts w:ascii="Arial" w:hAnsi="Arial" w:cs="Arial"/>
          <w:kern w:val="0"/>
        </w:rPr>
        <w:t>, 2024). Cloud-native architectures further improve real-time processing, team collaboration, and operational flexibility (Jonker, Holdsworth &amp; Kosinski, n.d.).</w:t>
      </w:r>
    </w:p>
    <w:p w14:paraId="243C6E3B" w14:textId="0E816CDE" w:rsidR="00DF493E" w:rsidRPr="00554A3E" w:rsidRDefault="00A106CE"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Boomi (2025), data warehouses play a crucial role in organizational decision-making by consolidating data from various sources, such as CRM systems, ERP platforms, transactional databases, and external inputs, to create a unified and accurate information ecosystem. This process involves integrating, cleansing, and standardizing data to enhance quality and remove inconsistencies. Data warehouses eliminate siloed systems, enabling cross-functional collaboration and fostering holistic insights for better strategic planning. Furthermore, as noted by Jonker, Holdsworth, and Kosinski (n.d.), they support advanced analytics, predictive </w:t>
      </w:r>
      <w:r w:rsidR="00A74C8C" w:rsidRPr="00554A3E">
        <w:rPr>
          <w:rFonts w:ascii="Arial" w:hAnsi="Arial" w:cs="Arial"/>
          <w:kern w:val="0"/>
        </w:rPr>
        <w:t>modelling</w:t>
      </w:r>
      <w:r w:rsidRPr="00554A3E">
        <w:rPr>
          <w:rFonts w:ascii="Arial" w:hAnsi="Arial" w:cs="Arial"/>
          <w:kern w:val="0"/>
        </w:rPr>
        <w:t>, and business intelligence tools, empowering stakeholders to make faster, informed decisions across multiple operational areas.</w:t>
      </w:r>
    </w:p>
    <w:p w14:paraId="3D5D98BD" w14:textId="2B79C175" w:rsidR="00DF493E" w:rsidRPr="00554A3E" w:rsidRDefault="00A106CE"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Boomi (2025), data warehouses significantly enhance organizational decision-making by consolidating information from diverse sources, including CRM systems, ERP platforms, transactional databases, and external data, to establish a unified and reliable information framework. This integration process involves rigorous cleansing and standardization to improve data quality and consistency while eliminating errors and siloed systems. Furthermore, as stated by Jonker, Holdsworth, and Kosinski (n.d.), data warehouses facilitate advanced analytics, predictive </w:t>
      </w:r>
      <w:r w:rsidR="00A74C8C" w:rsidRPr="00554A3E">
        <w:rPr>
          <w:rFonts w:ascii="Arial" w:hAnsi="Arial" w:cs="Arial"/>
          <w:kern w:val="0"/>
        </w:rPr>
        <w:t>modelling</w:t>
      </w:r>
      <w:r w:rsidRPr="00554A3E">
        <w:rPr>
          <w:rFonts w:ascii="Arial" w:hAnsi="Arial" w:cs="Arial"/>
          <w:kern w:val="0"/>
        </w:rPr>
        <w:t>, and business intelligence applications, enabling stakeholders across departments to collaborate effectively and make informed decisions that support strategic goals.</w:t>
      </w:r>
    </w:p>
    <w:p w14:paraId="41419E24" w14:textId="4FD14CBD" w:rsidR="00534F2D" w:rsidRPr="00554A3E" w:rsidRDefault="00DF493E" w:rsidP="00603931">
      <w:pPr>
        <w:autoSpaceDE w:val="0"/>
        <w:autoSpaceDN w:val="0"/>
        <w:adjustRightInd w:val="0"/>
        <w:spacing w:before="240" w:line="360" w:lineRule="auto"/>
        <w:jc w:val="both"/>
        <w:rPr>
          <w:rFonts w:ascii="Arial" w:hAnsi="Arial" w:cs="Arial"/>
          <w:kern w:val="0"/>
          <w:sz w:val="26"/>
          <w:szCs w:val="26"/>
        </w:rPr>
      </w:pPr>
      <w:bookmarkStart w:id="3" w:name="_Toc214710216"/>
      <w:r w:rsidRPr="00554A3E">
        <w:rPr>
          <w:rStyle w:val="Heading1Char"/>
          <w:rFonts w:ascii="Arial" w:hAnsi="Arial" w:cs="Arial"/>
        </w:rPr>
        <w:t>Data Warehousing in the Organisation Applications</w:t>
      </w:r>
      <w:bookmarkEnd w:id="3"/>
    </w:p>
    <w:p w14:paraId="7934A83D" w14:textId="5C8EF020" w:rsidR="00A74C8C" w:rsidRDefault="00A74C8C"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Nambiar and Mundra (2022), a data warehouse functions as a substantial centralized repository that aggregates data from diverse organizational sources and serves as a fundamental infrastructure component within business intelligence ecosystems, thereby facilitating structured decision-making processes and enabling enterprises to systematically collect, preserve, and process information with operational efficiency while generating strategic insights essential for sustaining competitive advantage in contemporary business environments. Within the operational context of John Good Group, which encompasses freight forwarding, logistics management, and supply chain services, the implementation of a data </w:t>
      </w:r>
      <w:r w:rsidRPr="00554A3E">
        <w:rPr>
          <w:rFonts w:ascii="Arial" w:hAnsi="Arial" w:cs="Arial"/>
          <w:kern w:val="0"/>
        </w:rPr>
        <w:lastRenderedPageBreak/>
        <w:t xml:space="preserve">warehouse would consolidate disparate datasets originating from transport management systems, warehouse management platforms, financial records, and customer relationship management applications into a unified authoritative data source, consequently enhancing data accessibility whilst substantially reducing the administrative burden associated with staff reconciliation efforts across multiple spreadsheets and functionally isolated database systems. As noted by Data Sleek (2025), the centralization of logistics-specific information—encompassing shipment transactions, carrier performance indicators, customs processing intervals, and inventory status—facilitates comprehensive monitoring of on-time delivery performance, systematic identification of operational bottlenecks across particular routes and port facilities, and strategic optimization of container utilization rates, thereby yielding improvements in both operational productivity and service quality delivery. At the strategic organizational level, according to </w:t>
      </w:r>
      <w:proofErr w:type="spellStart"/>
      <w:r w:rsidRPr="00554A3E">
        <w:rPr>
          <w:rFonts w:ascii="Arial" w:hAnsi="Arial" w:cs="Arial"/>
          <w:kern w:val="0"/>
        </w:rPr>
        <w:t>Rabadyia</w:t>
      </w:r>
      <w:proofErr w:type="spellEnd"/>
      <w:r w:rsidRPr="00554A3E">
        <w:rPr>
          <w:rFonts w:ascii="Arial" w:hAnsi="Arial" w:cs="Arial"/>
          <w:kern w:val="0"/>
        </w:rPr>
        <w:t xml:space="preserve"> (2025), the data warehouse infrastructure supports sophisticated trend analysis and scenario-based modelling capabilities, empowering senior management to conduct comparative assessments of historical profitability across trade lanes, evaluate financial implications of fuel surcharges, and determine long-term customer value propositions through comprehensive analysis rather than fragmented operational reporting systems. Illustratively, John Good Group could leverage data warehouse-supported sales analytics to examine revenue patterns disaggregated by trade lane, commodity category, and customer segment over extended temporal periods, thereby informing critical portfolio management decisions regarding market prioritization and carrier contract negotiations. Furthermore, the consolidation of supply chain operational data encompassing vendor lead times, demurrage expenses, and exception incidents would enable the organization to recognize systemic vulnerabilities and support strategic determinations concerning alternative routing configurations, collaborative partnership arrangements, or capital investment decisions regarding warehouse facility expansion, ultimately positioning the data warehouse as a foundational infrastructure component that operationalizes evidence-based strategic decision-making throughout the organizational structure.</w:t>
      </w:r>
    </w:p>
    <w:p w14:paraId="3BD6839C" w14:textId="77777777" w:rsidR="00A45A40" w:rsidRDefault="00A45A40" w:rsidP="00554A3E">
      <w:pPr>
        <w:autoSpaceDE w:val="0"/>
        <w:autoSpaceDN w:val="0"/>
        <w:adjustRightInd w:val="0"/>
        <w:spacing w:line="360" w:lineRule="auto"/>
        <w:jc w:val="both"/>
        <w:rPr>
          <w:rFonts w:ascii="Arial" w:hAnsi="Arial" w:cs="Arial"/>
          <w:kern w:val="0"/>
        </w:rPr>
      </w:pPr>
    </w:p>
    <w:p w14:paraId="708D6ECD" w14:textId="77777777" w:rsidR="00A45A40" w:rsidRDefault="00A45A40" w:rsidP="00554A3E">
      <w:pPr>
        <w:autoSpaceDE w:val="0"/>
        <w:autoSpaceDN w:val="0"/>
        <w:adjustRightInd w:val="0"/>
        <w:spacing w:line="360" w:lineRule="auto"/>
        <w:jc w:val="both"/>
        <w:rPr>
          <w:rFonts w:ascii="Arial" w:hAnsi="Arial" w:cs="Arial"/>
          <w:kern w:val="0"/>
        </w:rPr>
      </w:pPr>
    </w:p>
    <w:p w14:paraId="42784AFA" w14:textId="77777777" w:rsidR="00A45A40" w:rsidRPr="00554A3E" w:rsidRDefault="00A45A40" w:rsidP="00554A3E">
      <w:pPr>
        <w:autoSpaceDE w:val="0"/>
        <w:autoSpaceDN w:val="0"/>
        <w:adjustRightInd w:val="0"/>
        <w:spacing w:line="360" w:lineRule="auto"/>
        <w:jc w:val="both"/>
        <w:rPr>
          <w:rFonts w:ascii="Arial" w:hAnsi="Arial" w:cs="Arial"/>
          <w:kern w:val="0"/>
        </w:rPr>
      </w:pPr>
    </w:p>
    <w:p w14:paraId="405C7511" w14:textId="677420A3" w:rsidR="00DF493E" w:rsidRPr="00554A3E" w:rsidRDefault="00DF493E" w:rsidP="00603931">
      <w:pPr>
        <w:autoSpaceDE w:val="0"/>
        <w:autoSpaceDN w:val="0"/>
        <w:adjustRightInd w:val="0"/>
        <w:spacing w:before="240" w:line="360" w:lineRule="auto"/>
        <w:jc w:val="both"/>
        <w:rPr>
          <w:rFonts w:ascii="Arial" w:hAnsi="Arial" w:cs="Arial"/>
          <w:kern w:val="0"/>
          <w:sz w:val="26"/>
          <w:szCs w:val="26"/>
        </w:rPr>
      </w:pPr>
      <w:bookmarkStart w:id="4" w:name="_Toc214710217"/>
      <w:r w:rsidRPr="00554A3E">
        <w:rPr>
          <w:rStyle w:val="Heading1Char"/>
          <w:rFonts w:ascii="Arial" w:hAnsi="Arial" w:cs="Arial"/>
        </w:rPr>
        <w:lastRenderedPageBreak/>
        <w:t>Data Mining Techniques</w:t>
      </w:r>
      <w:bookmarkEnd w:id="4"/>
      <w:r w:rsidRPr="00554A3E">
        <w:rPr>
          <w:rFonts w:ascii="Arial" w:hAnsi="Arial" w:cs="Arial"/>
          <w:b/>
          <w:bCs/>
          <w:kern w:val="0"/>
          <w:sz w:val="26"/>
          <w:szCs w:val="26"/>
        </w:rPr>
        <w:t xml:space="preserve"> </w:t>
      </w:r>
    </w:p>
    <w:p w14:paraId="652E64FB" w14:textId="77777777" w:rsidR="0027501C" w:rsidRPr="00554A3E" w:rsidRDefault="0027501C"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Witten et al. (2025), organisations such as John Good Group can strategically leverage clustering and classification as two fundamental data mining techniques to extract meaningful strategic insights derived from its operational and transactional datasets. </w:t>
      </w:r>
    </w:p>
    <w:p w14:paraId="3B0D58AF" w14:textId="77777777" w:rsidR="0027501C" w:rsidRPr="00554A3E" w:rsidRDefault="0027501C" w:rsidP="00554A3E">
      <w:pPr>
        <w:autoSpaceDE w:val="0"/>
        <w:autoSpaceDN w:val="0"/>
        <w:adjustRightInd w:val="0"/>
        <w:spacing w:line="360" w:lineRule="auto"/>
        <w:jc w:val="both"/>
        <w:rPr>
          <w:rFonts w:ascii="Arial" w:hAnsi="Arial" w:cs="Arial"/>
          <w:kern w:val="0"/>
        </w:rPr>
      </w:pPr>
      <w:r w:rsidRPr="00554A3E">
        <w:rPr>
          <w:rFonts w:ascii="Arial" w:hAnsi="Arial" w:cs="Arial"/>
          <w:b/>
          <w:bCs/>
          <w:kern w:val="0"/>
        </w:rPr>
        <w:t>Clustering</w:t>
      </w:r>
      <w:r w:rsidRPr="00554A3E">
        <w:rPr>
          <w:rFonts w:ascii="Arial" w:hAnsi="Arial" w:cs="Arial"/>
          <w:kern w:val="0"/>
        </w:rPr>
        <w:t xml:space="preserve"> functions as an unsupervised learning methodology that facilitates the grouping of analogous data observations without requiring predefined categorical labels, thereby enabling the organization to systematically segment its customer base, recognize emergent market opportunities, and identify inherent behavioural patterns within service consumption activities. As noted by Sharma (2025), within the operational context of John Good Group, the application of clustering methodologies could facilitate the discovery of distinct customer behavioural segments characterized by differentiated purchasing patterns, variable engagement frequencies, and heterogeneous service preferences, consequently identifying high-value customer cohorts meriting premium service delivery approaches while simultaneously isolating at-risk customer segments requiring targeted retention interventions. </w:t>
      </w:r>
    </w:p>
    <w:p w14:paraId="57A46EDE" w14:textId="77777777" w:rsidR="0027501C" w:rsidRPr="00554A3E" w:rsidRDefault="0027501C"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Complementarily, according to Witten et al. (2025), </w:t>
      </w:r>
      <w:r w:rsidRPr="00554A3E">
        <w:rPr>
          <w:rFonts w:ascii="Arial" w:hAnsi="Arial" w:cs="Arial"/>
          <w:b/>
          <w:bCs/>
          <w:kern w:val="0"/>
        </w:rPr>
        <w:t>classification</w:t>
      </w:r>
      <w:r w:rsidRPr="00554A3E">
        <w:rPr>
          <w:rFonts w:ascii="Arial" w:hAnsi="Arial" w:cs="Arial"/>
          <w:kern w:val="0"/>
        </w:rPr>
        <w:t xml:space="preserve"> represents a supervised learning technique that systematically assigns observational data to predefined categorical classifications through utilization of historical labelled training datasets, thereby enabling the organization to effectively automate complex decision-making processes and generate accurate outcome predictions, with particular applicability toward John Good Group's fraud detection requirements, credit risk evaluation capabilities, and customer churn forecasting functions, ultimately permitting the organization to proactively identify suspicious transactional activities and recognize customers demonstrating heightened probability of service discontinuation prior to revenue deterioration. As articulated by Vyas (2023), these complementary techniques function synergistically, with clustering methodologies providing foundational exploratory insights regarding customer heterogeneity whilst classification techniques translate such insights into operationally actionable predictive models that meaningfully influence organizational decision-making processes. </w:t>
      </w:r>
    </w:p>
    <w:p w14:paraId="0D85B991" w14:textId="7AEC769A" w:rsidR="00DF493E" w:rsidRPr="00554A3E" w:rsidRDefault="0027501C"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w:t>
      </w:r>
      <w:proofErr w:type="spellStart"/>
      <w:r w:rsidRPr="00554A3E">
        <w:rPr>
          <w:rFonts w:ascii="Arial" w:hAnsi="Arial" w:cs="Arial"/>
          <w:kern w:val="0"/>
        </w:rPr>
        <w:t>Rosidi</w:t>
      </w:r>
      <w:proofErr w:type="spellEnd"/>
      <w:r w:rsidRPr="00554A3E">
        <w:rPr>
          <w:rFonts w:ascii="Arial" w:hAnsi="Arial" w:cs="Arial"/>
          <w:kern w:val="0"/>
        </w:rPr>
        <w:t xml:space="preserve"> (2023), businesses such as John Good Group should contemplate enterprise-grade analytical platforms including RapidMiner, which incorporates over </w:t>
      </w:r>
      <w:r w:rsidRPr="00554A3E">
        <w:rPr>
          <w:rFonts w:ascii="Arial" w:hAnsi="Arial" w:cs="Arial"/>
          <w:kern w:val="0"/>
        </w:rPr>
        <w:lastRenderedPageBreak/>
        <w:t>1,500 preconstructed algorithmic implementations with intuitive drag-and-drop interfaces eliminating programming prerequisites, or IBM SPSS Modeler, representing a comprehensive analytical environment supporting integrated clustering and classification workflows alongside robust statistical validation mechanisms, with Python-based alternatives incorporating scikit-learn libraries offering flexible and economically advantageous alternatives for technically proficient organizational teams, collectively enabling John Good Group to transition from reactive data analysis toward predictive, data-informed decision-making frameworks that directly enhance competitive market positioning and revenue generation potential.</w:t>
      </w:r>
    </w:p>
    <w:p w14:paraId="5E2C9B22" w14:textId="5F8A9881" w:rsidR="00DF493E" w:rsidRPr="00554A3E" w:rsidRDefault="00DF493E" w:rsidP="00A45A40">
      <w:pPr>
        <w:autoSpaceDE w:val="0"/>
        <w:autoSpaceDN w:val="0"/>
        <w:adjustRightInd w:val="0"/>
        <w:spacing w:before="240" w:line="360" w:lineRule="auto"/>
        <w:jc w:val="both"/>
        <w:rPr>
          <w:rFonts w:ascii="Arial" w:hAnsi="Arial" w:cs="Arial"/>
          <w:kern w:val="0"/>
          <w:sz w:val="26"/>
          <w:szCs w:val="26"/>
        </w:rPr>
      </w:pPr>
      <w:bookmarkStart w:id="5" w:name="_Toc214710218"/>
      <w:r w:rsidRPr="00554A3E">
        <w:rPr>
          <w:rStyle w:val="Heading1Char"/>
          <w:rFonts w:ascii="Arial" w:hAnsi="Arial" w:cs="Arial"/>
        </w:rPr>
        <w:t>Predictive Analysis</w:t>
      </w:r>
      <w:bookmarkEnd w:id="5"/>
      <w:r w:rsidRPr="00554A3E">
        <w:rPr>
          <w:rFonts w:ascii="Arial" w:hAnsi="Arial" w:cs="Arial"/>
          <w:b/>
          <w:bCs/>
          <w:kern w:val="0"/>
          <w:sz w:val="26"/>
          <w:szCs w:val="26"/>
        </w:rPr>
        <w:t xml:space="preserve"> </w:t>
      </w:r>
    </w:p>
    <w:p w14:paraId="0B411643" w14:textId="77777777" w:rsidR="00415A61" w:rsidRPr="00554A3E" w:rsidRDefault="00415A61"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Salehi and </w:t>
      </w:r>
      <w:proofErr w:type="spellStart"/>
      <w:r w:rsidRPr="00554A3E">
        <w:rPr>
          <w:rFonts w:ascii="Arial" w:hAnsi="Arial" w:cs="Arial"/>
          <w:kern w:val="0"/>
        </w:rPr>
        <w:t>Khedmati</w:t>
      </w:r>
      <w:proofErr w:type="spellEnd"/>
      <w:r w:rsidRPr="00554A3E">
        <w:rPr>
          <w:rFonts w:ascii="Arial" w:hAnsi="Arial" w:cs="Arial"/>
          <w:kern w:val="0"/>
        </w:rPr>
        <w:t xml:space="preserve"> (2024), a pragmatic predictive analytics infrastructure suitable for a logistics-focused medium-sized enterprise such as John Good Group would strategically integrate Microsoft Power BI, IBM SPSS, Excel, and RapidMiner as complementary analytical platforms. </w:t>
      </w:r>
    </w:p>
    <w:p w14:paraId="1E3FC4D6" w14:textId="77777777" w:rsidR="00415A61" w:rsidRPr="00554A3E" w:rsidRDefault="00415A61"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As established in academic literature by Mohamed Jafar and Sivakumar (2014), Power BI provides sophisticated dashboarding capabilities and incorporates native time-series forecasting functionality utilizing exponential smoothing methodologies, which represent well-validated approaches for generating short-term forecasts encompassing trend and seasonality components within business datasets, thereby rendering this platform particularly suitable for automating routine weekly prognostications regarding shipment volumes, revenue distributions across differentiated trade lanes, and port throughput capacity utilization directly from the organization's centralized data warehouse infrastructure. </w:t>
      </w:r>
    </w:p>
    <w:p w14:paraId="31C1630E" w14:textId="77777777" w:rsidR="00415A61" w:rsidRPr="00554A3E" w:rsidRDefault="00415A61"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As mentioned by </w:t>
      </w:r>
      <w:proofErr w:type="spellStart"/>
      <w:r w:rsidRPr="00554A3E">
        <w:rPr>
          <w:rFonts w:ascii="Arial" w:hAnsi="Arial" w:cs="Arial"/>
          <w:kern w:val="0"/>
        </w:rPr>
        <w:t>Koteeswaran</w:t>
      </w:r>
      <w:proofErr w:type="spellEnd"/>
      <w:r w:rsidRPr="00554A3E">
        <w:rPr>
          <w:rFonts w:ascii="Arial" w:hAnsi="Arial" w:cs="Arial"/>
          <w:kern w:val="0"/>
        </w:rPr>
        <w:t xml:space="preserve">, Visu, and Janet (2012), Excel maintains considerable practical value within organizational analytics environments by virtue of its widespread dissemination throughout academic and industrial sectors, enabling ad hoc predictive modelling and scenario-based what-if analysis through supplementary add-in functionalities whilst simultaneously presenting minimal training prerequisites for operational personnel. </w:t>
      </w:r>
    </w:p>
    <w:p w14:paraId="75E21B7C" w14:textId="77777777" w:rsidR="00415A61" w:rsidRPr="00554A3E" w:rsidRDefault="00415A61"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Rosidi (2023) notes that IBM SPSS furnishes advanced statistical and predictive modelling capabilities encompassing regression methodologies, classification procedures, and time-series analytical techniques, and is consistently recognized </w:t>
      </w:r>
      <w:r w:rsidRPr="00554A3E">
        <w:rPr>
          <w:rFonts w:ascii="Arial" w:hAnsi="Arial" w:cs="Arial"/>
          <w:kern w:val="0"/>
        </w:rPr>
        <w:lastRenderedPageBreak/>
        <w:t xml:space="preserve">within scholarly literature as a dependable analytical environment supporting sophisticated analysis of structured organizational data. </w:t>
      </w:r>
    </w:p>
    <w:p w14:paraId="465D65D8" w14:textId="77777777" w:rsidR="00415A61" w:rsidRPr="00554A3E" w:rsidRDefault="00415A61"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w:t>
      </w:r>
      <w:proofErr w:type="spellStart"/>
      <w:r w:rsidRPr="00554A3E">
        <w:rPr>
          <w:rFonts w:ascii="Arial" w:hAnsi="Arial" w:cs="Arial"/>
          <w:kern w:val="0"/>
        </w:rPr>
        <w:t>Altkom</w:t>
      </w:r>
      <w:proofErr w:type="spellEnd"/>
      <w:r w:rsidRPr="00554A3E">
        <w:rPr>
          <w:rFonts w:ascii="Arial" w:hAnsi="Arial" w:cs="Arial"/>
          <w:kern w:val="0"/>
        </w:rPr>
        <w:t xml:space="preserve"> Software (2024), RapidMiner complements these analytical tools through provision of a visually-oriented, programming-optional interface encompassing the comprehensive predictive analytics workflow spanning data preparation, model construction, validation procedures, and operational deployment phases, consequently facilitating the development of customer churn prediction, shipment delay forecasting, and cost overrun identification models without necessitating extensive programming expertise, whilst distinguishing itself from SPSS through emphasis upon intuitive drag-and-drop workflows and integration capabilities with heterogeneous data repositories, whereas Power BI demonstrates particular efficacy in seamlessly interfacing with established Microsoft technological infrastructure and operationalizing predictive model outputs within interactive reporting mechanisms disseminated throughout the organizational structure. </w:t>
      </w:r>
    </w:p>
    <w:p w14:paraId="4EE52786" w14:textId="36514526" w:rsidR="00534F2D" w:rsidRPr="00554A3E" w:rsidRDefault="00415A61" w:rsidP="00554A3E">
      <w:pPr>
        <w:autoSpaceDE w:val="0"/>
        <w:autoSpaceDN w:val="0"/>
        <w:adjustRightInd w:val="0"/>
        <w:spacing w:line="360" w:lineRule="auto"/>
        <w:jc w:val="both"/>
        <w:rPr>
          <w:rFonts w:ascii="Arial" w:hAnsi="Arial" w:cs="Arial"/>
          <w:kern w:val="0"/>
        </w:rPr>
      </w:pPr>
      <w:r w:rsidRPr="00554A3E">
        <w:rPr>
          <w:rFonts w:ascii="Arial" w:hAnsi="Arial" w:cs="Arial"/>
          <w:kern w:val="0"/>
        </w:rPr>
        <w:t>Collectively, these integrated platforms facilitate automated refreshing of predictive dashboards sourced from centralized warehouse repositories, programmed report distribution protocols, and systematic retraining cycles for forecasting models, thereby enabling John Good Group to operationalize predictive analytical insights within both routine operational decision-making and strategic organizational planning contexts.</w:t>
      </w:r>
    </w:p>
    <w:p w14:paraId="51C38FA9" w14:textId="0C372D19" w:rsidR="00415A61" w:rsidRPr="00554A3E" w:rsidRDefault="00DF493E" w:rsidP="00A45A40">
      <w:pPr>
        <w:autoSpaceDE w:val="0"/>
        <w:autoSpaceDN w:val="0"/>
        <w:adjustRightInd w:val="0"/>
        <w:spacing w:before="240" w:line="360" w:lineRule="auto"/>
        <w:jc w:val="both"/>
        <w:rPr>
          <w:rFonts w:ascii="Arial" w:hAnsi="Arial" w:cs="Arial"/>
          <w:kern w:val="0"/>
          <w:sz w:val="26"/>
          <w:szCs w:val="26"/>
        </w:rPr>
      </w:pPr>
      <w:bookmarkStart w:id="6" w:name="_Toc214710219"/>
      <w:r w:rsidRPr="00554A3E">
        <w:rPr>
          <w:rStyle w:val="Heading1Char"/>
          <w:rFonts w:ascii="Arial" w:hAnsi="Arial" w:cs="Arial"/>
        </w:rPr>
        <w:t>Ethical and Data Security Considerations</w:t>
      </w:r>
      <w:bookmarkEnd w:id="6"/>
    </w:p>
    <w:p w14:paraId="7D0E1273" w14:textId="77777777" w:rsidR="00B408D0" w:rsidRPr="00554A3E" w:rsidRDefault="00B408D0"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Simplilearn (2025), ethical and data security considerations must remain central when implementing BI, DW, and DM at John Good Group, because a significant proportion of its logistics and customer information is classified as personal data under the UK GDPR, which imposes principles of lawfulness, fairness, transparency, purpose limitation, data minimisation, and integrity/confidentiality on all processing activities, requiring the organisation to define clear purposes, rely on appropriate legal bases such as contract or consent, and explain its data practices through accessible privacy notices. Vyas (2023) further emphasises that ethical data mining requires explicit, informed consent where appropriate, transparent explanations of how predictive models use customer and employee data, and technical and organisational measures that prevent discriminatory or biased outcomes, thereby preserving stakeholder trust. According to 3Pillar (2021), effective </w:t>
      </w:r>
      <w:r w:rsidRPr="00554A3E">
        <w:rPr>
          <w:rFonts w:ascii="Arial" w:hAnsi="Arial" w:cs="Arial"/>
          <w:kern w:val="0"/>
        </w:rPr>
        <w:lastRenderedPageBreak/>
        <w:t xml:space="preserve">data governance should allocate data ownership and stewardship responsibilities, ensuring that only authorised staff can access </w:t>
      </w:r>
      <w:proofErr w:type="gramStart"/>
      <w:r w:rsidRPr="00554A3E">
        <w:rPr>
          <w:rFonts w:ascii="Arial" w:hAnsi="Arial" w:cs="Arial"/>
          <w:kern w:val="0"/>
        </w:rPr>
        <w:t>particular datasets</w:t>
      </w:r>
      <w:proofErr w:type="gramEnd"/>
      <w:r w:rsidRPr="00554A3E">
        <w:rPr>
          <w:rFonts w:ascii="Arial" w:hAnsi="Arial" w:cs="Arial"/>
          <w:kern w:val="0"/>
        </w:rPr>
        <w:t xml:space="preserve"> and that data subjects are able to exercise their rights to access, correct, or erase their personal data. From a technical standpoint, Sharma (2025) notes that appropriate protection involves combining role-based access controls, strong authentication mechanisms, encryption of data in transit and at rest, and granular authorisation approaches such as attribute-based access control to mitigate misuse risks, while simultaneously addressing internal threats such as intentional or accidental employee misuse of analytical tools and external threats arising from cyberattacks through continuous monitoring, staff security awareness training, and well-defined incident response procedures that align with recognised cybersecurity best practice.</w:t>
      </w:r>
    </w:p>
    <w:p w14:paraId="388BFF8B" w14:textId="69520DEA" w:rsidR="00DF493E" w:rsidRPr="00554A3E" w:rsidRDefault="00DF493E" w:rsidP="00A45A40">
      <w:pPr>
        <w:autoSpaceDE w:val="0"/>
        <w:autoSpaceDN w:val="0"/>
        <w:adjustRightInd w:val="0"/>
        <w:spacing w:before="240" w:line="360" w:lineRule="auto"/>
        <w:jc w:val="both"/>
        <w:rPr>
          <w:rFonts w:ascii="Arial" w:hAnsi="Arial" w:cs="Arial"/>
          <w:i/>
          <w:iCs/>
          <w:kern w:val="0"/>
          <w:sz w:val="26"/>
          <w:szCs w:val="26"/>
        </w:rPr>
      </w:pPr>
      <w:bookmarkStart w:id="7" w:name="_Toc214710220"/>
      <w:r w:rsidRPr="00554A3E">
        <w:rPr>
          <w:rStyle w:val="Heading1Char"/>
          <w:rFonts w:ascii="Arial" w:hAnsi="Arial" w:cs="Arial"/>
        </w:rPr>
        <w:t>Reporting and Dashboard Solutions</w:t>
      </w:r>
      <w:bookmarkEnd w:id="7"/>
    </w:p>
    <w:p w14:paraId="26663D3A" w14:textId="52BE13A2" w:rsidR="00F6038A" w:rsidRPr="00554A3E" w:rsidRDefault="00F6038A" w:rsidP="00554A3E">
      <w:pPr>
        <w:autoSpaceDE w:val="0"/>
        <w:autoSpaceDN w:val="0"/>
        <w:adjustRightInd w:val="0"/>
        <w:spacing w:line="360" w:lineRule="auto"/>
        <w:jc w:val="both"/>
        <w:rPr>
          <w:rFonts w:ascii="Arial" w:hAnsi="Arial" w:cs="Arial"/>
          <w:kern w:val="0"/>
        </w:rPr>
      </w:pPr>
      <w:r w:rsidRPr="00554A3E">
        <w:rPr>
          <w:rFonts w:ascii="Arial" w:hAnsi="Arial" w:cs="Arial"/>
          <w:kern w:val="0"/>
        </w:rPr>
        <w:t xml:space="preserve">According to Salehi and </w:t>
      </w:r>
      <w:proofErr w:type="spellStart"/>
      <w:r w:rsidRPr="00554A3E">
        <w:rPr>
          <w:rFonts w:ascii="Arial" w:hAnsi="Arial" w:cs="Arial"/>
          <w:kern w:val="0"/>
        </w:rPr>
        <w:t>Khedmati</w:t>
      </w:r>
      <w:proofErr w:type="spellEnd"/>
      <w:r w:rsidRPr="00554A3E">
        <w:rPr>
          <w:rFonts w:ascii="Arial" w:hAnsi="Arial" w:cs="Arial"/>
          <w:kern w:val="0"/>
        </w:rPr>
        <w:t xml:space="preserve"> (2024), implementing Business Intelligence dashboards with tools such as Microsoft Power BI and Tableau can offer John Good Group a unified and near real-time view of both operational and strategic performance, thereby supporting more coordinated and timely decision-making across logistics activities. As noted by Battula and Prasad (2013), Power BI integrates closely with enterprise data warehouses and wider Microsoft ecosystems and has been shown in logistics and supply chain settings to enable real-time monitoring of key processes, which in turn enhances the visibility, accessibility, and shareability of performance information for managers who must respond quickly to disruptions or changing demand patterns. Tableau, according to recent visual analytics research by </w:t>
      </w:r>
      <w:proofErr w:type="spellStart"/>
      <w:r w:rsidRPr="00554A3E">
        <w:rPr>
          <w:rFonts w:ascii="Arial" w:hAnsi="Arial" w:cs="Arial"/>
          <w:kern w:val="0"/>
        </w:rPr>
        <w:t>Muttha</w:t>
      </w:r>
      <w:proofErr w:type="spellEnd"/>
      <w:r w:rsidRPr="00554A3E">
        <w:rPr>
          <w:rFonts w:ascii="Arial" w:hAnsi="Arial" w:cs="Arial"/>
          <w:kern w:val="0"/>
        </w:rPr>
        <w:t xml:space="preserve"> et al. (2024), provides advanced interactive visualisation and exploratory analysis features that help users uncover detailed sales and operational insights, and studies on dashboard design highlight that such interactive visual and functional elements can improve managerial decision quality by enabling rapid detection of deviations from targets and strengthening competitive intelligence. For John Good Group, these dashboard solutions could therefore be configured to monitor key performance indicators such as on-time in-full (OTIF) delivery, case fill rate, container utilisation, average transit time, demurrage costs, and revenue per trade lane, all of which are widely regarded in logistics and supply chain literature as critical measures of service reliability and cost efficiency, while executives and operations managers could use the </w:t>
      </w:r>
      <w:r w:rsidRPr="00554A3E">
        <w:rPr>
          <w:rFonts w:ascii="Arial" w:hAnsi="Arial" w:cs="Arial"/>
          <w:kern w:val="0"/>
        </w:rPr>
        <w:lastRenderedPageBreak/>
        <w:t>resulting live views to identify emerging congestion at key ports, underperforming routes, or deteriorating customer service levels and act promptly, embedding data-driven decision-making into everyday logistics control and longer-term strategic planning.</w:t>
      </w:r>
    </w:p>
    <w:p w14:paraId="36A74E84" w14:textId="5B4798FD" w:rsidR="00DF493E" w:rsidRPr="00554A3E" w:rsidRDefault="00DF493E" w:rsidP="00A45A40">
      <w:pPr>
        <w:autoSpaceDE w:val="0"/>
        <w:autoSpaceDN w:val="0"/>
        <w:adjustRightInd w:val="0"/>
        <w:spacing w:before="240" w:line="360" w:lineRule="auto"/>
        <w:jc w:val="both"/>
        <w:rPr>
          <w:rFonts w:ascii="Arial" w:hAnsi="Arial" w:cs="Arial"/>
          <w:kern w:val="0"/>
          <w:sz w:val="26"/>
          <w:szCs w:val="26"/>
        </w:rPr>
      </w:pPr>
      <w:bookmarkStart w:id="8" w:name="_Toc214710221"/>
      <w:r w:rsidRPr="00554A3E">
        <w:rPr>
          <w:rStyle w:val="Heading1Char"/>
          <w:rFonts w:ascii="Arial" w:hAnsi="Arial" w:cs="Arial"/>
        </w:rPr>
        <w:t>Conclusion</w:t>
      </w:r>
      <w:bookmarkEnd w:id="8"/>
      <w:r w:rsidRPr="00554A3E">
        <w:rPr>
          <w:rFonts w:ascii="Arial" w:hAnsi="Arial" w:cs="Arial"/>
          <w:b/>
          <w:bCs/>
          <w:kern w:val="0"/>
          <w:sz w:val="26"/>
          <w:szCs w:val="26"/>
        </w:rPr>
        <w:t xml:space="preserve"> </w:t>
      </w:r>
    </w:p>
    <w:p w14:paraId="4B7BF22C" w14:textId="76E60A2B" w:rsidR="00DF493E" w:rsidRPr="00A45A40" w:rsidRDefault="00A45A40" w:rsidP="00554A3E">
      <w:pPr>
        <w:autoSpaceDE w:val="0"/>
        <w:autoSpaceDN w:val="0"/>
        <w:adjustRightInd w:val="0"/>
        <w:spacing w:line="360" w:lineRule="auto"/>
        <w:jc w:val="both"/>
        <w:rPr>
          <w:rFonts w:ascii="Arial" w:hAnsi="Arial" w:cs="Arial"/>
          <w:kern w:val="0"/>
        </w:rPr>
      </w:pPr>
      <w:r w:rsidRPr="00A45A40">
        <w:rPr>
          <w:rFonts w:ascii="Arial" w:hAnsi="Arial" w:cs="Arial"/>
          <w:kern w:val="0"/>
        </w:rPr>
        <w:t>This report demonstrates how John Good Group can enhance strategic and operational performance by implementing Business Intelligence (BI), Data Warehousing (DW), and Data Mining (DM) within a cohesive data strategy. Establishing a centralised data warehouse would create a unified and reliable repository for shipment, warehouse, financial, and customer data, supporting efficient decision-making. Applying data mining techniques such as clustering and classification would aid in customer segmentation, churn prediction, and fraud detection, improving revenue opportunities and risk management. BI dashboards and predictive analytics tools, including Power BI, Tableau, SPSS, Excel, and RapidMiner, would enable real-time tracking of logistics KPIs and accurate forecasting of volumes, capacity, and costs, embedding data-driven decisions into operations and planning. Additionally, ethical and security obligations under UK GDPR are crucial, requiring strong governance, access controls, encryption, and monitoring to safeguard sensitive data. A phased implementation approach is recommended, beginning with data governance and warehouse design, followed by piloting dashboards and predictive models, and gradually scaling advanced analytics across the organisation.</w:t>
      </w:r>
    </w:p>
    <w:p w14:paraId="4BC11643" w14:textId="77777777" w:rsidR="00DF493E" w:rsidRPr="00554A3E" w:rsidRDefault="00DF493E" w:rsidP="00554A3E">
      <w:pPr>
        <w:spacing w:line="360" w:lineRule="auto"/>
        <w:jc w:val="both"/>
        <w:rPr>
          <w:rFonts w:ascii="Arial" w:eastAsiaTheme="majorEastAsia" w:hAnsi="Arial" w:cs="Arial"/>
          <w:color w:val="0F4761" w:themeColor="accent1" w:themeShade="BF"/>
          <w:sz w:val="40"/>
          <w:szCs w:val="40"/>
        </w:rPr>
      </w:pPr>
      <w:r w:rsidRPr="00554A3E">
        <w:rPr>
          <w:rFonts w:ascii="Arial" w:hAnsi="Arial" w:cs="Arial"/>
        </w:rPr>
        <w:br w:type="page"/>
      </w:r>
    </w:p>
    <w:p w14:paraId="3D52B2DA" w14:textId="2BCBFD4C" w:rsidR="00C825A6" w:rsidRDefault="00DF493E" w:rsidP="00554A3E">
      <w:pPr>
        <w:pStyle w:val="Heading1"/>
        <w:spacing w:line="360" w:lineRule="auto"/>
        <w:jc w:val="both"/>
        <w:rPr>
          <w:rFonts w:ascii="Arial" w:hAnsi="Arial" w:cs="Arial"/>
        </w:rPr>
      </w:pPr>
      <w:bookmarkStart w:id="9" w:name="_Toc214710222"/>
      <w:r w:rsidRPr="00554A3E">
        <w:rPr>
          <w:rFonts w:ascii="Arial" w:hAnsi="Arial" w:cs="Arial"/>
        </w:rPr>
        <w:lastRenderedPageBreak/>
        <w:t>References</w:t>
      </w:r>
      <w:bookmarkEnd w:id="9"/>
    </w:p>
    <w:p w14:paraId="6CB6CC8D"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3Pillar (2021) </w:t>
      </w:r>
      <w:r w:rsidRPr="00D15520">
        <w:rPr>
          <w:rFonts w:ascii="Arial" w:hAnsi="Arial" w:cs="Arial"/>
          <w:i/>
          <w:iCs/>
          <w:kern w:val="0"/>
        </w:rPr>
        <w:t>Creating Business Value with Data Mining and Predictive Analytics</w:t>
      </w:r>
      <w:r w:rsidRPr="00D15520">
        <w:rPr>
          <w:rFonts w:ascii="Arial" w:hAnsi="Arial" w:cs="Arial"/>
          <w:kern w:val="0"/>
        </w:rPr>
        <w:t xml:space="preserve">. Available at: </w:t>
      </w:r>
      <w:hyperlink r:id="rId7" w:history="1">
        <w:r w:rsidRPr="00D15520">
          <w:rPr>
            <w:rFonts w:ascii="Arial" w:hAnsi="Arial" w:cs="Arial"/>
            <w:kern w:val="0"/>
          </w:rPr>
          <w:t>https://www.3pillarglobal.com/insights/blog/creating-business-value-with-data-mining-and-predictive-analytics/</w:t>
        </w:r>
      </w:hyperlink>
      <w:r w:rsidRPr="00D15520">
        <w:rPr>
          <w:rFonts w:ascii="Arial" w:hAnsi="Arial" w:cs="Arial"/>
          <w:kern w:val="0"/>
        </w:rPr>
        <w:t>. (Accessed: 17 November 2025).</w:t>
      </w:r>
    </w:p>
    <w:p w14:paraId="3BD22A9E" w14:textId="77777777" w:rsidR="00A45A40" w:rsidRPr="00D15520" w:rsidRDefault="00A45A40" w:rsidP="00A45A40">
      <w:pPr>
        <w:autoSpaceDE w:val="0"/>
        <w:autoSpaceDN w:val="0"/>
        <w:adjustRightInd w:val="0"/>
        <w:spacing w:after="240" w:line="360" w:lineRule="auto"/>
        <w:jc w:val="both"/>
        <w:rPr>
          <w:rFonts w:ascii="Arial" w:hAnsi="Arial" w:cs="Arial"/>
          <w:kern w:val="0"/>
        </w:rPr>
      </w:pPr>
      <w:proofErr w:type="spellStart"/>
      <w:r w:rsidRPr="00D15520">
        <w:rPr>
          <w:rFonts w:ascii="Arial" w:hAnsi="Arial" w:cs="Arial"/>
          <w:kern w:val="0"/>
        </w:rPr>
        <w:t>Acceldata</w:t>
      </w:r>
      <w:proofErr w:type="spellEnd"/>
      <w:r w:rsidRPr="00D15520">
        <w:rPr>
          <w:rFonts w:ascii="Arial" w:hAnsi="Arial" w:cs="Arial"/>
          <w:kern w:val="0"/>
        </w:rPr>
        <w:t xml:space="preserve"> (2024) </w:t>
      </w:r>
      <w:r w:rsidRPr="00D15520">
        <w:rPr>
          <w:rFonts w:ascii="Arial" w:hAnsi="Arial" w:cs="Arial"/>
          <w:i/>
          <w:iCs/>
          <w:kern w:val="0"/>
        </w:rPr>
        <w:t xml:space="preserve">The Future of Data Warehouse Tools: Key Trends to Watch. </w:t>
      </w:r>
      <w:r w:rsidRPr="00D15520">
        <w:rPr>
          <w:rFonts w:ascii="Arial" w:hAnsi="Arial" w:cs="Arial"/>
          <w:kern w:val="0"/>
        </w:rPr>
        <w:t xml:space="preserve">Available at: </w:t>
      </w:r>
      <w:hyperlink r:id="rId8" w:history="1">
        <w:r w:rsidRPr="00D15520">
          <w:rPr>
            <w:rFonts w:ascii="Arial" w:hAnsi="Arial" w:cs="Arial"/>
            <w:kern w:val="0"/>
          </w:rPr>
          <w:t>https://www.acceldata.io/blog/the-future-of-data-warehouse-tools-key-trends-to-watch</w:t>
        </w:r>
      </w:hyperlink>
      <w:r w:rsidRPr="00D15520">
        <w:rPr>
          <w:rFonts w:ascii="Arial" w:hAnsi="Arial" w:cs="Arial"/>
          <w:kern w:val="0"/>
        </w:rPr>
        <w:t>. (Accessed: 17 November 2025).</w:t>
      </w:r>
    </w:p>
    <w:p w14:paraId="08B9D0BC" w14:textId="77777777" w:rsidR="00A45A40" w:rsidRPr="00D15520" w:rsidRDefault="00A45A40" w:rsidP="00A45A40">
      <w:pPr>
        <w:autoSpaceDE w:val="0"/>
        <w:autoSpaceDN w:val="0"/>
        <w:adjustRightInd w:val="0"/>
        <w:spacing w:after="240" w:line="360" w:lineRule="auto"/>
        <w:jc w:val="both"/>
        <w:rPr>
          <w:rFonts w:ascii="Arial" w:hAnsi="Arial" w:cs="Arial"/>
          <w:kern w:val="0"/>
        </w:rPr>
      </w:pPr>
      <w:proofErr w:type="spellStart"/>
      <w:r w:rsidRPr="00D15520">
        <w:rPr>
          <w:rFonts w:ascii="Arial" w:hAnsi="Arial" w:cs="Arial"/>
          <w:kern w:val="0"/>
        </w:rPr>
        <w:t>Altkom</w:t>
      </w:r>
      <w:proofErr w:type="spellEnd"/>
      <w:r w:rsidRPr="00D15520">
        <w:rPr>
          <w:rFonts w:ascii="Arial" w:hAnsi="Arial" w:cs="Arial"/>
          <w:kern w:val="0"/>
        </w:rPr>
        <w:t xml:space="preserve"> Software (2024) </w:t>
      </w:r>
      <w:r w:rsidRPr="00D15520">
        <w:rPr>
          <w:rFonts w:ascii="Arial" w:hAnsi="Arial" w:cs="Arial"/>
          <w:i/>
          <w:iCs/>
          <w:kern w:val="0"/>
        </w:rPr>
        <w:t xml:space="preserve">Data forecasting in Power BI. Effective business analytics and predictions. </w:t>
      </w:r>
      <w:r w:rsidRPr="00D15520">
        <w:rPr>
          <w:rFonts w:ascii="Arial" w:hAnsi="Arial" w:cs="Arial"/>
          <w:kern w:val="0"/>
        </w:rPr>
        <w:t xml:space="preserve">Available at: </w:t>
      </w:r>
      <w:hyperlink r:id="rId9" w:history="1">
        <w:r w:rsidRPr="00D15520">
          <w:rPr>
            <w:rFonts w:ascii="Arial" w:hAnsi="Arial" w:cs="Arial"/>
            <w:kern w:val="0"/>
          </w:rPr>
          <w:t>https://www.altkomsoftware.com/blog/data-forecasting-in-power-bi/</w:t>
        </w:r>
      </w:hyperlink>
      <w:r w:rsidRPr="00D15520">
        <w:rPr>
          <w:rFonts w:ascii="Arial" w:hAnsi="Arial" w:cs="Arial"/>
          <w:kern w:val="0"/>
        </w:rPr>
        <w:t>. (Accessed: 17 November 2025).</w:t>
      </w:r>
    </w:p>
    <w:p w14:paraId="5B896DE6"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Battula, B.P., &amp; Prasad, R.S. (2013) ‘An overview of recent machine learning strategies in data mining’. </w:t>
      </w:r>
      <w:r w:rsidRPr="00D15520">
        <w:rPr>
          <w:rFonts w:ascii="Arial" w:hAnsi="Arial" w:cs="Arial"/>
          <w:i/>
          <w:iCs/>
          <w:kern w:val="0"/>
        </w:rPr>
        <w:t>International Journal of Advanced Computer Science and Applications</w:t>
      </w:r>
      <w:r w:rsidRPr="00D15520">
        <w:rPr>
          <w:rFonts w:ascii="Arial" w:hAnsi="Arial" w:cs="Arial"/>
          <w:kern w:val="0"/>
        </w:rPr>
        <w:t>, 4(3).</w:t>
      </w:r>
    </w:p>
    <w:p w14:paraId="4249F3D6"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Boomi (2025) </w:t>
      </w:r>
      <w:r w:rsidRPr="00D15520">
        <w:rPr>
          <w:rFonts w:ascii="Arial" w:hAnsi="Arial" w:cs="Arial"/>
          <w:i/>
          <w:iCs/>
          <w:kern w:val="0"/>
        </w:rPr>
        <w:t xml:space="preserve">What Is Data Consolidation? Understanding Process, Techniques &amp; Types. </w:t>
      </w:r>
      <w:r w:rsidRPr="00D15520">
        <w:rPr>
          <w:rFonts w:ascii="Arial" w:hAnsi="Arial" w:cs="Arial"/>
          <w:kern w:val="0"/>
        </w:rPr>
        <w:t xml:space="preserve">Available at: </w:t>
      </w:r>
      <w:hyperlink r:id="rId10" w:history="1">
        <w:r w:rsidRPr="00D15520">
          <w:rPr>
            <w:rFonts w:ascii="Arial" w:hAnsi="Arial" w:cs="Arial"/>
            <w:kern w:val="0"/>
          </w:rPr>
          <w:t>https://boomi.com/blog/data-consolidation-methods-2/</w:t>
        </w:r>
      </w:hyperlink>
      <w:r w:rsidRPr="00D15520">
        <w:rPr>
          <w:rFonts w:ascii="Arial" w:hAnsi="Arial" w:cs="Arial"/>
          <w:kern w:val="0"/>
        </w:rPr>
        <w:t>.(Accessed: 22 November 2025).</w:t>
      </w:r>
    </w:p>
    <w:p w14:paraId="2A1C2612"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Data Sleek (2025) </w:t>
      </w:r>
      <w:r w:rsidRPr="00D15520">
        <w:rPr>
          <w:rFonts w:ascii="Arial" w:hAnsi="Arial" w:cs="Arial"/>
          <w:i/>
          <w:iCs/>
          <w:kern w:val="0"/>
        </w:rPr>
        <w:t xml:space="preserve">Data Warehousing in Supply Chain: How It’s Revolutionizing Logistics and Operational Efficiency. </w:t>
      </w:r>
      <w:r w:rsidRPr="00D15520">
        <w:rPr>
          <w:rFonts w:ascii="Arial" w:hAnsi="Arial" w:cs="Arial"/>
          <w:kern w:val="0"/>
        </w:rPr>
        <w:t xml:space="preserve">Available at: </w:t>
      </w:r>
      <w:hyperlink r:id="rId11" w:history="1">
        <w:r w:rsidRPr="00D15520">
          <w:rPr>
            <w:rFonts w:ascii="Arial" w:hAnsi="Arial" w:cs="Arial"/>
            <w:kern w:val="0"/>
          </w:rPr>
          <w:t>https://data-sleek.com/blog/data-warehousing-in-supply-chain/</w:t>
        </w:r>
      </w:hyperlink>
      <w:r w:rsidRPr="00D15520">
        <w:rPr>
          <w:rFonts w:ascii="Arial" w:hAnsi="Arial" w:cs="Arial"/>
          <w:kern w:val="0"/>
        </w:rPr>
        <w:t>. (Accessed: 17 November 2025).</w:t>
      </w:r>
    </w:p>
    <w:p w14:paraId="14ED4567"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DCHBI (2025) </w:t>
      </w:r>
      <w:r w:rsidRPr="00D15520">
        <w:rPr>
          <w:rFonts w:ascii="Arial" w:hAnsi="Arial" w:cs="Arial"/>
          <w:i/>
          <w:iCs/>
          <w:kern w:val="0"/>
        </w:rPr>
        <w:t xml:space="preserve">Business Intelligence in 2025: How AI, Cloud, and Real-Time Analytics Are Reshaping Decision-Making. </w:t>
      </w:r>
      <w:r w:rsidRPr="00D15520">
        <w:rPr>
          <w:rFonts w:ascii="Arial" w:hAnsi="Arial" w:cs="Arial"/>
          <w:kern w:val="0"/>
        </w:rPr>
        <w:t xml:space="preserve">Available at: </w:t>
      </w:r>
      <w:hyperlink r:id="rId12" w:history="1">
        <w:r w:rsidRPr="00D15520">
          <w:rPr>
            <w:rFonts w:ascii="Arial" w:hAnsi="Arial" w:cs="Arial"/>
            <w:kern w:val="0"/>
          </w:rPr>
          <w:t>https://www.dchbi.com/post/business-intelligence-in-2025-how-ai-cloud-and-real-time-analytics-are-reshaping-decision-making</w:t>
        </w:r>
      </w:hyperlink>
      <w:r w:rsidRPr="00D15520">
        <w:rPr>
          <w:rFonts w:ascii="Arial" w:hAnsi="Arial" w:cs="Arial"/>
          <w:kern w:val="0"/>
        </w:rPr>
        <w:t>. (Accessed: 17 November 2025)</w:t>
      </w:r>
    </w:p>
    <w:p w14:paraId="6D8C311E"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HAI (2025) </w:t>
      </w:r>
      <w:r w:rsidRPr="00D15520">
        <w:rPr>
          <w:rFonts w:ascii="Arial" w:hAnsi="Arial" w:cs="Arial"/>
          <w:i/>
          <w:iCs/>
          <w:kern w:val="0"/>
        </w:rPr>
        <w:t xml:space="preserve">The 2025 AI Index Report. </w:t>
      </w:r>
      <w:r w:rsidRPr="00D15520">
        <w:rPr>
          <w:rFonts w:ascii="Arial" w:hAnsi="Arial" w:cs="Arial"/>
          <w:kern w:val="0"/>
        </w:rPr>
        <w:t xml:space="preserve">Available: </w:t>
      </w:r>
      <w:hyperlink r:id="rId13" w:history="1">
        <w:r w:rsidRPr="00D15520">
          <w:rPr>
            <w:rFonts w:ascii="Arial" w:hAnsi="Arial" w:cs="Arial"/>
            <w:kern w:val="0"/>
          </w:rPr>
          <w:t>https://hai.stanford.edu/ai-index/2025-ai-index-report</w:t>
        </w:r>
      </w:hyperlink>
      <w:r w:rsidRPr="00D15520">
        <w:rPr>
          <w:rFonts w:ascii="Arial" w:hAnsi="Arial" w:cs="Arial"/>
          <w:kern w:val="0"/>
        </w:rPr>
        <w:t>. (Accessed: 17 November 2025).</w:t>
      </w:r>
    </w:p>
    <w:p w14:paraId="36454EA6"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Jonker, A., Holdsworth, J., &amp; Kosinski, M. (n.d.) </w:t>
      </w:r>
      <w:r w:rsidRPr="00D15520">
        <w:rPr>
          <w:rFonts w:ascii="Arial" w:hAnsi="Arial" w:cs="Arial"/>
          <w:i/>
          <w:iCs/>
          <w:kern w:val="0"/>
        </w:rPr>
        <w:t>What is a data warehouse?</w:t>
      </w:r>
      <w:r w:rsidRPr="00D15520">
        <w:rPr>
          <w:rFonts w:ascii="Arial" w:hAnsi="Arial" w:cs="Arial"/>
          <w:kern w:val="0"/>
        </w:rPr>
        <w:t xml:space="preserve"> Available at: </w:t>
      </w:r>
      <w:hyperlink r:id="rId14" w:history="1">
        <w:r w:rsidRPr="00D15520">
          <w:rPr>
            <w:rFonts w:ascii="Arial" w:hAnsi="Arial" w:cs="Arial"/>
            <w:kern w:val="0"/>
          </w:rPr>
          <w:t>https://www.ibm.com/think/topics/data-warehouse</w:t>
        </w:r>
      </w:hyperlink>
      <w:r w:rsidRPr="00D15520">
        <w:rPr>
          <w:rFonts w:ascii="Arial" w:hAnsi="Arial" w:cs="Arial"/>
          <w:kern w:val="0"/>
        </w:rPr>
        <w:t>. (Accessed: 17 November 2025).</w:t>
      </w:r>
    </w:p>
    <w:p w14:paraId="1BE70ECC"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lastRenderedPageBreak/>
        <w:t xml:space="preserve">Kimball Group (n.d.) </w:t>
      </w:r>
      <w:r w:rsidRPr="00D15520">
        <w:rPr>
          <w:rFonts w:ascii="Arial" w:hAnsi="Arial" w:cs="Arial"/>
          <w:i/>
          <w:iCs/>
          <w:kern w:val="0"/>
        </w:rPr>
        <w:t xml:space="preserve">Kimball Technical DW/BI System Architecture. </w:t>
      </w:r>
      <w:r w:rsidRPr="00D15520">
        <w:rPr>
          <w:rFonts w:ascii="Arial" w:hAnsi="Arial" w:cs="Arial"/>
          <w:kern w:val="0"/>
        </w:rPr>
        <w:t>Available at:</w:t>
      </w:r>
      <w:r w:rsidRPr="00D15520">
        <w:rPr>
          <w:rFonts w:ascii="Arial" w:hAnsi="Arial" w:cs="Arial"/>
          <w:i/>
          <w:iCs/>
          <w:kern w:val="0"/>
        </w:rPr>
        <w:t xml:space="preserve"> </w:t>
      </w:r>
      <w:hyperlink r:id="rId15" w:history="1">
        <w:r w:rsidRPr="00D15520">
          <w:rPr>
            <w:rFonts w:ascii="Arial" w:hAnsi="Arial" w:cs="Arial"/>
            <w:kern w:val="0"/>
          </w:rPr>
          <w:t>https://www.kimballgroup.com/data-warehouse-business-intelligence-resources/kimball-techniques/technical-dw-bi-system-architecture/</w:t>
        </w:r>
      </w:hyperlink>
      <w:r w:rsidRPr="00D15520">
        <w:rPr>
          <w:rFonts w:ascii="Arial" w:hAnsi="Arial" w:cs="Arial"/>
          <w:kern w:val="0"/>
        </w:rPr>
        <w:t>. (Accessed: 17 November 2025).</w:t>
      </w:r>
    </w:p>
    <w:p w14:paraId="0A2F6F72"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Kimball, R. and Ross, M. (2013) The Data Warehouse Toolkit. 3rd </w:t>
      </w:r>
      <w:proofErr w:type="spellStart"/>
      <w:r w:rsidRPr="00D15520">
        <w:rPr>
          <w:rFonts w:ascii="Arial" w:hAnsi="Arial" w:cs="Arial"/>
          <w:kern w:val="0"/>
        </w:rPr>
        <w:t>edn</w:t>
      </w:r>
      <w:proofErr w:type="spellEnd"/>
      <w:r w:rsidRPr="00D15520">
        <w:rPr>
          <w:rFonts w:ascii="Arial" w:hAnsi="Arial" w:cs="Arial"/>
          <w:kern w:val="0"/>
        </w:rPr>
        <w:t xml:space="preserve">. Wiley. Available at: </w:t>
      </w:r>
      <w:hyperlink r:id="rId16" w:history="1">
        <w:r w:rsidRPr="00D15520">
          <w:rPr>
            <w:rFonts w:ascii="Arial" w:hAnsi="Arial" w:cs="Arial"/>
            <w:kern w:val="0"/>
          </w:rPr>
          <w:t>https://www.perlego.com/book/1000381</w:t>
        </w:r>
      </w:hyperlink>
      <w:r w:rsidRPr="00D15520">
        <w:rPr>
          <w:rFonts w:ascii="Arial" w:hAnsi="Arial" w:cs="Arial"/>
          <w:kern w:val="0"/>
        </w:rPr>
        <w:t>. (Accessed: 22 November 2025).</w:t>
      </w:r>
    </w:p>
    <w:p w14:paraId="58D318E4" w14:textId="77777777" w:rsidR="00A45A40" w:rsidRPr="00D15520" w:rsidRDefault="00A45A40" w:rsidP="00A45A40">
      <w:pPr>
        <w:autoSpaceDE w:val="0"/>
        <w:autoSpaceDN w:val="0"/>
        <w:adjustRightInd w:val="0"/>
        <w:spacing w:after="240" w:line="360" w:lineRule="auto"/>
        <w:jc w:val="both"/>
        <w:rPr>
          <w:rFonts w:ascii="Arial" w:hAnsi="Arial" w:cs="Arial"/>
          <w:kern w:val="0"/>
        </w:rPr>
      </w:pPr>
      <w:proofErr w:type="spellStart"/>
      <w:r w:rsidRPr="00D15520">
        <w:rPr>
          <w:rFonts w:ascii="Arial" w:hAnsi="Arial" w:cs="Arial"/>
          <w:kern w:val="0"/>
        </w:rPr>
        <w:t>Koteeswaran</w:t>
      </w:r>
      <w:proofErr w:type="spellEnd"/>
      <w:r w:rsidRPr="00D15520">
        <w:rPr>
          <w:rFonts w:ascii="Arial" w:hAnsi="Arial" w:cs="Arial"/>
          <w:kern w:val="0"/>
        </w:rPr>
        <w:t xml:space="preserve">, S., Visu, P., &amp; Janet, J. (2012) ‘A review on clustering and outlier analysis techniques in data mining’. </w:t>
      </w:r>
      <w:r w:rsidRPr="00D15520">
        <w:rPr>
          <w:rFonts w:ascii="Arial" w:hAnsi="Arial" w:cs="Arial"/>
          <w:i/>
          <w:iCs/>
          <w:kern w:val="0"/>
        </w:rPr>
        <w:t>American Journal of Applied Sciences</w:t>
      </w:r>
      <w:r w:rsidRPr="00D15520">
        <w:rPr>
          <w:rFonts w:ascii="Arial" w:hAnsi="Arial" w:cs="Arial"/>
          <w:kern w:val="0"/>
        </w:rPr>
        <w:t xml:space="preserve">, 9(2), pp.254-258. </w:t>
      </w:r>
    </w:p>
    <w:p w14:paraId="356ED0AD"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Maheshwari, A.K. (2015)</w:t>
      </w:r>
      <w:r w:rsidRPr="00D15520">
        <w:rPr>
          <w:rFonts w:ascii="Arial" w:hAnsi="Arial" w:cs="Arial"/>
          <w:i/>
          <w:iCs/>
          <w:kern w:val="0"/>
        </w:rPr>
        <w:t xml:space="preserve"> Business intelligence and data mining</w:t>
      </w:r>
      <w:r w:rsidRPr="00D15520">
        <w:rPr>
          <w:rFonts w:ascii="Arial" w:hAnsi="Arial" w:cs="Arial"/>
          <w:kern w:val="0"/>
        </w:rPr>
        <w:t xml:space="preserve">. New </w:t>
      </w:r>
      <w:proofErr w:type="gramStart"/>
      <w:r w:rsidRPr="00D15520">
        <w:rPr>
          <w:rFonts w:ascii="Arial" w:hAnsi="Arial" w:cs="Arial"/>
          <w:kern w:val="0"/>
        </w:rPr>
        <w:t>York :</w:t>
      </w:r>
      <w:proofErr w:type="gramEnd"/>
      <w:r w:rsidRPr="00D15520">
        <w:rPr>
          <w:rFonts w:ascii="Arial" w:hAnsi="Arial" w:cs="Arial"/>
          <w:kern w:val="0"/>
        </w:rPr>
        <w:t>, Business Expert Press.</w:t>
      </w:r>
    </w:p>
    <w:p w14:paraId="77483B43"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Mohamed Jafar, O.A., &amp; Sivakumar, R. (2014) ‘Distance based hybrid approach for cluster analysis using variants of K-means and evolutionary algorithm’. </w:t>
      </w:r>
      <w:r w:rsidRPr="00D15520">
        <w:rPr>
          <w:rFonts w:ascii="Arial" w:hAnsi="Arial" w:cs="Arial"/>
          <w:i/>
          <w:iCs/>
          <w:kern w:val="0"/>
        </w:rPr>
        <w:t>Research Journal of Applied Sciences, Engineering and Technology</w:t>
      </w:r>
      <w:r w:rsidRPr="00D15520">
        <w:rPr>
          <w:rFonts w:ascii="Arial" w:hAnsi="Arial" w:cs="Arial"/>
          <w:kern w:val="0"/>
        </w:rPr>
        <w:t xml:space="preserve">, 8(11), pp.1355-1362. DOI: </w:t>
      </w:r>
      <w:hyperlink r:id="rId17" w:history="1">
        <w:r w:rsidRPr="00D15520">
          <w:rPr>
            <w:rFonts w:ascii="Arial" w:hAnsi="Arial" w:cs="Arial"/>
            <w:kern w:val="0"/>
          </w:rPr>
          <w:t>https://doi.org/10.19026/rjaset.8.1107</w:t>
        </w:r>
      </w:hyperlink>
      <w:r w:rsidRPr="00D15520">
        <w:rPr>
          <w:rFonts w:ascii="Arial" w:hAnsi="Arial" w:cs="Arial"/>
          <w:kern w:val="0"/>
        </w:rPr>
        <w:t>.</w:t>
      </w:r>
    </w:p>
    <w:p w14:paraId="29165EF2" w14:textId="77777777" w:rsidR="00A45A40" w:rsidRPr="00D15520" w:rsidRDefault="00A45A40" w:rsidP="00A45A40">
      <w:pPr>
        <w:spacing w:after="240" w:line="360" w:lineRule="auto"/>
        <w:jc w:val="both"/>
        <w:rPr>
          <w:rFonts w:ascii="Arial" w:hAnsi="Arial" w:cs="Arial"/>
          <w:sz w:val="22"/>
          <w:szCs w:val="22"/>
        </w:rPr>
      </w:pPr>
      <w:proofErr w:type="spellStart"/>
      <w:r w:rsidRPr="00D15520">
        <w:rPr>
          <w:rFonts w:ascii="Arial" w:hAnsi="Arial" w:cs="Arial"/>
          <w:kern w:val="0"/>
        </w:rPr>
        <w:t>Muttha</w:t>
      </w:r>
      <w:proofErr w:type="spellEnd"/>
      <w:r w:rsidRPr="00D15520">
        <w:rPr>
          <w:rFonts w:ascii="Arial" w:hAnsi="Arial" w:cs="Arial"/>
          <w:kern w:val="0"/>
        </w:rPr>
        <w:t xml:space="preserve">, T., Giri, L., Pawar, O., Joshi, V., &amp; Patil, A. (2024) ‘Visualizing success: Unveiling sales insights through Tableau's lens’. </w:t>
      </w:r>
      <w:r w:rsidRPr="00D15520">
        <w:rPr>
          <w:rFonts w:ascii="Arial" w:hAnsi="Arial" w:cs="Arial"/>
          <w:i/>
          <w:iCs/>
          <w:kern w:val="0"/>
        </w:rPr>
        <w:t>International Journal for Multidisciplinary Research (IJFMR)</w:t>
      </w:r>
      <w:r w:rsidRPr="00D15520">
        <w:rPr>
          <w:rFonts w:ascii="Arial" w:hAnsi="Arial" w:cs="Arial"/>
          <w:kern w:val="0"/>
        </w:rPr>
        <w:t>, 6(2).</w:t>
      </w:r>
    </w:p>
    <w:p w14:paraId="5A452914" w14:textId="77777777" w:rsidR="00A45A4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Nambiar, A., &amp; Mundra, D. (2022) ‘An overview of data warehouse and data lake in modern enterprise data management’.</w:t>
      </w:r>
      <w:r w:rsidRPr="00D15520">
        <w:rPr>
          <w:rFonts w:ascii="Arial" w:hAnsi="Arial" w:cs="Arial"/>
          <w:i/>
          <w:iCs/>
          <w:kern w:val="0"/>
        </w:rPr>
        <w:t xml:space="preserve"> Big Data and Cognitive Computing, 6</w:t>
      </w:r>
      <w:r w:rsidRPr="00D15520">
        <w:rPr>
          <w:rFonts w:ascii="Arial" w:hAnsi="Arial" w:cs="Arial"/>
          <w:kern w:val="0"/>
        </w:rPr>
        <w:t xml:space="preserve">(4), pp. 132. </w:t>
      </w:r>
      <w:proofErr w:type="spellStart"/>
      <w:r w:rsidRPr="00D15520">
        <w:rPr>
          <w:rFonts w:ascii="Arial" w:hAnsi="Arial" w:cs="Arial"/>
          <w:kern w:val="0"/>
        </w:rPr>
        <w:t>doi</w:t>
      </w:r>
      <w:proofErr w:type="spellEnd"/>
      <w:r w:rsidRPr="00D15520">
        <w:rPr>
          <w:rFonts w:ascii="Arial" w:hAnsi="Arial" w:cs="Arial"/>
          <w:kern w:val="0"/>
        </w:rPr>
        <w:t xml:space="preserve">: </w:t>
      </w:r>
      <w:hyperlink r:id="rId18" w:history="1">
        <w:r w:rsidRPr="00D15520">
          <w:rPr>
            <w:rFonts w:ascii="Arial" w:hAnsi="Arial" w:cs="Arial"/>
            <w:kern w:val="0"/>
          </w:rPr>
          <w:t>https://doi.org/10.3390/bdcc6040132</w:t>
        </w:r>
      </w:hyperlink>
      <w:r w:rsidRPr="00D15520">
        <w:rPr>
          <w:rFonts w:ascii="Arial" w:hAnsi="Arial" w:cs="Arial"/>
          <w:kern w:val="0"/>
        </w:rPr>
        <w:t>.</w:t>
      </w:r>
    </w:p>
    <w:p w14:paraId="2A45C2D4" w14:textId="77777777" w:rsidR="00A45A40" w:rsidRPr="00D15520" w:rsidRDefault="00A45A40" w:rsidP="00A45A40">
      <w:pPr>
        <w:autoSpaceDE w:val="0"/>
        <w:autoSpaceDN w:val="0"/>
        <w:adjustRightInd w:val="0"/>
        <w:spacing w:after="240" w:line="360" w:lineRule="auto"/>
        <w:jc w:val="both"/>
        <w:rPr>
          <w:rFonts w:ascii="Arial" w:hAnsi="Arial" w:cs="Arial"/>
          <w:kern w:val="0"/>
        </w:rPr>
      </w:pPr>
      <w:proofErr w:type="spellStart"/>
      <w:r w:rsidRPr="00D15520">
        <w:rPr>
          <w:rFonts w:ascii="Arial" w:hAnsi="Arial" w:cs="Arial"/>
          <w:kern w:val="0"/>
        </w:rPr>
        <w:t>Puklavec</w:t>
      </w:r>
      <w:proofErr w:type="spellEnd"/>
      <w:r w:rsidRPr="00D15520">
        <w:rPr>
          <w:rFonts w:ascii="Arial" w:hAnsi="Arial" w:cs="Arial"/>
          <w:kern w:val="0"/>
        </w:rPr>
        <w:t xml:space="preserve">, B., Oliveira, T. and </w:t>
      </w:r>
      <w:proofErr w:type="spellStart"/>
      <w:r w:rsidRPr="00D15520">
        <w:rPr>
          <w:rFonts w:ascii="Arial" w:hAnsi="Arial" w:cs="Arial"/>
          <w:kern w:val="0"/>
        </w:rPr>
        <w:t>Popovič</w:t>
      </w:r>
      <w:proofErr w:type="spellEnd"/>
      <w:r w:rsidRPr="00D15520">
        <w:rPr>
          <w:rFonts w:ascii="Arial" w:hAnsi="Arial" w:cs="Arial"/>
          <w:kern w:val="0"/>
        </w:rPr>
        <w:t>, A. (2018), "Understanding the determinants of</w:t>
      </w:r>
      <w:r>
        <w:rPr>
          <w:rFonts w:ascii="Arial" w:hAnsi="Arial" w:cs="Arial"/>
          <w:kern w:val="0"/>
        </w:rPr>
        <w:t xml:space="preserve"> </w:t>
      </w:r>
      <w:r w:rsidRPr="00D15520">
        <w:rPr>
          <w:rFonts w:ascii="Arial" w:hAnsi="Arial" w:cs="Arial"/>
          <w:kern w:val="0"/>
        </w:rPr>
        <w:t>business intelligence system adoption stages: An empirical study of SMEs", Management &amp; Data Systems, Vol. 118 No. 1, pp. 236-261.</w:t>
      </w:r>
    </w:p>
    <w:p w14:paraId="514FFB55" w14:textId="77777777" w:rsidR="00A45A40" w:rsidRPr="00D15520" w:rsidRDefault="00A45A40" w:rsidP="00A45A40">
      <w:pPr>
        <w:autoSpaceDE w:val="0"/>
        <w:autoSpaceDN w:val="0"/>
        <w:adjustRightInd w:val="0"/>
        <w:spacing w:after="240" w:line="360" w:lineRule="auto"/>
        <w:jc w:val="both"/>
        <w:rPr>
          <w:rFonts w:ascii="Arial" w:hAnsi="Arial" w:cs="Arial"/>
          <w:kern w:val="0"/>
        </w:rPr>
      </w:pPr>
      <w:proofErr w:type="spellStart"/>
      <w:r w:rsidRPr="00D15520">
        <w:rPr>
          <w:rFonts w:ascii="Arial" w:hAnsi="Arial" w:cs="Arial"/>
          <w:kern w:val="0"/>
        </w:rPr>
        <w:t>Rabadyia</w:t>
      </w:r>
      <w:proofErr w:type="spellEnd"/>
      <w:r w:rsidRPr="00D15520">
        <w:rPr>
          <w:rFonts w:ascii="Arial" w:hAnsi="Arial" w:cs="Arial"/>
          <w:kern w:val="0"/>
        </w:rPr>
        <w:t xml:space="preserve">, S. (2025) </w:t>
      </w:r>
      <w:r w:rsidRPr="00D15520">
        <w:rPr>
          <w:rFonts w:ascii="Arial" w:hAnsi="Arial" w:cs="Arial"/>
          <w:i/>
          <w:iCs/>
          <w:kern w:val="0"/>
        </w:rPr>
        <w:t xml:space="preserve">Business Intelligence vs Data Warehousing: Key Differences, Integration Benefits &amp; Best Practices. </w:t>
      </w:r>
      <w:r w:rsidRPr="00D15520">
        <w:rPr>
          <w:rFonts w:ascii="Arial" w:hAnsi="Arial" w:cs="Arial"/>
          <w:kern w:val="0"/>
        </w:rPr>
        <w:t xml:space="preserve">Available at: </w:t>
      </w:r>
      <w:hyperlink r:id="rId19" w:history="1">
        <w:r w:rsidRPr="00D15520">
          <w:rPr>
            <w:rFonts w:ascii="Arial" w:hAnsi="Arial" w:cs="Arial"/>
            <w:kern w:val="0"/>
          </w:rPr>
          <w:t>https://sranalytics.io/blog/business-intelligence-and-data-warehousing/</w:t>
        </w:r>
      </w:hyperlink>
      <w:r w:rsidRPr="00D15520">
        <w:rPr>
          <w:rFonts w:ascii="Arial" w:hAnsi="Arial" w:cs="Arial"/>
          <w:kern w:val="0"/>
        </w:rPr>
        <w:t>. (Accessed: 17 November 2025).</w:t>
      </w:r>
    </w:p>
    <w:p w14:paraId="0469CE30"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lastRenderedPageBreak/>
        <w:t>Rosidi, N. (2023)</w:t>
      </w:r>
      <w:r w:rsidRPr="00D15520">
        <w:rPr>
          <w:rFonts w:ascii="Arial" w:hAnsi="Arial" w:cs="Arial"/>
          <w:i/>
          <w:iCs/>
          <w:kern w:val="0"/>
        </w:rPr>
        <w:t xml:space="preserve"> Indispensable Data Mining Tools You Need as a Data Scientist</w:t>
      </w:r>
      <w:r w:rsidRPr="00D15520">
        <w:rPr>
          <w:rFonts w:ascii="Arial" w:hAnsi="Arial" w:cs="Arial"/>
          <w:kern w:val="0"/>
        </w:rPr>
        <w:t xml:space="preserve">. Available at: </w:t>
      </w:r>
      <w:hyperlink r:id="rId20" w:history="1">
        <w:r w:rsidRPr="00D15520">
          <w:rPr>
            <w:rFonts w:ascii="Arial" w:hAnsi="Arial" w:cs="Arial"/>
            <w:kern w:val="0"/>
          </w:rPr>
          <w:t>https://www.stratascratch.com/blog/indispensable-data-mining-tools-you-need-as-a-data-scientist/</w:t>
        </w:r>
      </w:hyperlink>
      <w:r w:rsidRPr="00D15520">
        <w:rPr>
          <w:rFonts w:ascii="Arial" w:hAnsi="Arial" w:cs="Arial"/>
          <w:kern w:val="0"/>
        </w:rPr>
        <w:t>. (Accessed: 17 November 2025).</w:t>
      </w:r>
    </w:p>
    <w:p w14:paraId="6A17C6E6"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Salehi, A. R., &amp; </w:t>
      </w:r>
      <w:proofErr w:type="spellStart"/>
      <w:r w:rsidRPr="00D15520">
        <w:rPr>
          <w:rFonts w:ascii="Arial" w:hAnsi="Arial" w:cs="Arial"/>
          <w:kern w:val="0"/>
        </w:rPr>
        <w:t>Khedmati</w:t>
      </w:r>
      <w:proofErr w:type="spellEnd"/>
      <w:r w:rsidRPr="00D15520">
        <w:rPr>
          <w:rFonts w:ascii="Arial" w:hAnsi="Arial" w:cs="Arial"/>
          <w:kern w:val="0"/>
        </w:rPr>
        <w:t>, M. (2024) ‘A cluster-based SMOTE both-sampling (</w:t>
      </w:r>
      <w:proofErr w:type="spellStart"/>
      <w:r w:rsidRPr="00D15520">
        <w:rPr>
          <w:rFonts w:ascii="Arial" w:hAnsi="Arial" w:cs="Arial"/>
          <w:kern w:val="0"/>
        </w:rPr>
        <w:t>CSBBoost</w:t>
      </w:r>
      <w:proofErr w:type="spellEnd"/>
      <w:r w:rsidRPr="00D15520">
        <w:rPr>
          <w:rFonts w:ascii="Arial" w:hAnsi="Arial" w:cs="Arial"/>
          <w:kern w:val="0"/>
        </w:rPr>
        <w:t xml:space="preserve">) ensemble algorithm for classifying imbalanced data’. </w:t>
      </w:r>
      <w:r w:rsidRPr="00D15520">
        <w:rPr>
          <w:rFonts w:ascii="Arial" w:hAnsi="Arial" w:cs="Arial"/>
          <w:i/>
          <w:iCs/>
          <w:kern w:val="0"/>
        </w:rPr>
        <w:t>Scientific reports</w:t>
      </w:r>
      <w:r w:rsidRPr="00D15520">
        <w:rPr>
          <w:rFonts w:ascii="Arial" w:hAnsi="Arial" w:cs="Arial"/>
          <w:kern w:val="0"/>
        </w:rPr>
        <w:t xml:space="preserve">, 14(1), pp. 5152. DOI: </w:t>
      </w:r>
      <w:hyperlink r:id="rId21" w:history="1">
        <w:r w:rsidRPr="00D15520">
          <w:rPr>
            <w:rFonts w:ascii="Arial" w:hAnsi="Arial" w:cs="Arial"/>
            <w:kern w:val="0"/>
          </w:rPr>
          <w:t>https://doi.org/10.1038/s41598-024-55598-1</w:t>
        </w:r>
      </w:hyperlink>
      <w:r w:rsidRPr="00D15520">
        <w:rPr>
          <w:rFonts w:ascii="Arial" w:hAnsi="Arial" w:cs="Arial"/>
          <w:kern w:val="0"/>
        </w:rPr>
        <w:t>.</w:t>
      </w:r>
    </w:p>
    <w:p w14:paraId="2D365FFD"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Sharma, K. (2025) </w:t>
      </w:r>
      <w:r w:rsidRPr="00D15520">
        <w:rPr>
          <w:rFonts w:ascii="Arial" w:hAnsi="Arial" w:cs="Arial"/>
          <w:i/>
          <w:iCs/>
          <w:kern w:val="0"/>
        </w:rPr>
        <w:t xml:space="preserve">Different Data Mining Techniques (and How They Power Business Decisions). </w:t>
      </w:r>
      <w:r w:rsidRPr="00D15520">
        <w:rPr>
          <w:rFonts w:ascii="Arial" w:hAnsi="Arial" w:cs="Arial"/>
          <w:kern w:val="0"/>
        </w:rPr>
        <w:t xml:space="preserve">Available at: </w:t>
      </w:r>
      <w:hyperlink r:id="rId22" w:history="1">
        <w:r w:rsidRPr="00D15520">
          <w:rPr>
            <w:rFonts w:ascii="Arial" w:hAnsi="Arial" w:cs="Arial"/>
            <w:kern w:val="0"/>
          </w:rPr>
          <w:t>https://www.promptcloud.com/blog/different-data-mining-techniques/</w:t>
        </w:r>
      </w:hyperlink>
      <w:r w:rsidRPr="00D15520">
        <w:rPr>
          <w:rFonts w:ascii="Arial" w:hAnsi="Arial" w:cs="Arial"/>
          <w:kern w:val="0"/>
        </w:rPr>
        <w:t>. (Accessed: 17 November 2025).</w:t>
      </w:r>
    </w:p>
    <w:p w14:paraId="1A0D3F1C"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Simplilearn (2025) </w:t>
      </w:r>
      <w:r w:rsidRPr="00D15520">
        <w:rPr>
          <w:rFonts w:ascii="Arial" w:hAnsi="Arial" w:cs="Arial"/>
          <w:i/>
          <w:iCs/>
          <w:kern w:val="0"/>
        </w:rPr>
        <w:t xml:space="preserve">Top 14 Data Mining Tools You Need to Know in 2025 and </w:t>
      </w:r>
      <w:proofErr w:type="gramStart"/>
      <w:r w:rsidRPr="00D15520">
        <w:rPr>
          <w:rFonts w:ascii="Arial" w:hAnsi="Arial" w:cs="Arial"/>
          <w:i/>
          <w:iCs/>
          <w:kern w:val="0"/>
        </w:rPr>
        <w:t>Why</w:t>
      </w:r>
      <w:proofErr w:type="gramEnd"/>
      <w:r w:rsidRPr="00D15520">
        <w:rPr>
          <w:rFonts w:ascii="Arial" w:hAnsi="Arial" w:cs="Arial"/>
          <w:i/>
          <w:iCs/>
          <w:kern w:val="0"/>
        </w:rPr>
        <w:t>.</w:t>
      </w:r>
      <w:r w:rsidRPr="00D15520">
        <w:rPr>
          <w:rFonts w:ascii="Arial" w:hAnsi="Arial" w:cs="Arial"/>
          <w:kern w:val="0"/>
        </w:rPr>
        <w:t xml:space="preserve"> Available at: </w:t>
      </w:r>
      <w:hyperlink r:id="rId23" w:history="1">
        <w:r w:rsidRPr="00D15520">
          <w:rPr>
            <w:rFonts w:ascii="Arial" w:hAnsi="Arial" w:cs="Arial"/>
            <w:kern w:val="0"/>
          </w:rPr>
          <w:t>https://www.simplilearn.com/data-mining-tools-article</w:t>
        </w:r>
      </w:hyperlink>
      <w:r w:rsidRPr="00D15520">
        <w:rPr>
          <w:rFonts w:ascii="Arial" w:hAnsi="Arial" w:cs="Arial"/>
          <w:kern w:val="0"/>
        </w:rPr>
        <w:t>. (Accessed: 17 November 2025).</w:t>
      </w:r>
    </w:p>
    <w:p w14:paraId="093AD29E"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Tiwari, R. (2023) </w:t>
      </w:r>
      <w:r w:rsidRPr="00D15520">
        <w:rPr>
          <w:rFonts w:ascii="Arial" w:hAnsi="Arial" w:cs="Arial"/>
          <w:i/>
          <w:iCs/>
          <w:kern w:val="0"/>
        </w:rPr>
        <w:t>Exploring Data and Business Management: How Information Helps in Supervision</w:t>
      </w:r>
      <w:r w:rsidRPr="00D15520">
        <w:rPr>
          <w:rFonts w:ascii="Arial" w:hAnsi="Arial" w:cs="Arial"/>
          <w:kern w:val="0"/>
        </w:rPr>
        <w:t xml:space="preserve">. Society Publishing. Available at: </w:t>
      </w:r>
      <w:hyperlink r:id="rId24" w:history="1">
        <w:r w:rsidRPr="00D15520">
          <w:rPr>
            <w:rFonts w:ascii="Arial" w:hAnsi="Arial" w:cs="Arial"/>
            <w:kern w:val="0"/>
          </w:rPr>
          <w:t>https://www.perlego.com/book/3833579</w:t>
        </w:r>
      </w:hyperlink>
      <w:r w:rsidRPr="00D15520">
        <w:rPr>
          <w:rFonts w:ascii="Arial" w:hAnsi="Arial" w:cs="Arial"/>
          <w:kern w:val="0"/>
        </w:rPr>
        <w:t>. (Accessed: 17 November 2025)</w:t>
      </w:r>
    </w:p>
    <w:p w14:paraId="30AEA8C7"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 xml:space="preserve">Vyas, K. (2023) </w:t>
      </w:r>
      <w:r w:rsidRPr="00D15520">
        <w:rPr>
          <w:rFonts w:ascii="Arial" w:hAnsi="Arial" w:cs="Arial"/>
          <w:i/>
          <w:iCs/>
          <w:kern w:val="0"/>
        </w:rPr>
        <w:t xml:space="preserve">Data Mining: 6 Essential Techniques. </w:t>
      </w:r>
      <w:r w:rsidRPr="00D15520">
        <w:rPr>
          <w:rFonts w:ascii="Arial" w:hAnsi="Arial" w:cs="Arial"/>
          <w:kern w:val="0"/>
        </w:rPr>
        <w:t xml:space="preserve">Available at: </w:t>
      </w:r>
      <w:hyperlink r:id="rId25" w:history="1">
        <w:r w:rsidRPr="00D15520">
          <w:rPr>
            <w:rFonts w:ascii="Arial" w:hAnsi="Arial" w:cs="Arial"/>
            <w:kern w:val="0"/>
          </w:rPr>
          <w:t>https://www.datamation.com/big-data/data-mining-techniques/</w:t>
        </w:r>
      </w:hyperlink>
      <w:r w:rsidRPr="00D15520">
        <w:rPr>
          <w:rFonts w:ascii="Arial" w:hAnsi="Arial" w:cs="Arial"/>
          <w:kern w:val="0"/>
        </w:rPr>
        <w:t>. (Accessed: 17 November 2025).</w:t>
      </w:r>
    </w:p>
    <w:p w14:paraId="378DA8AB" w14:textId="77777777" w:rsidR="00A45A40" w:rsidRPr="00D15520" w:rsidRDefault="00A45A40" w:rsidP="00A45A40">
      <w:pPr>
        <w:autoSpaceDE w:val="0"/>
        <w:autoSpaceDN w:val="0"/>
        <w:adjustRightInd w:val="0"/>
        <w:spacing w:after="240" w:line="360" w:lineRule="auto"/>
        <w:jc w:val="both"/>
        <w:rPr>
          <w:rFonts w:ascii="Arial" w:hAnsi="Arial" w:cs="Arial"/>
          <w:kern w:val="0"/>
        </w:rPr>
      </w:pPr>
      <w:r w:rsidRPr="00D15520">
        <w:rPr>
          <w:rFonts w:ascii="Arial" w:hAnsi="Arial" w:cs="Arial"/>
          <w:kern w:val="0"/>
        </w:rPr>
        <w:t>Witten, I.H., Frank, E., Hall, M.A., Pal, C.J., &amp; Foulds, J.R. (2025). *Data mining: Practical machine learning tools and techniques*. 5th ed. Amsterdam: Morgan Kaufmann.</w:t>
      </w:r>
    </w:p>
    <w:p w14:paraId="04C09F95" w14:textId="77777777" w:rsidR="00A45A40" w:rsidRPr="00A45A40" w:rsidRDefault="00A45A40" w:rsidP="00A45A40"/>
    <w:sectPr w:rsidR="00A45A40" w:rsidRPr="00A45A40" w:rsidSect="00DF49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5135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3E"/>
    <w:rsid w:val="000A648C"/>
    <w:rsid w:val="00104B95"/>
    <w:rsid w:val="001378FA"/>
    <w:rsid w:val="00187CE5"/>
    <w:rsid w:val="0025139A"/>
    <w:rsid w:val="0027501C"/>
    <w:rsid w:val="00336AFD"/>
    <w:rsid w:val="00355FED"/>
    <w:rsid w:val="00370AAC"/>
    <w:rsid w:val="00377690"/>
    <w:rsid w:val="00415A61"/>
    <w:rsid w:val="0049627D"/>
    <w:rsid w:val="00534F2D"/>
    <w:rsid w:val="00554A3E"/>
    <w:rsid w:val="005D4847"/>
    <w:rsid w:val="00603931"/>
    <w:rsid w:val="006A511E"/>
    <w:rsid w:val="00755E89"/>
    <w:rsid w:val="00795D51"/>
    <w:rsid w:val="007E09DC"/>
    <w:rsid w:val="0082685B"/>
    <w:rsid w:val="008B7CF8"/>
    <w:rsid w:val="009D2D98"/>
    <w:rsid w:val="009F7072"/>
    <w:rsid w:val="00A106CE"/>
    <w:rsid w:val="00A45A40"/>
    <w:rsid w:val="00A74C8C"/>
    <w:rsid w:val="00B12603"/>
    <w:rsid w:val="00B408D0"/>
    <w:rsid w:val="00C157EE"/>
    <w:rsid w:val="00C825A6"/>
    <w:rsid w:val="00CB00CD"/>
    <w:rsid w:val="00DF493E"/>
    <w:rsid w:val="00E45D4D"/>
    <w:rsid w:val="00F60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497C"/>
  <w15:chartTrackingRefBased/>
  <w15:docId w15:val="{4A822135-71A9-B44C-8B62-549B772EF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9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49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49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9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9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9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9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9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9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9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49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49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9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9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9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9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9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93E"/>
    <w:rPr>
      <w:rFonts w:eastAsiaTheme="majorEastAsia" w:cstheme="majorBidi"/>
      <w:color w:val="272727" w:themeColor="text1" w:themeTint="D8"/>
    </w:rPr>
  </w:style>
  <w:style w:type="paragraph" w:styleId="Title">
    <w:name w:val="Title"/>
    <w:basedOn w:val="Normal"/>
    <w:next w:val="Normal"/>
    <w:link w:val="TitleChar"/>
    <w:uiPriority w:val="10"/>
    <w:qFormat/>
    <w:rsid w:val="00DF49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9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93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9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9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493E"/>
    <w:rPr>
      <w:i/>
      <w:iCs/>
      <w:color w:val="404040" w:themeColor="text1" w:themeTint="BF"/>
    </w:rPr>
  </w:style>
  <w:style w:type="paragraph" w:styleId="ListParagraph">
    <w:name w:val="List Paragraph"/>
    <w:basedOn w:val="Normal"/>
    <w:uiPriority w:val="34"/>
    <w:qFormat/>
    <w:rsid w:val="00DF493E"/>
    <w:pPr>
      <w:ind w:left="720"/>
      <w:contextualSpacing/>
    </w:pPr>
  </w:style>
  <w:style w:type="character" w:styleId="IntenseEmphasis">
    <w:name w:val="Intense Emphasis"/>
    <w:basedOn w:val="DefaultParagraphFont"/>
    <w:uiPriority w:val="21"/>
    <w:qFormat/>
    <w:rsid w:val="00DF493E"/>
    <w:rPr>
      <w:i/>
      <w:iCs/>
      <w:color w:val="0F4761" w:themeColor="accent1" w:themeShade="BF"/>
    </w:rPr>
  </w:style>
  <w:style w:type="paragraph" w:styleId="IntenseQuote">
    <w:name w:val="Intense Quote"/>
    <w:basedOn w:val="Normal"/>
    <w:next w:val="Normal"/>
    <w:link w:val="IntenseQuoteChar"/>
    <w:uiPriority w:val="30"/>
    <w:qFormat/>
    <w:rsid w:val="00DF49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93E"/>
    <w:rPr>
      <w:i/>
      <w:iCs/>
      <w:color w:val="0F4761" w:themeColor="accent1" w:themeShade="BF"/>
    </w:rPr>
  </w:style>
  <w:style w:type="character" w:styleId="IntenseReference">
    <w:name w:val="Intense Reference"/>
    <w:basedOn w:val="DefaultParagraphFont"/>
    <w:uiPriority w:val="32"/>
    <w:qFormat/>
    <w:rsid w:val="00DF493E"/>
    <w:rPr>
      <w:b/>
      <w:bCs/>
      <w:smallCaps/>
      <w:color w:val="0F4761" w:themeColor="accent1" w:themeShade="BF"/>
      <w:spacing w:val="5"/>
    </w:rPr>
  </w:style>
  <w:style w:type="paragraph" w:styleId="NoSpacing">
    <w:name w:val="No Spacing"/>
    <w:link w:val="NoSpacingChar"/>
    <w:uiPriority w:val="1"/>
    <w:qFormat/>
    <w:rsid w:val="00DF493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F493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F493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F493E"/>
    <w:pPr>
      <w:spacing w:before="120" w:after="120"/>
    </w:pPr>
    <w:rPr>
      <w:b/>
      <w:bCs/>
      <w:caps/>
      <w:sz w:val="20"/>
      <w:szCs w:val="20"/>
    </w:rPr>
  </w:style>
  <w:style w:type="paragraph" w:styleId="TOC2">
    <w:name w:val="toc 2"/>
    <w:basedOn w:val="Normal"/>
    <w:next w:val="Normal"/>
    <w:autoRedefine/>
    <w:uiPriority w:val="39"/>
    <w:semiHidden/>
    <w:unhideWhenUsed/>
    <w:rsid w:val="00DF493E"/>
    <w:pPr>
      <w:ind w:left="240"/>
    </w:pPr>
    <w:rPr>
      <w:smallCaps/>
      <w:sz w:val="20"/>
      <w:szCs w:val="20"/>
    </w:rPr>
  </w:style>
  <w:style w:type="paragraph" w:styleId="TOC3">
    <w:name w:val="toc 3"/>
    <w:basedOn w:val="Normal"/>
    <w:next w:val="Normal"/>
    <w:autoRedefine/>
    <w:uiPriority w:val="39"/>
    <w:semiHidden/>
    <w:unhideWhenUsed/>
    <w:rsid w:val="00DF493E"/>
    <w:pPr>
      <w:ind w:left="480"/>
    </w:pPr>
    <w:rPr>
      <w:i/>
      <w:iCs/>
      <w:sz w:val="20"/>
      <w:szCs w:val="20"/>
    </w:rPr>
  </w:style>
  <w:style w:type="paragraph" w:styleId="TOC4">
    <w:name w:val="toc 4"/>
    <w:basedOn w:val="Normal"/>
    <w:next w:val="Normal"/>
    <w:autoRedefine/>
    <w:uiPriority w:val="39"/>
    <w:semiHidden/>
    <w:unhideWhenUsed/>
    <w:rsid w:val="00DF493E"/>
    <w:pPr>
      <w:ind w:left="720"/>
    </w:pPr>
    <w:rPr>
      <w:sz w:val="18"/>
      <w:szCs w:val="18"/>
    </w:rPr>
  </w:style>
  <w:style w:type="paragraph" w:styleId="TOC5">
    <w:name w:val="toc 5"/>
    <w:basedOn w:val="Normal"/>
    <w:next w:val="Normal"/>
    <w:autoRedefine/>
    <w:uiPriority w:val="39"/>
    <w:semiHidden/>
    <w:unhideWhenUsed/>
    <w:rsid w:val="00DF493E"/>
    <w:pPr>
      <w:ind w:left="960"/>
    </w:pPr>
    <w:rPr>
      <w:sz w:val="18"/>
      <w:szCs w:val="18"/>
    </w:rPr>
  </w:style>
  <w:style w:type="paragraph" w:styleId="TOC6">
    <w:name w:val="toc 6"/>
    <w:basedOn w:val="Normal"/>
    <w:next w:val="Normal"/>
    <w:autoRedefine/>
    <w:uiPriority w:val="39"/>
    <w:semiHidden/>
    <w:unhideWhenUsed/>
    <w:rsid w:val="00DF493E"/>
    <w:pPr>
      <w:ind w:left="1200"/>
    </w:pPr>
    <w:rPr>
      <w:sz w:val="18"/>
      <w:szCs w:val="18"/>
    </w:rPr>
  </w:style>
  <w:style w:type="paragraph" w:styleId="TOC7">
    <w:name w:val="toc 7"/>
    <w:basedOn w:val="Normal"/>
    <w:next w:val="Normal"/>
    <w:autoRedefine/>
    <w:uiPriority w:val="39"/>
    <w:semiHidden/>
    <w:unhideWhenUsed/>
    <w:rsid w:val="00DF493E"/>
    <w:pPr>
      <w:ind w:left="1440"/>
    </w:pPr>
    <w:rPr>
      <w:sz w:val="18"/>
      <w:szCs w:val="18"/>
    </w:rPr>
  </w:style>
  <w:style w:type="paragraph" w:styleId="TOC8">
    <w:name w:val="toc 8"/>
    <w:basedOn w:val="Normal"/>
    <w:next w:val="Normal"/>
    <w:autoRedefine/>
    <w:uiPriority w:val="39"/>
    <w:semiHidden/>
    <w:unhideWhenUsed/>
    <w:rsid w:val="00DF493E"/>
    <w:pPr>
      <w:ind w:left="1680"/>
    </w:pPr>
    <w:rPr>
      <w:sz w:val="18"/>
      <w:szCs w:val="18"/>
    </w:rPr>
  </w:style>
  <w:style w:type="paragraph" w:styleId="TOC9">
    <w:name w:val="toc 9"/>
    <w:basedOn w:val="Normal"/>
    <w:next w:val="Normal"/>
    <w:autoRedefine/>
    <w:uiPriority w:val="39"/>
    <w:semiHidden/>
    <w:unhideWhenUsed/>
    <w:rsid w:val="00DF493E"/>
    <w:pPr>
      <w:ind w:left="1920"/>
    </w:pPr>
    <w:rPr>
      <w:sz w:val="18"/>
      <w:szCs w:val="18"/>
    </w:rPr>
  </w:style>
  <w:style w:type="character" w:styleId="Hyperlink">
    <w:name w:val="Hyperlink"/>
    <w:basedOn w:val="DefaultParagraphFont"/>
    <w:uiPriority w:val="99"/>
    <w:unhideWhenUsed/>
    <w:rsid w:val="001378FA"/>
    <w:rPr>
      <w:color w:val="467886" w:themeColor="hyperlink"/>
      <w:u w:val="single"/>
    </w:rPr>
  </w:style>
  <w:style w:type="character" w:customStyle="1" w:styleId="apple-converted-space">
    <w:name w:val="apple-converted-space"/>
    <w:basedOn w:val="DefaultParagraphFont"/>
    <w:rsid w:val="00C15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ldata.io/blog/the-future-of-data-warehouse-tools-key-trends-to-watch" TargetMode="External"/><Relationship Id="rId13" Type="http://schemas.openxmlformats.org/officeDocument/2006/relationships/hyperlink" Target="https://hai.stanford.edu/ai-index/2025-ai-index-report" TargetMode="External"/><Relationship Id="rId18" Type="http://schemas.openxmlformats.org/officeDocument/2006/relationships/hyperlink" Target="https://doi.org/10.3390/bdcc604013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38/s41598-024-55598-1" TargetMode="External"/><Relationship Id="rId7" Type="http://schemas.openxmlformats.org/officeDocument/2006/relationships/hyperlink" Target="https://www.3pillarglobal.com/insights/blog/creating-business-value-with-data-mining-and-predictive-analytics/" TargetMode="External"/><Relationship Id="rId12" Type="http://schemas.openxmlformats.org/officeDocument/2006/relationships/hyperlink" Target="https://www.dchbi.com/post/business-intelligence-in-2025-how-ai-cloud-and-real-time-analytics-are-reshaping-decision-making" TargetMode="External"/><Relationship Id="rId17" Type="http://schemas.openxmlformats.org/officeDocument/2006/relationships/hyperlink" Target="https://doi.org/10.19026/rjaset.8.1107" TargetMode="External"/><Relationship Id="rId25" Type="http://schemas.openxmlformats.org/officeDocument/2006/relationships/hyperlink" Target="https://www.datamation.com/big-data/data-mining-techniques/" TargetMode="External"/><Relationship Id="rId2" Type="http://schemas.openxmlformats.org/officeDocument/2006/relationships/numbering" Target="numbering.xml"/><Relationship Id="rId16" Type="http://schemas.openxmlformats.org/officeDocument/2006/relationships/hyperlink" Target="https://www.perlego.com/book/1000381" TargetMode="External"/><Relationship Id="rId20" Type="http://schemas.openxmlformats.org/officeDocument/2006/relationships/hyperlink" Target="https://www.stratascratch.com/blog/indispensable-data-mining-tools-you-need-as-a-data-scientis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ata-sleek.com/blog/data-warehousing-in-supply-chain/" TargetMode="External"/><Relationship Id="rId24" Type="http://schemas.openxmlformats.org/officeDocument/2006/relationships/hyperlink" Target="https://www.perlego.com/book/3833579" TargetMode="External"/><Relationship Id="rId5" Type="http://schemas.openxmlformats.org/officeDocument/2006/relationships/webSettings" Target="webSettings.xml"/><Relationship Id="rId15" Type="http://schemas.openxmlformats.org/officeDocument/2006/relationships/hyperlink" Target="https://www.kimballgroup.com/data-warehouse-business-intelligence-resources/kimball-techniques/technical-dw-bi-system-architecture/" TargetMode="External"/><Relationship Id="rId23" Type="http://schemas.openxmlformats.org/officeDocument/2006/relationships/hyperlink" Target="https://www.simplilearn.com/data-mining-tools-article" TargetMode="External"/><Relationship Id="rId10" Type="http://schemas.openxmlformats.org/officeDocument/2006/relationships/hyperlink" Target="https://boomi.com/blog/data-consolidation-methods-2/" TargetMode="External"/><Relationship Id="rId19" Type="http://schemas.openxmlformats.org/officeDocument/2006/relationships/hyperlink" Target="https://sranalytics.io/blog/business-intelligence-and-data-warehousing/" TargetMode="External"/><Relationship Id="rId4" Type="http://schemas.openxmlformats.org/officeDocument/2006/relationships/settings" Target="settings.xml"/><Relationship Id="rId9" Type="http://schemas.openxmlformats.org/officeDocument/2006/relationships/hyperlink" Target="https://www.altkomsoftware.com/blog/data-forecasting-in-power-bi/" TargetMode="External"/><Relationship Id="rId14" Type="http://schemas.openxmlformats.org/officeDocument/2006/relationships/hyperlink" Target="https://www.ibm.com/think/topics/data-warehouse" TargetMode="External"/><Relationship Id="rId22" Type="http://schemas.openxmlformats.org/officeDocument/2006/relationships/hyperlink" Target="https://www.promptcloud.com/blog/different-data-mining-techniqu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33825-6896-784D-B5CE-74D995406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4136</Words>
  <Characters>23577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Assignment 1 - report</vt:lpstr>
    </vt:vector>
  </TitlesOfParts>
  <Company/>
  <LinksUpToDate>false</LinksUpToDate>
  <CharactersWithSpaces>27658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report</dc:title>
  <dc:subject>Data Handling &amp; Business Intelligence (LCBB5014)</dc:subject>
  <dc:creator>Andra Tabaras (2335892)</dc:creator>
  <cp:keywords/>
  <dc:description/>
  <cp:lastModifiedBy>Tabaras Catalin</cp:lastModifiedBy>
  <cp:revision>2</cp:revision>
  <dcterms:created xsi:type="dcterms:W3CDTF">2025-11-22T13:44:00Z</dcterms:created>
  <dcterms:modified xsi:type="dcterms:W3CDTF">2025-11-22T13:44:00Z</dcterms:modified>
</cp:coreProperties>
</file>