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E5F1D6" w14:textId="3E573491" w:rsidR="00C23EC1" w:rsidRDefault="00C23EC1" w:rsidP="00C23EC1">
      <w:pPr>
        <w:rPr>
          <w:rFonts w:ascii="Arial" w:hAnsi="Arial" w:cs="Arial"/>
          <w:sz w:val="24"/>
          <w:szCs w:val="24"/>
          <w:lang w:val="en-US"/>
        </w:rPr>
      </w:pPr>
      <w:r>
        <w:rPr>
          <w:rFonts w:ascii="Arial" w:hAnsi="Arial" w:cs="Arial"/>
          <w:sz w:val="24"/>
          <w:szCs w:val="24"/>
          <w:lang w:val="en-US"/>
        </w:rPr>
        <w:t>Irina-Diana Buture</w:t>
      </w:r>
    </w:p>
    <w:p w14:paraId="3553D65B" w14:textId="3665E0BA" w:rsidR="00C23EC1" w:rsidRDefault="00C23EC1" w:rsidP="00C23EC1">
      <w:pPr>
        <w:rPr>
          <w:rFonts w:ascii="Arial" w:hAnsi="Arial" w:cs="Arial"/>
          <w:sz w:val="24"/>
          <w:szCs w:val="24"/>
          <w:lang w:val="en-US"/>
        </w:rPr>
      </w:pPr>
      <w:r>
        <w:rPr>
          <w:rFonts w:ascii="Arial" w:hAnsi="Arial" w:cs="Arial"/>
          <w:sz w:val="24"/>
          <w:szCs w:val="24"/>
          <w:lang w:val="en-US"/>
        </w:rPr>
        <w:t>2239006</w:t>
      </w:r>
    </w:p>
    <w:p w14:paraId="11B79770" w14:textId="649F40C8" w:rsidR="00C23EC1" w:rsidRDefault="00C23EC1" w:rsidP="00C23EC1">
      <w:pPr>
        <w:rPr>
          <w:rFonts w:ascii="Arial" w:hAnsi="Arial" w:cs="Arial"/>
          <w:sz w:val="24"/>
          <w:szCs w:val="24"/>
          <w:lang w:val="en-US"/>
        </w:rPr>
      </w:pPr>
      <w:r>
        <w:rPr>
          <w:rFonts w:ascii="Arial" w:hAnsi="Arial" w:cs="Arial"/>
          <w:sz w:val="24"/>
          <w:szCs w:val="24"/>
          <w:lang w:val="en-US"/>
        </w:rPr>
        <w:t>Personnel Resources &amp; Development BMIH5005</w:t>
      </w:r>
    </w:p>
    <w:p w14:paraId="2A230CCA" w14:textId="4E49A5E0" w:rsidR="00C23EC1" w:rsidRDefault="00C23EC1" w:rsidP="00C23EC1">
      <w:pPr>
        <w:rPr>
          <w:rFonts w:ascii="Arial" w:hAnsi="Arial" w:cs="Arial"/>
          <w:sz w:val="24"/>
          <w:szCs w:val="24"/>
          <w:lang w:val="en-US"/>
        </w:rPr>
      </w:pPr>
      <w:r>
        <w:rPr>
          <w:rFonts w:ascii="Arial" w:hAnsi="Arial" w:cs="Arial"/>
          <w:sz w:val="24"/>
          <w:szCs w:val="24"/>
          <w:lang w:val="en-US"/>
        </w:rPr>
        <w:t xml:space="preserve">Scott James </w:t>
      </w:r>
    </w:p>
    <w:p w14:paraId="4F58140C" w14:textId="77777777" w:rsidR="00C23EC1" w:rsidRPr="00962BE4" w:rsidRDefault="00C23EC1" w:rsidP="00C23EC1">
      <w:pPr>
        <w:jc w:val="center"/>
        <w:rPr>
          <w:rFonts w:ascii="Arial" w:hAnsi="Arial" w:cs="Arial"/>
          <w:sz w:val="32"/>
          <w:szCs w:val="32"/>
          <w:lang w:val="en-US"/>
        </w:rPr>
      </w:pPr>
    </w:p>
    <w:p w14:paraId="35A87A17" w14:textId="168FFF0B" w:rsidR="00C23EC1" w:rsidRPr="00962BE4" w:rsidRDefault="00C23EC1" w:rsidP="00C23EC1">
      <w:pPr>
        <w:jc w:val="center"/>
        <w:rPr>
          <w:rFonts w:ascii="Arial" w:hAnsi="Arial" w:cs="Arial"/>
          <w:color w:val="0D0D0D"/>
          <w:sz w:val="32"/>
          <w:szCs w:val="32"/>
          <w:shd w:val="clear" w:color="auto" w:fill="FFFFFF"/>
        </w:rPr>
      </w:pPr>
      <w:r w:rsidRPr="00962BE4">
        <w:rPr>
          <w:rFonts w:ascii="Arial" w:hAnsi="Arial" w:cs="Arial"/>
          <w:color w:val="0D0D0D"/>
          <w:sz w:val="32"/>
          <w:szCs w:val="32"/>
          <w:shd w:val="clear" w:color="auto" w:fill="FFFFFF"/>
        </w:rPr>
        <w:t xml:space="preserve">Evolution of Human Resources Management and Its Strategic Facilitation </w:t>
      </w:r>
      <w:r w:rsidR="00962BE4" w:rsidRPr="00962BE4">
        <w:rPr>
          <w:rFonts w:ascii="Arial" w:hAnsi="Arial" w:cs="Arial"/>
          <w:color w:val="0D0D0D"/>
          <w:sz w:val="32"/>
          <w:szCs w:val="32"/>
          <w:shd w:val="clear" w:color="auto" w:fill="FFFFFF"/>
        </w:rPr>
        <w:t>at Marriot Hotels</w:t>
      </w:r>
    </w:p>
    <w:p w14:paraId="7D246372" w14:textId="77777777" w:rsidR="00962BE4" w:rsidRDefault="00962BE4" w:rsidP="00C23EC1">
      <w:pPr>
        <w:jc w:val="center"/>
        <w:rPr>
          <w:rFonts w:ascii="Arial" w:hAnsi="Arial" w:cs="Arial"/>
          <w:color w:val="0D0D0D"/>
          <w:sz w:val="24"/>
          <w:szCs w:val="24"/>
          <w:shd w:val="clear" w:color="auto" w:fill="FFFFFF"/>
        </w:rPr>
      </w:pPr>
    </w:p>
    <w:p w14:paraId="682F1743" w14:textId="77777777" w:rsidR="00962BE4" w:rsidRDefault="00962BE4" w:rsidP="00C23EC1">
      <w:pPr>
        <w:jc w:val="center"/>
        <w:rPr>
          <w:rFonts w:ascii="Arial" w:hAnsi="Arial" w:cs="Arial"/>
          <w:color w:val="0D0D0D"/>
          <w:sz w:val="24"/>
          <w:szCs w:val="24"/>
          <w:shd w:val="clear" w:color="auto" w:fill="FFFFFF"/>
        </w:rPr>
      </w:pPr>
    </w:p>
    <w:p w14:paraId="54E4EFFA"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b/>
          <w:bCs/>
          <w:color w:val="0D0D0D"/>
          <w:sz w:val="24"/>
          <w:szCs w:val="24"/>
          <w:shd w:val="clear" w:color="auto" w:fill="FFFFFF"/>
        </w:rPr>
        <w:t>Introduction</w:t>
      </w:r>
    </w:p>
    <w:p w14:paraId="6DD73FFB"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Human Resource Management (HRM) has emerged as a critical strategic function in contemporary organisations, driving success and competitive advantage through people-centred strategies (Boxall &amp; Purcell, 2011). Within the hospitality sector, where service excellence and customer satisfaction are fundamental, aligning HRM practices with organisational goals is essential for delivering quality experiences and achieving growth (Woods &amp; Schuster, 2006). This essay examines HRM at Marriott Hotels, a global hospitality leader renowned for its commitment to employee engagement and service excellence, to elucidate how strategic HRM practices contribute to Marriott’s development, competitiveness, and sustainable growth.</w:t>
      </w:r>
    </w:p>
    <w:p w14:paraId="75BE6B2E"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b/>
          <w:bCs/>
          <w:color w:val="0D0D0D"/>
          <w:sz w:val="24"/>
          <w:szCs w:val="24"/>
          <w:shd w:val="clear" w:color="auto" w:fill="FFFFFF"/>
        </w:rPr>
        <w:t>Main Body</w:t>
      </w:r>
    </w:p>
    <w:p w14:paraId="2522AC3D"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The Strategic Role of HRM</w:t>
      </w:r>
    </w:p>
    <w:p w14:paraId="3E36629F"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In today’s competitive business landscape, HRM plays a strategic role, particularly in hospitality organisations like Marriott Hotels. Strategic HRM is the alignment of HR practices with business goals, which enhances performance, fosters innovation, and provides a competitive edge (Delery &amp; Doty, 1996). Marriott recognises that organisational success is tightly linked to workforce quality and HR’s capacity to attract, develop, and retain top talent essential to its long-term objectives (Snape et al., 1994).</w:t>
      </w:r>
    </w:p>
    <w:p w14:paraId="47724C05"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Facilitating Strategic Development at Marriott Hotels</w:t>
      </w:r>
    </w:p>
    <w:p w14:paraId="06DB48FE"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Marriott Hotels have integrated several HRM practices to drive strategic development. Key areas include:</w:t>
      </w:r>
    </w:p>
    <w:p w14:paraId="258BDE57"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Talent Acquisition and Recruitment</w:t>
      </w:r>
    </w:p>
    <w:p w14:paraId="01DD6D93"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Marriott emphasises recruiting individuals aligned with its core values, which supports strategic objectives by ensuring new hires embody company culture and can contribute effectively. Leveraging social media and talent analytics, Marriott targets candidates with essential skills, competencies, and cultural fit (Collings &amp; </w:t>
      </w:r>
      <w:proofErr w:type="spellStart"/>
      <w:r w:rsidRPr="00E90FF0">
        <w:rPr>
          <w:rFonts w:ascii="Arial" w:hAnsi="Arial" w:cs="Arial"/>
          <w:color w:val="0D0D0D"/>
          <w:sz w:val="24"/>
          <w:szCs w:val="24"/>
          <w:shd w:val="clear" w:color="auto" w:fill="FFFFFF"/>
        </w:rPr>
        <w:t>Mellahi</w:t>
      </w:r>
      <w:proofErr w:type="spellEnd"/>
      <w:r w:rsidRPr="00E90FF0">
        <w:rPr>
          <w:rFonts w:ascii="Arial" w:hAnsi="Arial" w:cs="Arial"/>
          <w:color w:val="0D0D0D"/>
          <w:sz w:val="24"/>
          <w:szCs w:val="24"/>
          <w:shd w:val="clear" w:color="auto" w:fill="FFFFFF"/>
        </w:rPr>
        <w:t xml:space="preserve">, 2009). HRM professionals lead these initiatives, strategically sourcing talent </w:t>
      </w:r>
      <w:r w:rsidRPr="00E90FF0">
        <w:rPr>
          <w:rFonts w:ascii="Arial" w:hAnsi="Arial" w:cs="Arial"/>
          <w:color w:val="0D0D0D"/>
          <w:sz w:val="24"/>
          <w:szCs w:val="24"/>
          <w:shd w:val="clear" w:color="auto" w:fill="FFFFFF"/>
        </w:rPr>
        <w:lastRenderedPageBreak/>
        <w:t>to build a skilled workforce capable of supporting Marriott’s growth (</w:t>
      </w:r>
      <w:proofErr w:type="spellStart"/>
      <w:r w:rsidRPr="00E90FF0">
        <w:rPr>
          <w:rFonts w:ascii="Arial" w:hAnsi="Arial" w:cs="Arial"/>
          <w:color w:val="0D0D0D"/>
          <w:sz w:val="24"/>
          <w:szCs w:val="24"/>
          <w:shd w:val="clear" w:color="auto" w:fill="FFFFFF"/>
        </w:rPr>
        <w:t>Vaiman</w:t>
      </w:r>
      <w:proofErr w:type="spellEnd"/>
      <w:r w:rsidRPr="00E90FF0">
        <w:rPr>
          <w:rFonts w:ascii="Arial" w:hAnsi="Arial" w:cs="Arial"/>
          <w:color w:val="0D0D0D"/>
          <w:sz w:val="24"/>
          <w:szCs w:val="24"/>
          <w:shd w:val="clear" w:color="auto" w:fill="FFFFFF"/>
        </w:rPr>
        <w:t xml:space="preserve"> et al., 2012).</w:t>
      </w:r>
    </w:p>
    <w:p w14:paraId="26C15C32"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Training and Development</w:t>
      </w:r>
    </w:p>
    <w:p w14:paraId="62FAC20E"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A significant investment in employee training and development is another hallmark of Marriott’s HRM strategy. Comprehensive training programmes, leadership initiatives, and continuous learning opportunities equip employees to meet evolving business demands and develop their potential (Jackson et al., 2014). This approach fosters employee commitment and enhances leadership capacity, which is crucial for operational success and sustained growth (</w:t>
      </w:r>
      <w:proofErr w:type="spellStart"/>
      <w:r w:rsidRPr="00E90FF0">
        <w:rPr>
          <w:rFonts w:ascii="Arial" w:hAnsi="Arial" w:cs="Arial"/>
          <w:color w:val="0D0D0D"/>
          <w:sz w:val="24"/>
          <w:szCs w:val="24"/>
          <w:shd w:val="clear" w:color="auto" w:fill="FFFFFF"/>
        </w:rPr>
        <w:t>Garavan</w:t>
      </w:r>
      <w:proofErr w:type="spellEnd"/>
      <w:r w:rsidRPr="00E90FF0">
        <w:rPr>
          <w:rFonts w:ascii="Arial" w:hAnsi="Arial" w:cs="Arial"/>
          <w:color w:val="0D0D0D"/>
          <w:sz w:val="24"/>
          <w:szCs w:val="24"/>
          <w:shd w:val="clear" w:color="auto" w:fill="FFFFFF"/>
        </w:rPr>
        <w:t xml:space="preserve"> et al., 2006).</w:t>
      </w:r>
    </w:p>
    <w:p w14:paraId="48F38666"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Performance Management</w:t>
      </w:r>
    </w:p>
    <w:p w14:paraId="4177E5CD"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Performance management at Marriott is designed to align individual and organisational objectives, fostering accountability and engagement. Setting clear goals, providing regular feedback, and recognising high performance are central to Marriott’s approach (</w:t>
      </w:r>
      <w:proofErr w:type="spellStart"/>
      <w:r w:rsidRPr="00E90FF0">
        <w:rPr>
          <w:rFonts w:ascii="Arial" w:hAnsi="Arial" w:cs="Arial"/>
          <w:color w:val="0D0D0D"/>
          <w:sz w:val="24"/>
          <w:szCs w:val="24"/>
          <w:shd w:val="clear" w:color="auto" w:fill="FFFFFF"/>
        </w:rPr>
        <w:t>Aguinis</w:t>
      </w:r>
      <w:proofErr w:type="spellEnd"/>
      <w:r w:rsidRPr="00E90FF0">
        <w:rPr>
          <w:rFonts w:ascii="Arial" w:hAnsi="Arial" w:cs="Arial"/>
          <w:color w:val="0D0D0D"/>
          <w:sz w:val="24"/>
          <w:szCs w:val="24"/>
          <w:shd w:val="clear" w:color="auto" w:fill="FFFFFF"/>
        </w:rPr>
        <w:t>, 2019). Marriott’s HRM collaborates with managers to conduct evaluations, promote accountability, and address any performance challenges promptly (</w:t>
      </w:r>
      <w:proofErr w:type="spellStart"/>
      <w:r w:rsidRPr="00E90FF0">
        <w:rPr>
          <w:rFonts w:ascii="Arial" w:hAnsi="Arial" w:cs="Arial"/>
          <w:color w:val="0D0D0D"/>
          <w:sz w:val="24"/>
          <w:szCs w:val="24"/>
          <w:shd w:val="clear" w:color="auto" w:fill="FFFFFF"/>
        </w:rPr>
        <w:t>Pulakos</w:t>
      </w:r>
      <w:proofErr w:type="spellEnd"/>
      <w:r w:rsidRPr="00E90FF0">
        <w:rPr>
          <w:rFonts w:ascii="Arial" w:hAnsi="Arial" w:cs="Arial"/>
          <w:color w:val="0D0D0D"/>
          <w:sz w:val="24"/>
          <w:szCs w:val="24"/>
          <w:shd w:val="clear" w:color="auto" w:fill="FFFFFF"/>
        </w:rPr>
        <w:t xml:space="preserve"> et al., 2015). This structured feedback process is essential for reinforcing Marriott’s service excellence standards.</w:t>
      </w:r>
    </w:p>
    <w:p w14:paraId="2FB7AEC8"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Employee Engagement and Recognition</w:t>
      </w:r>
    </w:p>
    <w:p w14:paraId="34B9092C"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Recognising the importance of engaged employees, Marriott prioritises employee recognition and wellness initiatives to create a motivating and supportive work culture. Through regular feedback, recognition programmes, and wellness initiatives, Marriott enhances productivity and fosters a positive work environment, directly linking employee satisfaction with customer satisfaction (Bakker &amp; Demerouti, 2008). Marriott’s HRM leads initiatives that promote morale and camaraderie, creating an inclusive environment where employees feel valued.</w:t>
      </w:r>
    </w:p>
    <w:p w14:paraId="39A1A0A5"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Diversity and Inclusion</w:t>
      </w:r>
    </w:p>
    <w:p w14:paraId="089CB49C"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Diversity and inclusion are core principles at Marriott, which cultivates a workplace that embraces different backgrounds, perspectives, and experiences. Marriott’s commitment to diversity fosters a creative, innovative environment that leverages varied perspectives to drive service excellence and adapt to global markets (Thomas, 1990). HRM professionals at Marriott ensure equal opportunity through diversity-focused recruitment and training, reinforcing Marriott’s inclusive ethos.</w:t>
      </w:r>
    </w:p>
    <w:p w14:paraId="7EC96FE7"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Succession Planning</w:t>
      </w:r>
    </w:p>
    <w:p w14:paraId="10D6E9B5"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To sustain long-term competitiveness, Marriott implements succession planning, identifying high-potential employees and offering development opportunities to groom future leaders (Rothwell, 2010). Succession planning supports continuity in leadership, which is vital for Marriott’s sustained success. Programmes like mentorship and leadership development are critical tools Marriott uses to prepare internal candidates for advancing roles, thereby ensuring a smooth leadership transition.</w:t>
      </w:r>
    </w:p>
    <w:p w14:paraId="1FD070BD"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Strategic Human Resources Planning at Marriott Hotels</w:t>
      </w:r>
    </w:p>
    <w:p w14:paraId="1A81CE0A"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lastRenderedPageBreak/>
        <w:t>Strategic HR planning allows Marriott to align HR practices with corporate objectives, anticipating future talent needs. Key processes include:</w:t>
      </w:r>
    </w:p>
    <w:p w14:paraId="00CA2523"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Understanding Business Objectives</w:t>
      </w:r>
    </w:p>
    <w:p w14:paraId="65FF5879"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Marriott’s HR planning starts with a thorough understanding of the company’s strategic objectives. HR leaders collaborate with management to ensure HR practices align with Marriott’s long-term growth goals (Ulrich, 1997). By aligning HR with Marriott’s vision and priorities, HRM contributes directly to the company’s success.</w:t>
      </w:r>
    </w:p>
    <w:p w14:paraId="0FF212F8"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Assessing Current Workforce Capability</w:t>
      </w:r>
    </w:p>
    <w:p w14:paraId="54CE8072"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Marriott assesses its workforce to identify skill gaps and areas for improvement. This involves a demographic and competency analysis of existing employees, enabling Marriott to identify gaps between current capabilities and those needed to achieve strategic objectives (Wright &amp; Snell, 1998).</w:t>
      </w:r>
    </w:p>
    <w:p w14:paraId="112272C7"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Forecasting Workforce Demand</w:t>
      </w:r>
    </w:p>
    <w:p w14:paraId="7199FC34"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Based on business objectives, HR forecasts workforce needs, considering expansion, turnover, and market changes. Forecasting helps Marriott prepare for future talent requirements, ensuring it has the skills needed to meet organisational objectives (</w:t>
      </w:r>
      <w:proofErr w:type="spellStart"/>
      <w:r w:rsidRPr="00E90FF0">
        <w:rPr>
          <w:rFonts w:ascii="Arial" w:hAnsi="Arial" w:cs="Arial"/>
          <w:color w:val="0D0D0D"/>
          <w:sz w:val="24"/>
          <w:szCs w:val="24"/>
          <w:shd w:val="clear" w:color="auto" w:fill="FFFFFF"/>
        </w:rPr>
        <w:t>Huselid</w:t>
      </w:r>
      <w:proofErr w:type="spellEnd"/>
      <w:r w:rsidRPr="00E90FF0">
        <w:rPr>
          <w:rFonts w:ascii="Arial" w:hAnsi="Arial" w:cs="Arial"/>
          <w:color w:val="0D0D0D"/>
          <w:sz w:val="24"/>
          <w:szCs w:val="24"/>
          <w:shd w:val="clear" w:color="auto" w:fill="FFFFFF"/>
        </w:rPr>
        <w:t>, 1995).</w:t>
      </w:r>
    </w:p>
    <w:p w14:paraId="3B6D54C5"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Identifying Talent Needs</w:t>
      </w:r>
    </w:p>
    <w:p w14:paraId="6C59E966"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Defining talent needs is essential for meeting strategic objectives. Marriott specifies the skills and competencies required, focusing recruitment and training on acquiring and developing these talents to maintain operational excellence (Barney &amp; Wright, 1998).</w:t>
      </w:r>
    </w:p>
    <w:p w14:paraId="505BD41B"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Developing a Talent Pipeline</w:t>
      </w:r>
    </w:p>
    <w:p w14:paraId="6DE4F8EE"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Developing a robust talent pipeline ensures a steady flow of skilled professionals. Marriott’s investment in training, leadership initiatives, and succession planning supports workforce continuity and prepares employees for advancement (McDonnell et al., 2010).</w:t>
      </w:r>
    </w:p>
    <w:p w14:paraId="042EBC99"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Performance Management and Feedback</w:t>
      </w:r>
    </w:p>
    <w:p w14:paraId="1005F00F"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Performance management is integral to Marriott’s HR strategy, aligning individual performance with company objectives. Feedback and evaluations empower employees to meet potential and organisational goals (Armstrong, 2006).</w:t>
      </w:r>
    </w:p>
    <w:p w14:paraId="4ED724F3" w14:textId="77777777" w:rsidR="00E90FF0" w:rsidRPr="00E90FF0" w:rsidRDefault="00E90FF0" w:rsidP="00E90FF0">
      <w:pPr>
        <w:rPr>
          <w:rFonts w:ascii="Arial" w:hAnsi="Arial" w:cs="Arial"/>
          <w:b/>
          <w:bCs/>
          <w:color w:val="0D0D0D"/>
          <w:sz w:val="24"/>
          <w:szCs w:val="24"/>
          <w:shd w:val="clear" w:color="auto" w:fill="FFFFFF"/>
        </w:rPr>
      </w:pPr>
      <w:r w:rsidRPr="00E90FF0">
        <w:rPr>
          <w:rFonts w:ascii="Arial" w:hAnsi="Arial" w:cs="Arial"/>
          <w:b/>
          <w:bCs/>
          <w:color w:val="0D0D0D"/>
          <w:sz w:val="24"/>
          <w:szCs w:val="24"/>
          <w:shd w:val="clear" w:color="auto" w:fill="FFFFFF"/>
        </w:rPr>
        <w:t>Monitoring and Adjusting</w:t>
      </w:r>
    </w:p>
    <w:p w14:paraId="2EB14C47"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Marriott’s HR planning is dynamic, allowing adjustments in response to business and market changes. This agility enables Marriott to respond to challenges and seize new opportunities, reinforcing its industry leadership (Boxall &amp; Purcell, 2011).</w:t>
      </w:r>
    </w:p>
    <w:p w14:paraId="62C81D01"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b/>
          <w:bCs/>
          <w:color w:val="0D0D0D"/>
          <w:sz w:val="24"/>
          <w:szCs w:val="24"/>
          <w:shd w:val="clear" w:color="auto" w:fill="FFFFFF"/>
        </w:rPr>
        <w:t>Conclusion</w:t>
      </w:r>
    </w:p>
    <w:p w14:paraId="320D87B4" w14:textId="77777777" w:rsid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lastRenderedPageBreak/>
        <w:t>Strategic HR planning is essential for Marriott Hotels, aligning HR practices with business goals and ensuring a skilled, engaged workforce capable of supporting long-term growth. Marriott’s investment in talent acquisition, development, and employee engagement demonstrates HRM’s role as a strategic partner. This alignment of HR with Marriott’s vision enables the company to remain agile, innovative, and competitive in the hospitality industry, securing its position as a global leader.</w:t>
      </w:r>
    </w:p>
    <w:p w14:paraId="6054D029" w14:textId="77777777" w:rsidR="00E90FF0" w:rsidRDefault="00E90FF0" w:rsidP="00E90FF0">
      <w:pPr>
        <w:rPr>
          <w:rFonts w:ascii="Arial" w:hAnsi="Arial" w:cs="Arial"/>
          <w:color w:val="0D0D0D"/>
          <w:sz w:val="24"/>
          <w:szCs w:val="24"/>
          <w:shd w:val="clear" w:color="auto" w:fill="FFFFFF"/>
        </w:rPr>
      </w:pPr>
    </w:p>
    <w:p w14:paraId="33DC091B" w14:textId="77777777" w:rsidR="00E90FF0" w:rsidRDefault="00E90FF0" w:rsidP="00E90FF0">
      <w:pPr>
        <w:rPr>
          <w:rFonts w:ascii="Arial" w:hAnsi="Arial" w:cs="Arial"/>
          <w:color w:val="0D0D0D"/>
          <w:sz w:val="24"/>
          <w:szCs w:val="24"/>
          <w:shd w:val="clear" w:color="auto" w:fill="FFFFFF"/>
        </w:rPr>
      </w:pPr>
    </w:p>
    <w:p w14:paraId="537B364E" w14:textId="77777777" w:rsidR="00E90FF0" w:rsidRDefault="00E90FF0" w:rsidP="00E90FF0">
      <w:pPr>
        <w:rPr>
          <w:rFonts w:ascii="Arial" w:hAnsi="Arial" w:cs="Arial"/>
          <w:color w:val="0D0D0D"/>
          <w:sz w:val="24"/>
          <w:szCs w:val="24"/>
          <w:shd w:val="clear" w:color="auto" w:fill="FFFFFF"/>
        </w:rPr>
      </w:pPr>
    </w:p>
    <w:p w14:paraId="63A21D31" w14:textId="77777777" w:rsidR="00E90FF0" w:rsidRDefault="00E90FF0" w:rsidP="00E90FF0">
      <w:pPr>
        <w:rPr>
          <w:rFonts w:ascii="Arial" w:hAnsi="Arial" w:cs="Arial"/>
          <w:color w:val="0D0D0D"/>
          <w:sz w:val="24"/>
          <w:szCs w:val="24"/>
          <w:shd w:val="clear" w:color="auto" w:fill="FFFFFF"/>
        </w:rPr>
      </w:pPr>
    </w:p>
    <w:p w14:paraId="7F16A45D" w14:textId="77777777" w:rsidR="00E90FF0" w:rsidRDefault="00E90FF0" w:rsidP="00E90FF0">
      <w:pPr>
        <w:rPr>
          <w:rFonts w:ascii="Arial" w:hAnsi="Arial" w:cs="Arial"/>
          <w:color w:val="0D0D0D"/>
          <w:sz w:val="24"/>
          <w:szCs w:val="24"/>
          <w:shd w:val="clear" w:color="auto" w:fill="FFFFFF"/>
        </w:rPr>
      </w:pPr>
    </w:p>
    <w:p w14:paraId="5110BE7B" w14:textId="77777777" w:rsidR="00E90FF0" w:rsidRDefault="00E90FF0" w:rsidP="00E90FF0">
      <w:pPr>
        <w:rPr>
          <w:rFonts w:ascii="Arial" w:hAnsi="Arial" w:cs="Arial"/>
          <w:color w:val="0D0D0D"/>
          <w:sz w:val="24"/>
          <w:szCs w:val="24"/>
          <w:shd w:val="clear" w:color="auto" w:fill="FFFFFF"/>
        </w:rPr>
      </w:pPr>
    </w:p>
    <w:p w14:paraId="60F7C110" w14:textId="77777777" w:rsidR="00E90FF0" w:rsidRDefault="00E90FF0" w:rsidP="00E90FF0">
      <w:pPr>
        <w:rPr>
          <w:rFonts w:ascii="Arial" w:hAnsi="Arial" w:cs="Arial"/>
          <w:color w:val="0D0D0D"/>
          <w:sz w:val="24"/>
          <w:szCs w:val="24"/>
          <w:shd w:val="clear" w:color="auto" w:fill="FFFFFF"/>
        </w:rPr>
      </w:pPr>
    </w:p>
    <w:p w14:paraId="3FE78F00" w14:textId="77777777" w:rsidR="00E90FF0" w:rsidRPr="00E90FF0" w:rsidRDefault="00E90FF0" w:rsidP="00E90FF0">
      <w:pPr>
        <w:rPr>
          <w:rFonts w:ascii="Arial" w:hAnsi="Arial" w:cs="Arial"/>
          <w:color w:val="0D0D0D"/>
          <w:sz w:val="24"/>
          <w:szCs w:val="24"/>
          <w:shd w:val="clear" w:color="auto" w:fill="FFFFFF"/>
        </w:rPr>
      </w:pPr>
    </w:p>
    <w:p w14:paraId="4C1BE426" w14:textId="295B44FA" w:rsidR="00E90FF0" w:rsidRPr="00E90FF0" w:rsidRDefault="00E90FF0" w:rsidP="00E90FF0">
      <w:pPr>
        <w:rPr>
          <w:rFonts w:ascii="Arial" w:hAnsi="Arial" w:cs="Arial"/>
          <w:color w:val="0D0D0D"/>
          <w:sz w:val="24"/>
          <w:szCs w:val="24"/>
          <w:shd w:val="clear" w:color="auto" w:fill="FFFFFF"/>
        </w:rPr>
      </w:pPr>
    </w:p>
    <w:p w14:paraId="650C64E3"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b/>
          <w:bCs/>
          <w:color w:val="0D0D0D"/>
          <w:sz w:val="24"/>
          <w:szCs w:val="24"/>
          <w:shd w:val="clear" w:color="auto" w:fill="FFFFFF"/>
        </w:rPr>
        <w:t>References</w:t>
      </w:r>
    </w:p>
    <w:p w14:paraId="27874590" w14:textId="77777777" w:rsidR="00E90FF0" w:rsidRPr="00E90FF0" w:rsidRDefault="00E90FF0" w:rsidP="00E90FF0">
      <w:pPr>
        <w:rPr>
          <w:rFonts w:ascii="Arial" w:hAnsi="Arial" w:cs="Arial"/>
          <w:color w:val="0D0D0D"/>
          <w:sz w:val="24"/>
          <w:szCs w:val="24"/>
          <w:shd w:val="clear" w:color="auto" w:fill="FFFFFF"/>
        </w:rPr>
      </w:pPr>
      <w:proofErr w:type="spellStart"/>
      <w:r w:rsidRPr="00E90FF0">
        <w:rPr>
          <w:rFonts w:ascii="Arial" w:hAnsi="Arial" w:cs="Arial"/>
          <w:color w:val="0D0D0D"/>
          <w:sz w:val="24"/>
          <w:szCs w:val="24"/>
          <w:shd w:val="clear" w:color="auto" w:fill="FFFFFF"/>
        </w:rPr>
        <w:t>Aguinis</w:t>
      </w:r>
      <w:proofErr w:type="spellEnd"/>
      <w:r w:rsidRPr="00E90FF0">
        <w:rPr>
          <w:rFonts w:ascii="Arial" w:hAnsi="Arial" w:cs="Arial"/>
          <w:color w:val="0D0D0D"/>
          <w:sz w:val="24"/>
          <w:szCs w:val="24"/>
          <w:shd w:val="clear" w:color="auto" w:fill="FFFFFF"/>
        </w:rPr>
        <w:t xml:space="preserve">, H. (2019). </w:t>
      </w:r>
      <w:r w:rsidRPr="00E90FF0">
        <w:rPr>
          <w:rFonts w:ascii="Arial" w:hAnsi="Arial" w:cs="Arial"/>
          <w:i/>
          <w:iCs/>
          <w:color w:val="0D0D0D"/>
          <w:sz w:val="24"/>
          <w:szCs w:val="24"/>
          <w:shd w:val="clear" w:color="auto" w:fill="FFFFFF"/>
        </w:rPr>
        <w:t>Performance Management for Dummies</w:t>
      </w:r>
      <w:r w:rsidRPr="00E90FF0">
        <w:rPr>
          <w:rFonts w:ascii="Arial" w:hAnsi="Arial" w:cs="Arial"/>
          <w:color w:val="0D0D0D"/>
          <w:sz w:val="24"/>
          <w:szCs w:val="24"/>
          <w:shd w:val="clear" w:color="auto" w:fill="FFFFFF"/>
        </w:rPr>
        <w:t>. Wiley.</w:t>
      </w:r>
    </w:p>
    <w:p w14:paraId="0B846AC6"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Armstrong, M. (2006). </w:t>
      </w:r>
      <w:r w:rsidRPr="00E90FF0">
        <w:rPr>
          <w:rFonts w:ascii="Arial" w:hAnsi="Arial" w:cs="Arial"/>
          <w:i/>
          <w:iCs/>
          <w:color w:val="0D0D0D"/>
          <w:sz w:val="24"/>
          <w:szCs w:val="24"/>
          <w:shd w:val="clear" w:color="auto" w:fill="FFFFFF"/>
        </w:rPr>
        <w:t>Performance Management: Key Strategies and Practical Guidelines</w:t>
      </w:r>
      <w:r w:rsidRPr="00E90FF0">
        <w:rPr>
          <w:rFonts w:ascii="Arial" w:hAnsi="Arial" w:cs="Arial"/>
          <w:color w:val="0D0D0D"/>
          <w:sz w:val="24"/>
          <w:szCs w:val="24"/>
          <w:shd w:val="clear" w:color="auto" w:fill="FFFFFF"/>
        </w:rPr>
        <w:t>. Kogan Page.</w:t>
      </w:r>
    </w:p>
    <w:p w14:paraId="7200F004"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Bakker, A. B., &amp; Demerouti, E. (2008). Towards a model of work engagement. </w:t>
      </w:r>
      <w:r w:rsidRPr="00E90FF0">
        <w:rPr>
          <w:rFonts w:ascii="Arial" w:hAnsi="Arial" w:cs="Arial"/>
          <w:i/>
          <w:iCs/>
          <w:color w:val="0D0D0D"/>
          <w:sz w:val="24"/>
          <w:szCs w:val="24"/>
          <w:shd w:val="clear" w:color="auto" w:fill="FFFFFF"/>
        </w:rPr>
        <w:t>Career Development International</w:t>
      </w:r>
      <w:r w:rsidRPr="00E90FF0">
        <w:rPr>
          <w:rFonts w:ascii="Arial" w:hAnsi="Arial" w:cs="Arial"/>
          <w:color w:val="0D0D0D"/>
          <w:sz w:val="24"/>
          <w:szCs w:val="24"/>
          <w:shd w:val="clear" w:color="auto" w:fill="FFFFFF"/>
        </w:rPr>
        <w:t>, 13(3), 209-223.</w:t>
      </w:r>
    </w:p>
    <w:p w14:paraId="2904AB3C"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Barney, J., &amp; Wright, P. (1998). On becoming a strategic partner: The role of human resources in gaining competitive advantage. </w:t>
      </w:r>
      <w:r w:rsidRPr="00E90FF0">
        <w:rPr>
          <w:rFonts w:ascii="Arial" w:hAnsi="Arial" w:cs="Arial"/>
          <w:i/>
          <w:iCs/>
          <w:color w:val="0D0D0D"/>
          <w:sz w:val="24"/>
          <w:szCs w:val="24"/>
          <w:shd w:val="clear" w:color="auto" w:fill="FFFFFF"/>
        </w:rPr>
        <w:t>Human Resource Management</w:t>
      </w:r>
      <w:r w:rsidRPr="00E90FF0">
        <w:rPr>
          <w:rFonts w:ascii="Arial" w:hAnsi="Arial" w:cs="Arial"/>
          <w:color w:val="0D0D0D"/>
          <w:sz w:val="24"/>
          <w:szCs w:val="24"/>
          <w:shd w:val="clear" w:color="auto" w:fill="FFFFFF"/>
        </w:rPr>
        <w:t>, 37(1), 31-46.</w:t>
      </w:r>
    </w:p>
    <w:p w14:paraId="3329F849"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Boxall, P., &amp; Purcell, J. (2011). </w:t>
      </w:r>
      <w:r w:rsidRPr="00E90FF0">
        <w:rPr>
          <w:rFonts w:ascii="Arial" w:hAnsi="Arial" w:cs="Arial"/>
          <w:i/>
          <w:iCs/>
          <w:color w:val="0D0D0D"/>
          <w:sz w:val="24"/>
          <w:szCs w:val="24"/>
          <w:shd w:val="clear" w:color="auto" w:fill="FFFFFF"/>
        </w:rPr>
        <w:t>Strategy and Human Resource Management</w:t>
      </w:r>
      <w:r w:rsidRPr="00E90FF0">
        <w:rPr>
          <w:rFonts w:ascii="Arial" w:hAnsi="Arial" w:cs="Arial"/>
          <w:color w:val="0D0D0D"/>
          <w:sz w:val="24"/>
          <w:szCs w:val="24"/>
          <w:shd w:val="clear" w:color="auto" w:fill="FFFFFF"/>
        </w:rPr>
        <w:t>. Palgrave Macmillan.</w:t>
      </w:r>
    </w:p>
    <w:p w14:paraId="6C26DA0A"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Collings, D. G., &amp; </w:t>
      </w:r>
      <w:proofErr w:type="spellStart"/>
      <w:r w:rsidRPr="00E90FF0">
        <w:rPr>
          <w:rFonts w:ascii="Arial" w:hAnsi="Arial" w:cs="Arial"/>
          <w:color w:val="0D0D0D"/>
          <w:sz w:val="24"/>
          <w:szCs w:val="24"/>
          <w:shd w:val="clear" w:color="auto" w:fill="FFFFFF"/>
        </w:rPr>
        <w:t>Mellahi</w:t>
      </w:r>
      <w:proofErr w:type="spellEnd"/>
      <w:r w:rsidRPr="00E90FF0">
        <w:rPr>
          <w:rFonts w:ascii="Arial" w:hAnsi="Arial" w:cs="Arial"/>
          <w:color w:val="0D0D0D"/>
          <w:sz w:val="24"/>
          <w:szCs w:val="24"/>
          <w:shd w:val="clear" w:color="auto" w:fill="FFFFFF"/>
        </w:rPr>
        <w:t xml:space="preserve">, K. (2009). Strategic talent management: A review and research agenda. </w:t>
      </w:r>
      <w:r w:rsidRPr="00E90FF0">
        <w:rPr>
          <w:rFonts w:ascii="Arial" w:hAnsi="Arial" w:cs="Arial"/>
          <w:i/>
          <w:iCs/>
          <w:color w:val="0D0D0D"/>
          <w:sz w:val="24"/>
          <w:szCs w:val="24"/>
          <w:shd w:val="clear" w:color="auto" w:fill="FFFFFF"/>
        </w:rPr>
        <w:t>Human Resource Management Review</w:t>
      </w:r>
      <w:r w:rsidRPr="00E90FF0">
        <w:rPr>
          <w:rFonts w:ascii="Arial" w:hAnsi="Arial" w:cs="Arial"/>
          <w:color w:val="0D0D0D"/>
          <w:sz w:val="24"/>
          <w:szCs w:val="24"/>
          <w:shd w:val="clear" w:color="auto" w:fill="FFFFFF"/>
        </w:rPr>
        <w:t>, 19(4), 304-313.</w:t>
      </w:r>
    </w:p>
    <w:p w14:paraId="2987A373"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Delery, J. E., &amp; Doty, D. H. (1996). Modes of theorizing in strategic human resource management: Tests of universalistic, contingency, and configurational performance predictions. </w:t>
      </w:r>
      <w:r w:rsidRPr="00E90FF0">
        <w:rPr>
          <w:rFonts w:ascii="Arial" w:hAnsi="Arial" w:cs="Arial"/>
          <w:i/>
          <w:iCs/>
          <w:color w:val="0D0D0D"/>
          <w:sz w:val="24"/>
          <w:szCs w:val="24"/>
          <w:shd w:val="clear" w:color="auto" w:fill="FFFFFF"/>
        </w:rPr>
        <w:t>Academy of Management Journal</w:t>
      </w:r>
      <w:r w:rsidRPr="00E90FF0">
        <w:rPr>
          <w:rFonts w:ascii="Arial" w:hAnsi="Arial" w:cs="Arial"/>
          <w:color w:val="0D0D0D"/>
          <w:sz w:val="24"/>
          <w:szCs w:val="24"/>
          <w:shd w:val="clear" w:color="auto" w:fill="FFFFFF"/>
        </w:rPr>
        <w:t>, 39(4), 802-835.</w:t>
      </w:r>
    </w:p>
    <w:p w14:paraId="53964952" w14:textId="77777777" w:rsidR="00E90FF0" w:rsidRPr="00E90FF0" w:rsidRDefault="00E90FF0" w:rsidP="00E90FF0">
      <w:pPr>
        <w:rPr>
          <w:rFonts w:ascii="Arial" w:hAnsi="Arial" w:cs="Arial"/>
          <w:color w:val="0D0D0D"/>
          <w:sz w:val="24"/>
          <w:szCs w:val="24"/>
          <w:shd w:val="clear" w:color="auto" w:fill="FFFFFF"/>
        </w:rPr>
      </w:pPr>
      <w:proofErr w:type="spellStart"/>
      <w:r w:rsidRPr="00E90FF0">
        <w:rPr>
          <w:rFonts w:ascii="Arial" w:hAnsi="Arial" w:cs="Arial"/>
          <w:color w:val="0D0D0D"/>
          <w:sz w:val="24"/>
          <w:szCs w:val="24"/>
          <w:shd w:val="clear" w:color="auto" w:fill="FFFFFF"/>
        </w:rPr>
        <w:t>Garavan</w:t>
      </w:r>
      <w:proofErr w:type="spellEnd"/>
      <w:r w:rsidRPr="00E90FF0">
        <w:rPr>
          <w:rFonts w:ascii="Arial" w:hAnsi="Arial" w:cs="Arial"/>
          <w:color w:val="0D0D0D"/>
          <w:sz w:val="24"/>
          <w:szCs w:val="24"/>
          <w:shd w:val="clear" w:color="auto" w:fill="FFFFFF"/>
        </w:rPr>
        <w:t xml:space="preserve">, T. N., Carbery, R., &amp; Rock, A. (2006). Mapping talent development: definition, scope and architecture. </w:t>
      </w:r>
      <w:r w:rsidRPr="00E90FF0">
        <w:rPr>
          <w:rFonts w:ascii="Arial" w:hAnsi="Arial" w:cs="Arial"/>
          <w:i/>
          <w:iCs/>
          <w:color w:val="0D0D0D"/>
          <w:sz w:val="24"/>
          <w:szCs w:val="24"/>
          <w:shd w:val="clear" w:color="auto" w:fill="FFFFFF"/>
        </w:rPr>
        <w:t>European Journal of Training and Development</w:t>
      </w:r>
      <w:r w:rsidRPr="00E90FF0">
        <w:rPr>
          <w:rFonts w:ascii="Arial" w:hAnsi="Arial" w:cs="Arial"/>
          <w:color w:val="0D0D0D"/>
          <w:sz w:val="24"/>
          <w:szCs w:val="24"/>
          <w:shd w:val="clear" w:color="auto" w:fill="FFFFFF"/>
        </w:rPr>
        <w:t>, 40(3), 230-252.</w:t>
      </w:r>
    </w:p>
    <w:p w14:paraId="4787A0C3" w14:textId="77777777" w:rsidR="00E90FF0" w:rsidRPr="00E90FF0" w:rsidRDefault="00E90FF0" w:rsidP="00E90FF0">
      <w:pPr>
        <w:rPr>
          <w:rFonts w:ascii="Arial" w:hAnsi="Arial" w:cs="Arial"/>
          <w:color w:val="0D0D0D"/>
          <w:sz w:val="24"/>
          <w:szCs w:val="24"/>
          <w:shd w:val="clear" w:color="auto" w:fill="FFFFFF"/>
        </w:rPr>
      </w:pPr>
      <w:proofErr w:type="spellStart"/>
      <w:r w:rsidRPr="00E90FF0">
        <w:rPr>
          <w:rFonts w:ascii="Arial" w:hAnsi="Arial" w:cs="Arial"/>
          <w:color w:val="0D0D0D"/>
          <w:sz w:val="24"/>
          <w:szCs w:val="24"/>
          <w:shd w:val="clear" w:color="auto" w:fill="FFFFFF"/>
        </w:rPr>
        <w:lastRenderedPageBreak/>
        <w:t>Huselid</w:t>
      </w:r>
      <w:proofErr w:type="spellEnd"/>
      <w:r w:rsidRPr="00E90FF0">
        <w:rPr>
          <w:rFonts w:ascii="Arial" w:hAnsi="Arial" w:cs="Arial"/>
          <w:color w:val="0D0D0D"/>
          <w:sz w:val="24"/>
          <w:szCs w:val="24"/>
          <w:shd w:val="clear" w:color="auto" w:fill="FFFFFF"/>
        </w:rPr>
        <w:t xml:space="preserve">, M. A. (1995). The impact of human resource management practices on turnover, productivity, and corporate financial performance. </w:t>
      </w:r>
      <w:r w:rsidRPr="00E90FF0">
        <w:rPr>
          <w:rFonts w:ascii="Arial" w:hAnsi="Arial" w:cs="Arial"/>
          <w:i/>
          <w:iCs/>
          <w:color w:val="0D0D0D"/>
          <w:sz w:val="24"/>
          <w:szCs w:val="24"/>
          <w:shd w:val="clear" w:color="auto" w:fill="FFFFFF"/>
        </w:rPr>
        <w:t>Academy of Management Journal</w:t>
      </w:r>
      <w:r w:rsidRPr="00E90FF0">
        <w:rPr>
          <w:rFonts w:ascii="Arial" w:hAnsi="Arial" w:cs="Arial"/>
          <w:color w:val="0D0D0D"/>
          <w:sz w:val="24"/>
          <w:szCs w:val="24"/>
          <w:shd w:val="clear" w:color="auto" w:fill="FFFFFF"/>
        </w:rPr>
        <w:t>, 38(3), 635-672.</w:t>
      </w:r>
    </w:p>
    <w:p w14:paraId="392F27BD"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Jackson, S. E., Schuler, R. S., &amp; Jiang, K. (2014). An aspirational framework for strategic human resource management. </w:t>
      </w:r>
      <w:r w:rsidRPr="00E90FF0">
        <w:rPr>
          <w:rFonts w:ascii="Arial" w:hAnsi="Arial" w:cs="Arial"/>
          <w:i/>
          <w:iCs/>
          <w:color w:val="0D0D0D"/>
          <w:sz w:val="24"/>
          <w:szCs w:val="24"/>
          <w:shd w:val="clear" w:color="auto" w:fill="FFFFFF"/>
        </w:rPr>
        <w:t>Academy of Management Annals</w:t>
      </w:r>
      <w:r w:rsidRPr="00E90FF0">
        <w:rPr>
          <w:rFonts w:ascii="Arial" w:hAnsi="Arial" w:cs="Arial"/>
          <w:color w:val="0D0D0D"/>
          <w:sz w:val="24"/>
          <w:szCs w:val="24"/>
          <w:shd w:val="clear" w:color="auto" w:fill="FFFFFF"/>
        </w:rPr>
        <w:t>, 8(1), 1-56.</w:t>
      </w:r>
    </w:p>
    <w:p w14:paraId="611461C3"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McDonnell, A., Lamare, R., </w:t>
      </w:r>
      <w:proofErr w:type="spellStart"/>
      <w:r w:rsidRPr="00E90FF0">
        <w:rPr>
          <w:rFonts w:ascii="Arial" w:hAnsi="Arial" w:cs="Arial"/>
          <w:color w:val="0D0D0D"/>
          <w:sz w:val="24"/>
          <w:szCs w:val="24"/>
          <w:shd w:val="clear" w:color="auto" w:fill="FFFFFF"/>
        </w:rPr>
        <w:t>Gunnigle</w:t>
      </w:r>
      <w:proofErr w:type="spellEnd"/>
      <w:r w:rsidRPr="00E90FF0">
        <w:rPr>
          <w:rFonts w:ascii="Arial" w:hAnsi="Arial" w:cs="Arial"/>
          <w:color w:val="0D0D0D"/>
          <w:sz w:val="24"/>
          <w:szCs w:val="24"/>
          <w:shd w:val="clear" w:color="auto" w:fill="FFFFFF"/>
        </w:rPr>
        <w:t xml:space="preserve">, P., &amp; Lavelle, J. (2010). Developing tomorrow's leaders—Evidence of global talent management in multinational enterprises. </w:t>
      </w:r>
      <w:r w:rsidRPr="00E90FF0">
        <w:rPr>
          <w:rFonts w:ascii="Arial" w:hAnsi="Arial" w:cs="Arial"/>
          <w:i/>
          <w:iCs/>
          <w:color w:val="0D0D0D"/>
          <w:sz w:val="24"/>
          <w:szCs w:val="24"/>
          <w:shd w:val="clear" w:color="auto" w:fill="FFFFFF"/>
        </w:rPr>
        <w:t>Journal of World Business</w:t>
      </w:r>
      <w:r w:rsidRPr="00E90FF0">
        <w:rPr>
          <w:rFonts w:ascii="Arial" w:hAnsi="Arial" w:cs="Arial"/>
          <w:color w:val="0D0D0D"/>
          <w:sz w:val="24"/>
          <w:szCs w:val="24"/>
          <w:shd w:val="clear" w:color="auto" w:fill="FFFFFF"/>
        </w:rPr>
        <w:t>, 45(2), 150-160.</w:t>
      </w:r>
    </w:p>
    <w:p w14:paraId="65F76974" w14:textId="77777777" w:rsidR="00E90FF0" w:rsidRPr="00E90FF0" w:rsidRDefault="00E90FF0" w:rsidP="00E90FF0">
      <w:pPr>
        <w:rPr>
          <w:rFonts w:ascii="Arial" w:hAnsi="Arial" w:cs="Arial"/>
          <w:color w:val="0D0D0D"/>
          <w:sz w:val="24"/>
          <w:szCs w:val="24"/>
          <w:shd w:val="clear" w:color="auto" w:fill="FFFFFF"/>
        </w:rPr>
      </w:pPr>
      <w:proofErr w:type="spellStart"/>
      <w:r w:rsidRPr="00E90FF0">
        <w:rPr>
          <w:rFonts w:ascii="Arial" w:hAnsi="Arial" w:cs="Arial"/>
          <w:color w:val="0D0D0D"/>
          <w:sz w:val="24"/>
          <w:szCs w:val="24"/>
          <w:shd w:val="clear" w:color="auto" w:fill="FFFFFF"/>
        </w:rPr>
        <w:t>Pulakos</w:t>
      </w:r>
      <w:proofErr w:type="spellEnd"/>
      <w:r w:rsidRPr="00E90FF0">
        <w:rPr>
          <w:rFonts w:ascii="Arial" w:hAnsi="Arial" w:cs="Arial"/>
          <w:color w:val="0D0D0D"/>
          <w:sz w:val="24"/>
          <w:szCs w:val="24"/>
          <w:shd w:val="clear" w:color="auto" w:fill="FFFFFF"/>
        </w:rPr>
        <w:t xml:space="preserve">, E. D., Hanson, R. M., Arad, S., &amp; Moye, N. (2015). Performance management can be fixed: An evidence-based approach. </w:t>
      </w:r>
      <w:r w:rsidRPr="00E90FF0">
        <w:rPr>
          <w:rFonts w:ascii="Arial" w:hAnsi="Arial" w:cs="Arial"/>
          <w:i/>
          <w:iCs/>
          <w:color w:val="0D0D0D"/>
          <w:sz w:val="24"/>
          <w:szCs w:val="24"/>
          <w:shd w:val="clear" w:color="auto" w:fill="FFFFFF"/>
        </w:rPr>
        <w:t>Industrial and Organizational Psychology</w:t>
      </w:r>
      <w:r w:rsidRPr="00E90FF0">
        <w:rPr>
          <w:rFonts w:ascii="Arial" w:hAnsi="Arial" w:cs="Arial"/>
          <w:color w:val="0D0D0D"/>
          <w:sz w:val="24"/>
          <w:szCs w:val="24"/>
          <w:shd w:val="clear" w:color="auto" w:fill="FFFFFF"/>
        </w:rPr>
        <w:t>, 8(1), 99-110.</w:t>
      </w:r>
    </w:p>
    <w:p w14:paraId="5F956B65"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Rothwell, W. J. (2010). </w:t>
      </w:r>
      <w:r w:rsidRPr="00E90FF0">
        <w:rPr>
          <w:rFonts w:ascii="Arial" w:hAnsi="Arial" w:cs="Arial"/>
          <w:i/>
          <w:iCs/>
          <w:color w:val="0D0D0D"/>
          <w:sz w:val="24"/>
          <w:szCs w:val="24"/>
          <w:shd w:val="clear" w:color="auto" w:fill="FFFFFF"/>
        </w:rPr>
        <w:t>Effective Succession Planning: Ensuring Leadership Continuity and Building Talent from Within</w:t>
      </w:r>
      <w:r w:rsidRPr="00E90FF0">
        <w:rPr>
          <w:rFonts w:ascii="Arial" w:hAnsi="Arial" w:cs="Arial"/>
          <w:color w:val="0D0D0D"/>
          <w:sz w:val="24"/>
          <w:szCs w:val="24"/>
          <w:shd w:val="clear" w:color="auto" w:fill="FFFFFF"/>
        </w:rPr>
        <w:t>. AMACOM.</w:t>
      </w:r>
    </w:p>
    <w:p w14:paraId="0245DCE2"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Snape, E., Redman, T., Bamber, G., &amp; Baird, M. (1994). Managing Employment Relations. </w:t>
      </w:r>
      <w:r w:rsidRPr="00E90FF0">
        <w:rPr>
          <w:rFonts w:ascii="Arial" w:hAnsi="Arial" w:cs="Arial"/>
          <w:i/>
          <w:iCs/>
          <w:color w:val="0D0D0D"/>
          <w:sz w:val="24"/>
          <w:szCs w:val="24"/>
          <w:shd w:val="clear" w:color="auto" w:fill="FFFFFF"/>
        </w:rPr>
        <w:t>Human Resource Management</w:t>
      </w:r>
      <w:r w:rsidRPr="00E90FF0">
        <w:rPr>
          <w:rFonts w:ascii="Arial" w:hAnsi="Arial" w:cs="Arial"/>
          <w:color w:val="0D0D0D"/>
          <w:sz w:val="24"/>
          <w:szCs w:val="24"/>
          <w:shd w:val="clear" w:color="auto" w:fill="FFFFFF"/>
        </w:rPr>
        <w:t>, 4(3), 29-49.</w:t>
      </w:r>
    </w:p>
    <w:p w14:paraId="4D377FC0"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Thomas, D. A. (1990). The impact of diversity on organisational behaviour. </w:t>
      </w:r>
      <w:r w:rsidRPr="00E90FF0">
        <w:rPr>
          <w:rFonts w:ascii="Arial" w:hAnsi="Arial" w:cs="Arial"/>
          <w:i/>
          <w:iCs/>
          <w:color w:val="0D0D0D"/>
          <w:sz w:val="24"/>
          <w:szCs w:val="24"/>
          <w:shd w:val="clear" w:color="auto" w:fill="FFFFFF"/>
        </w:rPr>
        <w:t>Academy of Management Review</w:t>
      </w:r>
      <w:r w:rsidRPr="00E90FF0">
        <w:rPr>
          <w:rFonts w:ascii="Arial" w:hAnsi="Arial" w:cs="Arial"/>
          <w:color w:val="0D0D0D"/>
          <w:sz w:val="24"/>
          <w:szCs w:val="24"/>
          <w:shd w:val="clear" w:color="auto" w:fill="FFFFFF"/>
        </w:rPr>
        <w:t>, 15(3), 487-515.</w:t>
      </w:r>
    </w:p>
    <w:p w14:paraId="652CC4B0"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Ulrich, D. (1997). </w:t>
      </w:r>
      <w:r w:rsidRPr="00E90FF0">
        <w:rPr>
          <w:rFonts w:ascii="Arial" w:hAnsi="Arial" w:cs="Arial"/>
          <w:i/>
          <w:iCs/>
          <w:color w:val="0D0D0D"/>
          <w:sz w:val="24"/>
          <w:szCs w:val="24"/>
          <w:shd w:val="clear" w:color="auto" w:fill="FFFFFF"/>
        </w:rPr>
        <w:t>Human Resource Champions: The Next Agenda for Adding Value and Delivering Results</w:t>
      </w:r>
      <w:r w:rsidRPr="00E90FF0">
        <w:rPr>
          <w:rFonts w:ascii="Arial" w:hAnsi="Arial" w:cs="Arial"/>
          <w:color w:val="0D0D0D"/>
          <w:sz w:val="24"/>
          <w:szCs w:val="24"/>
          <w:shd w:val="clear" w:color="auto" w:fill="FFFFFF"/>
        </w:rPr>
        <w:t>. Harvard Business School Press.</w:t>
      </w:r>
    </w:p>
    <w:p w14:paraId="01827FEA" w14:textId="77777777" w:rsidR="00E90FF0" w:rsidRPr="00E90FF0" w:rsidRDefault="00E90FF0" w:rsidP="00E90FF0">
      <w:pPr>
        <w:rPr>
          <w:rFonts w:ascii="Arial" w:hAnsi="Arial" w:cs="Arial"/>
          <w:color w:val="0D0D0D"/>
          <w:sz w:val="24"/>
          <w:szCs w:val="24"/>
          <w:shd w:val="clear" w:color="auto" w:fill="FFFFFF"/>
        </w:rPr>
      </w:pPr>
      <w:proofErr w:type="spellStart"/>
      <w:r w:rsidRPr="00E90FF0">
        <w:rPr>
          <w:rFonts w:ascii="Arial" w:hAnsi="Arial" w:cs="Arial"/>
          <w:color w:val="0D0D0D"/>
          <w:sz w:val="24"/>
          <w:szCs w:val="24"/>
          <w:shd w:val="clear" w:color="auto" w:fill="FFFFFF"/>
        </w:rPr>
        <w:t>Vaiman</w:t>
      </w:r>
      <w:proofErr w:type="spellEnd"/>
      <w:r w:rsidRPr="00E90FF0">
        <w:rPr>
          <w:rFonts w:ascii="Arial" w:hAnsi="Arial" w:cs="Arial"/>
          <w:color w:val="0D0D0D"/>
          <w:sz w:val="24"/>
          <w:szCs w:val="24"/>
          <w:shd w:val="clear" w:color="auto" w:fill="FFFFFF"/>
        </w:rPr>
        <w:t xml:space="preserve">, V., Scullion, H., &amp; Collings, D. (2012). Talent management decision making. </w:t>
      </w:r>
      <w:r w:rsidRPr="00E90FF0">
        <w:rPr>
          <w:rFonts w:ascii="Arial" w:hAnsi="Arial" w:cs="Arial"/>
          <w:i/>
          <w:iCs/>
          <w:color w:val="0D0D0D"/>
          <w:sz w:val="24"/>
          <w:szCs w:val="24"/>
          <w:shd w:val="clear" w:color="auto" w:fill="FFFFFF"/>
        </w:rPr>
        <w:t>International Journal of Human Resource Management</w:t>
      </w:r>
      <w:r w:rsidRPr="00E90FF0">
        <w:rPr>
          <w:rFonts w:ascii="Arial" w:hAnsi="Arial" w:cs="Arial"/>
          <w:color w:val="0D0D0D"/>
          <w:sz w:val="24"/>
          <w:szCs w:val="24"/>
          <w:shd w:val="clear" w:color="auto" w:fill="FFFFFF"/>
        </w:rPr>
        <w:t>, 23(12), 2431-2434.</w:t>
      </w:r>
    </w:p>
    <w:p w14:paraId="0671DDAC"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Woods, R. H., &amp; Schuster, C. P. (2006). Managing hospitality human resources. </w:t>
      </w:r>
      <w:r w:rsidRPr="00E90FF0">
        <w:rPr>
          <w:rFonts w:ascii="Arial" w:hAnsi="Arial" w:cs="Arial"/>
          <w:i/>
          <w:iCs/>
          <w:color w:val="0D0D0D"/>
          <w:sz w:val="24"/>
          <w:szCs w:val="24"/>
          <w:shd w:val="clear" w:color="auto" w:fill="FFFFFF"/>
        </w:rPr>
        <w:t>Educational Institute of the American Hotel &amp; Lodging Association</w:t>
      </w:r>
      <w:r w:rsidRPr="00E90FF0">
        <w:rPr>
          <w:rFonts w:ascii="Arial" w:hAnsi="Arial" w:cs="Arial"/>
          <w:color w:val="0D0D0D"/>
          <w:sz w:val="24"/>
          <w:szCs w:val="24"/>
          <w:shd w:val="clear" w:color="auto" w:fill="FFFFFF"/>
        </w:rPr>
        <w:t>.</w:t>
      </w:r>
    </w:p>
    <w:p w14:paraId="5951C2A9" w14:textId="77777777" w:rsidR="00E90FF0" w:rsidRPr="00E90FF0" w:rsidRDefault="00E90FF0" w:rsidP="00E90FF0">
      <w:pPr>
        <w:rPr>
          <w:rFonts w:ascii="Arial" w:hAnsi="Arial" w:cs="Arial"/>
          <w:color w:val="0D0D0D"/>
          <w:sz w:val="24"/>
          <w:szCs w:val="24"/>
          <w:shd w:val="clear" w:color="auto" w:fill="FFFFFF"/>
        </w:rPr>
      </w:pPr>
      <w:r w:rsidRPr="00E90FF0">
        <w:rPr>
          <w:rFonts w:ascii="Arial" w:hAnsi="Arial" w:cs="Arial"/>
          <w:color w:val="0D0D0D"/>
          <w:sz w:val="24"/>
          <w:szCs w:val="24"/>
          <w:shd w:val="clear" w:color="auto" w:fill="FFFFFF"/>
        </w:rPr>
        <w:t xml:space="preserve">Wright, P. M., &amp; Snell, S. A. (1998). Toward a unifying framework for exploring fit and flexibility in strategic human resource management. </w:t>
      </w:r>
      <w:r w:rsidRPr="00E90FF0">
        <w:rPr>
          <w:rFonts w:ascii="Arial" w:hAnsi="Arial" w:cs="Arial"/>
          <w:i/>
          <w:iCs/>
          <w:color w:val="0D0D0D"/>
          <w:sz w:val="24"/>
          <w:szCs w:val="24"/>
          <w:shd w:val="clear" w:color="auto" w:fill="FFFFFF"/>
        </w:rPr>
        <w:t>Academy of Management Review</w:t>
      </w:r>
      <w:r w:rsidRPr="00E90FF0">
        <w:rPr>
          <w:rFonts w:ascii="Arial" w:hAnsi="Arial" w:cs="Arial"/>
          <w:color w:val="0D0D0D"/>
          <w:sz w:val="24"/>
          <w:szCs w:val="24"/>
          <w:shd w:val="clear" w:color="auto" w:fill="FFFFFF"/>
        </w:rPr>
        <w:t>, 23(4), 756-772.</w:t>
      </w:r>
    </w:p>
    <w:p w14:paraId="0EFF83C2" w14:textId="77777777" w:rsidR="00C23EC1" w:rsidRDefault="00C23EC1" w:rsidP="002018A3">
      <w:pPr>
        <w:rPr>
          <w:rFonts w:ascii="Arial" w:hAnsi="Arial" w:cs="Arial"/>
          <w:color w:val="0D0D0D"/>
          <w:sz w:val="24"/>
          <w:szCs w:val="24"/>
          <w:shd w:val="clear" w:color="auto" w:fill="FFFFFF"/>
        </w:rPr>
      </w:pPr>
    </w:p>
    <w:p w14:paraId="05C0EC6C" w14:textId="77777777" w:rsidR="002018A3" w:rsidRDefault="002018A3" w:rsidP="002018A3">
      <w:pPr>
        <w:rPr>
          <w:rFonts w:ascii="Arial" w:hAnsi="Arial" w:cs="Arial"/>
          <w:color w:val="0D0D0D"/>
          <w:sz w:val="24"/>
          <w:szCs w:val="24"/>
          <w:shd w:val="clear" w:color="auto" w:fill="FFFFFF"/>
        </w:rPr>
      </w:pPr>
    </w:p>
    <w:p w14:paraId="6EAA01E6" w14:textId="77777777" w:rsidR="005A2F94" w:rsidRDefault="005A2F94" w:rsidP="002018A3">
      <w:pPr>
        <w:rPr>
          <w:rFonts w:ascii="Arial" w:hAnsi="Arial" w:cs="Arial"/>
          <w:color w:val="0D0D0D"/>
          <w:sz w:val="20"/>
          <w:szCs w:val="20"/>
          <w:shd w:val="clear" w:color="auto" w:fill="FFFFFF"/>
        </w:rPr>
      </w:pPr>
    </w:p>
    <w:p w14:paraId="5229DA7A" w14:textId="77777777" w:rsidR="002018A3" w:rsidRPr="002018A3" w:rsidRDefault="002018A3" w:rsidP="002018A3">
      <w:pPr>
        <w:rPr>
          <w:rFonts w:ascii="Arial" w:hAnsi="Arial" w:cs="Arial"/>
          <w:color w:val="0D0D0D"/>
          <w:sz w:val="20"/>
          <w:szCs w:val="20"/>
          <w:shd w:val="clear" w:color="auto" w:fill="FFFFFF"/>
        </w:rPr>
      </w:pPr>
    </w:p>
    <w:p w14:paraId="4819CC36" w14:textId="77777777" w:rsidR="002018A3" w:rsidRDefault="002018A3" w:rsidP="002018A3">
      <w:pPr>
        <w:rPr>
          <w:rFonts w:ascii="Arial" w:hAnsi="Arial" w:cs="Arial"/>
          <w:color w:val="0D0D0D"/>
          <w:sz w:val="24"/>
          <w:szCs w:val="24"/>
          <w:shd w:val="clear" w:color="auto" w:fill="FFFFFF"/>
        </w:rPr>
      </w:pPr>
    </w:p>
    <w:p w14:paraId="0F96B293" w14:textId="77777777" w:rsidR="00C23EC1" w:rsidRDefault="00C23EC1" w:rsidP="00C23EC1">
      <w:pPr>
        <w:jc w:val="center"/>
        <w:rPr>
          <w:rFonts w:ascii="Arial" w:hAnsi="Arial" w:cs="Arial"/>
          <w:color w:val="0D0D0D"/>
          <w:sz w:val="24"/>
          <w:szCs w:val="24"/>
          <w:shd w:val="clear" w:color="auto" w:fill="FFFFFF"/>
        </w:rPr>
      </w:pPr>
    </w:p>
    <w:p w14:paraId="233024D0" w14:textId="77777777" w:rsidR="00C23EC1" w:rsidRDefault="00C23EC1" w:rsidP="00C23EC1">
      <w:pPr>
        <w:rPr>
          <w:rFonts w:ascii="Arial" w:hAnsi="Arial" w:cs="Arial"/>
          <w:color w:val="0D0D0D"/>
          <w:sz w:val="24"/>
          <w:szCs w:val="24"/>
          <w:shd w:val="clear" w:color="auto" w:fill="FFFFFF"/>
        </w:rPr>
      </w:pPr>
    </w:p>
    <w:p w14:paraId="04505A1F" w14:textId="77777777" w:rsidR="00C23EC1" w:rsidRPr="00C23EC1" w:rsidRDefault="00C23EC1" w:rsidP="00C23EC1">
      <w:pPr>
        <w:rPr>
          <w:rFonts w:ascii="Arial" w:hAnsi="Arial" w:cs="Arial"/>
          <w:sz w:val="24"/>
          <w:szCs w:val="24"/>
        </w:rPr>
      </w:pPr>
    </w:p>
    <w:p w14:paraId="60CAA210" w14:textId="77777777" w:rsidR="00C23EC1" w:rsidRPr="00C23EC1" w:rsidRDefault="00C23EC1" w:rsidP="00C23EC1">
      <w:pPr>
        <w:rPr>
          <w:rFonts w:ascii="Arial" w:hAnsi="Arial" w:cs="Arial"/>
          <w:sz w:val="24"/>
          <w:szCs w:val="24"/>
          <w:lang w:val="en-US"/>
        </w:rPr>
      </w:pPr>
    </w:p>
    <w:sectPr w:rsidR="00C23EC1" w:rsidRPr="00C23EC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F53A0A"/>
    <w:multiLevelType w:val="hybridMultilevel"/>
    <w:tmpl w:val="D9FC579A"/>
    <w:lvl w:ilvl="0" w:tplc="5D60A32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FBE3A12"/>
    <w:multiLevelType w:val="hybridMultilevel"/>
    <w:tmpl w:val="7A0EF954"/>
    <w:lvl w:ilvl="0" w:tplc="174E7DE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8666080">
    <w:abstractNumId w:val="1"/>
  </w:num>
  <w:num w:numId="2" w16cid:durableId="1152143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23EC1"/>
    <w:rsid w:val="002018A3"/>
    <w:rsid w:val="005A2F94"/>
    <w:rsid w:val="00622BA6"/>
    <w:rsid w:val="007C6738"/>
    <w:rsid w:val="007E761B"/>
    <w:rsid w:val="00830AAF"/>
    <w:rsid w:val="00857C37"/>
    <w:rsid w:val="0087591C"/>
    <w:rsid w:val="008E6A62"/>
    <w:rsid w:val="00962BE4"/>
    <w:rsid w:val="0097150F"/>
    <w:rsid w:val="009A541E"/>
    <w:rsid w:val="00AE5A93"/>
    <w:rsid w:val="00B31168"/>
    <w:rsid w:val="00B37F31"/>
    <w:rsid w:val="00C23EC1"/>
    <w:rsid w:val="00C87893"/>
    <w:rsid w:val="00CB34A2"/>
    <w:rsid w:val="00D13ED9"/>
    <w:rsid w:val="00E31D81"/>
    <w:rsid w:val="00E90FF0"/>
    <w:rsid w:val="00ED1A63"/>
    <w:rsid w:val="00F75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04E015"/>
  <w15:docId w15:val="{52E5EB3A-889E-49AC-B851-EAB4051AA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278"/>
    <w:pPr>
      <w:ind w:left="720"/>
      <w:contextualSpacing/>
    </w:pPr>
  </w:style>
  <w:style w:type="character" w:styleId="Hyperlink">
    <w:name w:val="Hyperlink"/>
    <w:basedOn w:val="DefaultParagraphFont"/>
    <w:uiPriority w:val="99"/>
    <w:unhideWhenUsed/>
    <w:rsid w:val="002018A3"/>
    <w:rPr>
      <w:color w:val="0563C1" w:themeColor="hyperlink"/>
      <w:u w:val="single"/>
    </w:rPr>
  </w:style>
  <w:style w:type="character" w:styleId="UnresolvedMention">
    <w:name w:val="Unresolved Mention"/>
    <w:basedOn w:val="DefaultParagraphFont"/>
    <w:uiPriority w:val="99"/>
    <w:semiHidden/>
    <w:unhideWhenUsed/>
    <w:rsid w:val="00201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749953">
      <w:bodyDiv w:val="1"/>
      <w:marLeft w:val="0"/>
      <w:marRight w:val="0"/>
      <w:marTop w:val="0"/>
      <w:marBottom w:val="0"/>
      <w:divBdr>
        <w:top w:val="none" w:sz="0" w:space="0" w:color="auto"/>
        <w:left w:val="none" w:sz="0" w:space="0" w:color="auto"/>
        <w:bottom w:val="none" w:sz="0" w:space="0" w:color="auto"/>
        <w:right w:val="none" w:sz="0" w:space="0" w:color="auto"/>
      </w:divBdr>
    </w:div>
    <w:div w:id="204148533">
      <w:bodyDiv w:val="1"/>
      <w:marLeft w:val="0"/>
      <w:marRight w:val="0"/>
      <w:marTop w:val="0"/>
      <w:marBottom w:val="0"/>
      <w:divBdr>
        <w:top w:val="none" w:sz="0" w:space="0" w:color="auto"/>
        <w:left w:val="none" w:sz="0" w:space="0" w:color="auto"/>
        <w:bottom w:val="none" w:sz="0" w:space="0" w:color="auto"/>
        <w:right w:val="none" w:sz="0" w:space="0" w:color="auto"/>
      </w:divBdr>
    </w:div>
    <w:div w:id="1534879420">
      <w:bodyDiv w:val="1"/>
      <w:marLeft w:val="0"/>
      <w:marRight w:val="0"/>
      <w:marTop w:val="0"/>
      <w:marBottom w:val="0"/>
      <w:divBdr>
        <w:top w:val="none" w:sz="0" w:space="0" w:color="auto"/>
        <w:left w:val="none" w:sz="0" w:space="0" w:color="auto"/>
        <w:bottom w:val="none" w:sz="0" w:space="0" w:color="auto"/>
        <w:right w:val="none" w:sz="0" w:space="0" w:color="auto"/>
      </w:divBdr>
    </w:div>
    <w:div w:id="1733459786">
      <w:bodyDiv w:val="1"/>
      <w:marLeft w:val="0"/>
      <w:marRight w:val="0"/>
      <w:marTop w:val="0"/>
      <w:marBottom w:val="0"/>
      <w:divBdr>
        <w:top w:val="none" w:sz="0" w:space="0" w:color="auto"/>
        <w:left w:val="none" w:sz="0" w:space="0" w:color="auto"/>
        <w:bottom w:val="none" w:sz="0" w:space="0" w:color="auto"/>
        <w:right w:val="none" w:sz="0" w:space="0" w:color="auto"/>
      </w:divBdr>
    </w:div>
    <w:div w:id="2002077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1368</Words>
  <Characters>9091</Characters>
  <Application>Microsoft Office Word</Application>
  <DocSecurity>0</DocSecurity>
  <Lines>178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Buture</dc:creator>
  <cp:keywords/>
  <dc:description/>
  <cp:lastModifiedBy>Irina Buture</cp:lastModifiedBy>
  <cp:revision>6</cp:revision>
  <dcterms:created xsi:type="dcterms:W3CDTF">2024-05-07T08:00:00Z</dcterms:created>
  <dcterms:modified xsi:type="dcterms:W3CDTF">2024-11-07T12:10:00Z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7b1194e5-57d7-49f1-be19-b89591deaad3</vt:lpwstr>
  </property>
</Properties>
</file>