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1024F" w14:textId="6F18C739" w:rsidR="00421917" w:rsidRDefault="00421917" w:rsidP="008016A7">
      <w:pPr>
        <w:rPr>
          <w:b/>
          <w:bCs/>
          <w:i/>
          <w:iCs/>
          <w:u w:val="single"/>
        </w:rPr>
      </w:pPr>
    </w:p>
    <w:p w14:paraId="2818C498" w14:textId="77777777" w:rsidR="00393FF6" w:rsidRDefault="00393FF6" w:rsidP="00393FF6">
      <w:pPr>
        <w:jc w:val="center"/>
        <w:rPr>
          <w:b/>
          <w:bCs/>
          <w:i/>
          <w:iCs/>
          <w:u w:val="single"/>
        </w:rPr>
      </w:pPr>
    </w:p>
    <w:p w14:paraId="4031FBF3" w14:textId="77777777" w:rsidR="00393FF6" w:rsidRDefault="00393FF6" w:rsidP="00393FF6">
      <w:pPr>
        <w:jc w:val="center"/>
        <w:rPr>
          <w:b/>
          <w:bCs/>
          <w:i/>
          <w:iCs/>
          <w:u w:val="single"/>
        </w:rPr>
      </w:pPr>
    </w:p>
    <w:p w14:paraId="5F7C4D7B" w14:textId="77777777" w:rsidR="00393FF6" w:rsidRDefault="00393FF6" w:rsidP="00393FF6">
      <w:pPr>
        <w:jc w:val="center"/>
        <w:rPr>
          <w:b/>
          <w:bCs/>
          <w:i/>
          <w:iCs/>
          <w:u w:val="single"/>
        </w:rPr>
      </w:pPr>
    </w:p>
    <w:p w14:paraId="4E205B00" w14:textId="77777777" w:rsidR="00393FF6" w:rsidRDefault="00393FF6" w:rsidP="00393FF6">
      <w:pPr>
        <w:jc w:val="center"/>
        <w:rPr>
          <w:b/>
          <w:bCs/>
          <w:i/>
          <w:iCs/>
          <w:u w:val="single"/>
        </w:rPr>
      </w:pPr>
    </w:p>
    <w:p w14:paraId="795BF27A" w14:textId="77777777" w:rsidR="00393FF6" w:rsidRDefault="00393FF6" w:rsidP="00393FF6">
      <w:pPr>
        <w:jc w:val="center"/>
        <w:rPr>
          <w:b/>
          <w:bCs/>
          <w:i/>
          <w:iCs/>
          <w:u w:val="single"/>
        </w:rPr>
      </w:pPr>
    </w:p>
    <w:p w14:paraId="52FD90F1" w14:textId="77777777" w:rsidR="00393FF6" w:rsidRDefault="00393FF6" w:rsidP="00393FF6">
      <w:pPr>
        <w:jc w:val="center"/>
        <w:rPr>
          <w:b/>
          <w:bCs/>
          <w:i/>
          <w:iCs/>
          <w:u w:val="single"/>
        </w:rPr>
      </w:pPr>
    </w:p>
    <w:p w14:paraId="1068114D" w14:textId="77777777" w:rsidR="00393FF6" w:rsidRDefault="00393FF6" w:rsidP="00393FF6">
      <w:pPr>
        <w:jc w:val="center"/>
        <w:rPr>
          <w:b/>
          <w:bCs/>
          <w:i/>
          <w:iCs/>
          <w:u w:val="single"/>
        </w:rPr>
      </w:pPr>
    </w:p>
    <w:p w14:paraId="714AEECD" w14:textId="77777777" w:rsidR="00393FF6" w:rsidRDefault="00393FF6" w:rsidP="00393FF6">
      <w:pPr>
        <w:jc w:val="center"/>
        <w:rPr>
          <w:b/>
          <w:bCs/>
          <w:i/>
          <w:iCs/>
          <w:u w:val="single"/>
        </w:rPr>
      </w:pPr>
    </w:p>
    <w:p w14:paraId="4BBBB902" w14:textId="77777777" w:rsidR="00393FF6" w:rsidRDefault="00393FF6" w:rsidP="00393FF6">
      <w:pPr>
        <w:jc w:val="center"/>
        <w:rPr>
          <w:b/>
          <w:bCs/>
          <w:i/>
          <w:iCs/>
          <w:u w:val="single"/>
        </w:rPr>
      </w:pPr>
    </w:p>
    <w:p w14:paraId="7A9D17C8" w14:textId="77777777" w:rsidR="00393FF6" w:rsidRDefault="00393FF6" w:rsidP="00393FF6">
      <w:pPr>
        <w:jc w:val="center"/>
        <w:rPr>
          <w:b/>
          <w:bCs/>
          <w:i/>
          <w:iCs/>
          <w:u w:val="single"/>
        </w:rPr>
      </w:pPr>
    </w:p>
    <w:p w14:paraId="3FC15524" w14:textId="6592C5E2" w:rsidR="00393FF6" w:rsidRDefault="00393FF6" w:rsidP="00393FF6">
      <w:pPr>
        <w:jc w:val="center"/>
        <w:rPr>
          <w:b/>
          <w:bCs/>
          <w:i/>
          <w:iCs/>
          <w:u w:val="single"/>
        </w:rPr>
      </w:pPr>
      <w:r>
        <w:rPr>
          <w:b/>
          <w:bCs/>
          <w:i/>
          <w:iCs/>
          <w:u w:val="single"/>
        </w:rPr>
        <w:t xml:space="preserve">Name </w:t>
      </w:r>
      <w:r w:rsidR="00685167">
        <w:rPr>
          <w:b/>
          <w:bCs/>
          <w:i/>
          <w:iCs/>
          <w:u w:val="single"/>
        </w:rPr>
        <w:t xml:space="preserve"> </w:t>
      </w:r>
      <w:proofErr w:type="spellStart"/>
      <w:r w:rsidR="00685167">
        <w:rPr>
          <w:b/>
          <w:bCs/>
          <w:i/>
          <w:iCs/>
          <w:u w:val="single"/>
        </w:rPr>
        <w:t>Andreea-Iuliana</w:t>
      </w:r>
      <w:proofErr w:type="spellEnd"/>
      <w:r w:rsidR="00685167">
        <w:rPr>
          <w:b/>
          <w:bCs/>
          <w:i/>
          <w:iCs/>
          <w:u w:val="single"/>
        </w:rPr>
        <w:t xml:space="preserve"> </w:t>
      </w:r>
      <w:proofErr w:type="spellStart"/>
      <w:r w:rsidR="00685167">
        <w:rPr>
          <w:b/>
          <w:bCs/>
          <w:i/>
          <w:iCs/>
          <w:u w:val="single"/>
        </w:rPr>
        <w:t>Miron</w:t>
      </w:r>
      <w:proofErr w:type="spellEnd"/>
    </w:p>
    <w:p w14:paraId="5198B392" w14:textId="722E7C69" w:rsidR="00393FF6" w:rsidRDefault="00393FF6" w:rsidP="00393FF6">
      <w:pPr>
        <w:jc w:val="center"/>
        <w:rPr>
          <w:b/>
          <w:bCs/>
          <w:i/>
          <w:iCs/>
          <w:u w:val="single"/>
        </w:rPr>
      </w:pPr>
      <w:r>
        <w:rPr>
          <w:b/>
          <w:bCs/>
          <w:i/>
          <w:iCs/>
          <w:u w:val="single"/>
        </w:rPr>
        <w:t xml:space="preserve">ID </w:t>
      </w:r>
      <w:r w:rsidR="00685167">
        <w:rPr>
          <w:b/>
          <w:bCs/>
          <w:i/>
          <w:iCs/>
          <w:u w:val="single"/>
        </w:rPr>
        <w:t>2232376</w:t>
      </w:r>
    </w:p>
    <w:p w14:paraId="0B7743CE" w14:textId="7970EF27" w:rsidR="00393FF6" w:rsidRDefault="00393FF6">
      <w:pPr>
        <w:rPr>
          <w:b/>
          <w:bCs/>
          <w:i/>
          <w:iCs/>
          <w:u w:val="single"/>
        </w:rPr>
      </w:pPr>
      <w:r>
        <w:rPr>
          <w:b/>
          <w:bCs/>
          <w:i/>
          <w:iCs/>
          <w:u w:val="single"/>
        </w:rPr>
        <w:br w:type="page"/>
      </w:r>
    </w:p>
    <w:p w14:paraId="783C65D1" w14:textId="7B72439A" w:rsidR="00E429C1" w:rsidRPr="008016A7" w:rsidRDefault="005907DF" w:rsidP="00421917">
      <w:pPr>
        <w:pStyle w:val="Heading1"/>
        <w:rPr>
          <w:sz w:val="40"/>
          <w:szCs w:val="40"/>
        </w:rPr>
      </w:pPr>
      <w:r w:rsidRPr="008016A7">
        <w:rPr>
          <w:sz w:val="40"/>
          <w:szCs w:val="40"/>
        </w:rPr>
        <w:lastRenderedPageBreak/>
        <w:t>Introduction</w:t>
      </w:r>
    </w:p>
    <w:p w14:paraId="74800920" w14:textId="2B63A7BD"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Suppose a friend, Paula, steals Christine's expensive handbag and hides it under the car. Leon spikes Harriet's drink since she is allergic to alcohol and she is experiencing hallucinations, which causes her to destroy the venue's property and hurt another visitor. Before considering Paula and Harriet's probable liability for an offence, this study covers the offences on which they have been convicted, actus reus, men's rea or any of their defenses.</w:t>
      </w:r>
    </w:p>
    <w:p w14:paraId="4CF616EC" w14:textId="3191DA08" w:rsidR="006C5F7D" w:rsidRPr="0057017D" w:rsidRDefault="005907DF" w:rsidP="00421917">
      <w:pPr>
        <w:pStyle w:val="Heading1"/>
        <w:rPr>
          <w:sz w:val="40"/>
          <w:szCs w:val="40"/>
        </w:rPr>
      </w:pPr>
      <w:r w:rsidRPr="0057017D">
        <w:rPr>
          <w:sz w:val="40"/>
          <w:szCs w:val="40"/>
        </w:rPr>
        <w:t xml:space="preserve">Paula's Potential Criminal Liability and defense </w:t>
      </w:r>
    </w:p>
    <w:p w14:paraId="2712B36D" w14:textId="52E93DE0"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Whether the parties are criminally responsible for their theft activities, as well as if they have any defence available to them where appropriate, is one of the issues that arise under UK law in such situations. In Paula's case, theft is defined as the unlawful taking of another person's property for permanent deprivation according to s.1(1) of the Theft Act of 1968. This luxury purse is defined under Section 4 of the 1968 Stealing Act as property which Paula deliberately stole from Christine without her permission. Paula stole Christine's expensive wallet, and she could be charged with a crime. It is the theft act of 1968 that governs this crime. Paula's motives are dishonest because she</w:t>
      </w:r>
      <w:r w:rsidR="0093166B" w:rsidRPr="0057017D">
        <w:rPr>
          <w:rFonts w:ascii="Times New Roman" w:hAnsi="Times New Roman" w:cs="Times New Roman"/>
          <w:sz w:val="32"/>
          <w:szCs w:val="32"/>
        </w:rPr>
        <w:t xml:space="preserve"> did not </w:t>
      </w:r>
      <w:r w:rsidRPr="0057017D">
        <w:rPr>
          <w:rFonts w:ascii="Times New Roman" w:hAnsi="Times New Roman" w:cs="Times New Roman"/>
          <w:sz w:val="32"/>
          <w:szCs w:val="32"/>
        </w:rPr>
        <w:t>ask Jasper for help and</w:t>
      </w:r>
      <w:r w:rsidR="0093166B" w:rsidRPr="0057017D">
        <w:rPr>
          <w:rFonts w:ascii="Times New Roman" w:hAnsi="Times New Roman" w:cs="Times New Roman"/>
          <w:sz w:val="32"/>
          <w:szCs w:val="32"/>
        </w:rPr>
        <w:t xml:space="preserve"> did not </w:t>
      </w:r>
      <w:r w:rsidRPr="0057017D">
        <w:rPr>
          <w:rFonts w:ascii="Times New Roman" w:hAnsi="Times New Roman" w:cs="Times New Roman"/>
          <w:sz w:val="32"/>
          <w:szCs w:val="32"/>
        </w:rPr>
        <w:t>tell him she'd taken it. Paula, too, has no intention of paying him back</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(Wronka, 2022)</w:t>
      </w:r>
      <w:r w:rsidRPr="0057017D">
        <w:rPr>
          <w:rFonts w:ascii="Times New Roman" w:hAnsi="Times New Roman" w:cs="Times New Roman"/>
          <w:sz w:val="32"/>
          <w:szCs w:val="32"/>
        </w:rPr>
        <w:t>.</w:t>
      </w:r>
    </w:p>
    <w:p w14:paraId="11066ABF" w14:textId="3B02BE4F"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Paula has satisfied the Actus Reus criterion since she willingly took the hanger belonging to someone else, resulting in a banned outcome of stealing. Paula, on that occasion, was unlawfully taking Christine's purse and hiding it under her car. By hiding it to satisfy the actus reus criterion for theft, she demonstrated her authority and control over that object.</w:t>
      </w:r>
    </w:p>
    <w:p w14:paraId="38CC5325" w14:textId="1173E285"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The elements of the men's rea standard for theft are required to permanently destroy the property owner's property and dishonesty. The defendant must be considered dishonest if he knows that his activities are contrary to the law or morality. In the present case, Paula's action showed that she knew it was dishonest to steal Christine's purse and keep it for herself. It was clear to her that what she was doing was wrong at both a moral and legal level. Therefore, Paula has proven that deception is a prerequisite for stealing</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(Eboibi, 2021)</w:t>
      </w:r>
      <w:r w:rsidRPr="0057017D">
        <w:rPr>
          <w:rFonts w:ascii="Times New Roman" w:hAnsi="Times New Roman" w:cs="Times New Roman"/>
          <w:sz w:val="32"/>
          <w:szCs w:val="32"/>
        </w:rPr>
        <w:t>.</w:t>
      </w:r>
    </w:p>
    <w:p w14:paraId="2962EBC0" w14:textId="586FF9C0"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As evidenced by her behaviour, Paula seems to be intent on permanently stealing Christine's purse. The circumstances surrounding the crime, such as hiding the purse to retain it for oneself, might be used to infer the intention to permanently deprive. Paula's actions indicate she</w:t>
      </w:r>
      <w:r w:rsidR="0093166B" w:rsidRPr="0057017D">
        <w:rPr>
          <w:rFonts w:ascii="Times New Roman" w:hAnsi="Times New Roman" w:cs="Times New Roman"/>
          <w:sz w:val="32"/>
          <w:szCs w:val="32"/>
        </w:rPr>
        <w:t xml:space="preserve"> did not </w:t>
      </w:r>
      <w:r w:rsidRPr="0057017D">
        <w:rPr>
          <w:rFonts w:ascii="Times New Roman" w:hAnsi="Times New Roman" w:cs="Times New Roman"/>
          <w:sz w:val="32"/>
          <w:szCs w:val="32"/>
        </w:rPr>
        <w:t xml:space="preserve">intend to </w:t>
      </w:r>
      <w:r w:rsidRPr="0057017D">
        <w:rPr>
          <w:rFonts w:ascii="Times New Roman" w:hAnsi="Times New Roman" w:cs="Times New Roman"/>
          <w:sz w:val="32"/>
          <w:szCs w:val="32"/>
        </w:rPr>
        <w:lastRenderedPageBreak/>
        <w:t>give Christine back her purse. Thus she conforms with the men's rea requirement for theft, which has the purpose of permanent confiscation</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(Lockwood and Nath, 2020)</w:t>
      </w:r>
      <w:r w:rsidRPr="0057017D">
        <w:rPr>
          <w:rFonts w:ascii="Times New Roman" w:hAnsi="Times New Roman" w:cs="Times New Roman"/>
          <w:sz w:val="32"/>
          <w:szCs w:val="32"/>
        </w:rPr>
        <w:t>.</w:t>
      </w:r>
    </w:p>
    <w:p w14:paraId="05BD3CF3" w14:textId="506E2FDF"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The criteria focus reus and men's rea are set out in the Theft Act 1968, section 2, together with the definition of theft. According to Section 2(1), stealing occurs when one person is dishonestly taking property from the other to rob them of it permanently.</w:t>
      </w:r>
    </w:p>
    <w:p w14:paraId="6A300D85" w14:textId="4CAC502C"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The claim of right defence enables a defendant to contend that they had a sincere belief that they were legally entitled to the items they took, negating the dishonesty requirement of the men's rea for stealing. For the defence to be relied on, however, the defendant's views must be sincere and reasonable</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(Button, 2020)</w:t>
      </w:r>
      <w:r w:rsidRPr="0057017D">
        <w:rPr>
          <w:rFonts w:ascii="Times New Roman" w:hAnsi="Times New Roman" w:cs="Times New Roman"/>
          <w:sz w:val="32"/>
          <w:szCs w:val="32"/>
        </w:rPr>
        <w:t>.</w:t>
      </w:r>
    </w:p>
    <w:p w14:paraId="137A20BC" w14:textId="01506F65" w:rsidR="00EF0579"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Case law defines the requirements to be met to claim a right of defence. One of the relevant cases is Ghosh, 1982: QB 1053. The court in this decision emphasised the importance of both the objective element of reasonable belief and the subjective element of honest belief in respect of the claim of right defence.</w:t>
      </w:r>
    </w:p>
    <w:p w14:paraId="6417B441" w14:textId="27C2CF8E"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In Paula's situation, she</w:t>
      </w:r>
      <w:r w:rsidR="0093166B" w:rsidRPr="0057017D">
        <w:rPr>
          <w:rFonts w:ascii="Times New Roman" w:hAnsi="Times New Roman" w:cs="Times New Roman"/>
          <w:sz w:val="32"/>
          <w:szCs w:val="32"/>
        </w:rPr>
        <w:t xml:space="preserve"> wi</w:t>
      </w:r>
      <w:r w:rsidRPr="0057017D">
        <w:rPr>
          <w:rFonts w:ascii="Times New Roman" w:hAnsi="Times New Roman" w:cs="Times New Roman"/>
          <w:sz w:val="32"/>
          <w:szCs w:val="32"/>
        </w:rPr>
        <w:t>ll have to show in court that she has a legal entitlement to Christine's purse. There is no indication or evidence that Paula has any legal claim in respect of the purse, based on the information provided. She is unlikely to be able to maintain her right of defence since she does not have a strong foundation on which to base her convictions</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(Narkowicz, 2023)</w:t>
      </w:r>
      <w:r w:rsidRPr="0057017D">
        <w:rPr>
          <w:rFonts w:ascii="Times New Roman" w:hAnsi="Times New Roman" w:cs="Times New Roman"/>
          <w:sz w:val="32"/>
          <w:szCs w:val="32"/>
        </w:rPr>
        <w:t>.</w:t>
      </w:r>
    </w:p>
    <w:p w14:paraId="7C721195" w14:textId="3E779680"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 xml:space="preserve">In addition, an account should also be taken of the judgment in Ivey v Genting Casinos United Kingdom Limited 2017 UKSC 67. The Supreme Court held that to ascertain whether a defendant's conduct is likely to be perceived as being unfair by a reasonable and honest person, it was appropriate to use objectively relevant criteria. This decision highlights the claim of the right defence's objective component and emphasises the necessity of a </w:t>
      </w:r>
      <w:r w:rsidR="00EF0579" w:rsidRPr="0057017D">
        <w:rPr>
          <w:rFonts w:ascii="Times New Roman" w:hAnsi="Times New Roman" w:cs="Times New Roman"/>
          <w:sz w:val="32"/>
          <w:szCs w:val="32"/>
        </w:rPr>
        <w:t>sensible</w:t>
      </w:r>
      <w:r w:rsidRPr="0057017D">
        <w:rPr>
          <w:rFonts w:ascii="Times New Roman" w:hAnsi="Times New Roman" w:cs="Times New Roman"/>
          <w:sz w:val="32"/>
          <w:szCs w:val="32"/>
        </w:rPr>
        <w:t xml:space="preserve"> </w:t>
      </w:r>
      <w:r w:rsidR="00EF0579" w:rsidRPr="0057017D">
        <w:rPr>
          <w:rFonts w:ascii="Times New Roman" w:hAnsi="Times New Roman" w:cs="Times New Roman"/>
          <w:sz w:val="32"/>
          <w:szCs w:val="32"/>
        </w:rPr>
        <w:t>certainty</w:t>
      </w:r>
      <w:r w:rsidRPr="0057017D">
        <w:rPr>
          <w:rFonts w:ascii="Times New Roman" w:hAnsi="Times New Roman" w:cs="Times New Roman"/>
          <w:sz w:val="32"/>
          <w:szCs w:val="32"/>
        </w:rPr>
        <w:t xml:space="preserve"> in a legal </w:t>
      </w:r>
      <w:r w:rsidR="00EF0579" w:rsidRPr="0057017D">
        <w:rPr>
          <w:rFonts w:ascii="Times New Roman" w:hAnsi="Times New Roman" w:cs="Times New Roman"/>
          <w:sz w:val="32"/>
          <w:szCs w:val="32"/>
        </w:rPr>
        <w:t>right</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 xml:space="preserve">(Rougeaux </w:t>
      </w:r>
      <w:r w:rsidR="00F14493" w:rsidRPr="0057017D">
        <w:rPr>
          <w:rFonts w:ascii="Times New Roman" w:hAnsi="Times New Roman" w:cs="Times New Roman"/>
          <w:i/>
          <w:iCs/>
          <w:color w:val="222222"/>
          <w:sz w:val="32"/>
          <w:szCs w:val="32"/>
          <w:shd w:val="clear" w:color="auto" w:fill="FFFFFF"/>
        </w:rPr>
        <w:t>et al.,</w:t>
      </w:r>
      <w:r w:rsidR="00F14493" w:rsidRPr="0057017D">
        <w:rPr>
          <w:rFonts w:ascii="Times New Roman" w:hAnsi="Times New Roman" w:cs="Times New Roman"/>
          <w:color w:val="222222"/>
          <w:sz w:val="32"/>
          <w:szCs w:val="32"/>
          <w:shd w:val="clear" w:color="auto" w:fill="FFFFFF"/>
        </w:rPr>
        <w:t xml:space="preserve"> 2020)</w:t>
      </w:r>
      <w:r w:rsidRPr="0057017D">
        <w:rPr>
          <w:rFonts w:ascii="Times New Roman" w:hAnsi="Times New Roman" w:cs="Times New Roman"/>
          <w:sz w:val="32"/>
          <w:szCs w:val="32"/>
        </w:rPr>
        <w:t>.</w:t>
      </w:r>
    </w:p>
    <w:p w14:paraId="79895D8B" w14:textId="5B931B0F"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The case of Morris, 1983 is relevant to consider the purpose of permanent derogation. The Court found, however, that the action was capable of being seen as an expression of a desire for permanent revocation even if the defendant intended to restore the property in due course. Following the guidelines established in Morris, Paula's act of stealing the purse without permission and concealing it with the purpose to retain it for herself satisfies the mens rea criterion for larceny.</w:t>
      </w:r>
    </w:p>
    <w:p w14:paraId="3581F062" w14:textId="53566699" w:rsidR="006C5F7D" w:rsidRPr="0057017D" w:rsidRDefault="005907DF" w:rsidP="00421917">
      <w:pPr>
        <w:spacing w:line="360" w:lineRule="auto"/>
        <w:jc w:val="both"/>
        <w:rPr>
          <w:rFonts w:ascii="Times New Roman" w:hAnsi="Times New Roman" w:cs="Times New Roman"/>
          <w:sz w:val="32"/>
          <w:szCs w:val="32"/>
        </w:rPr>
      </w:pPr>
      <w:r w:rsidRPr="0057017D">
        <w:rPr>
          <w:rFonts w:ascii="Times New Roman" w:hAnsi="Times New Roman" w:cs="Times New Roman"/>
          <w:sz w:val="32"/>
          <w:szCs w:val="32"/>
        </w:rPr>
        <w:t xml:space="preserve">Paula's actions seem to comply with the standards of actus reus and menes rea for stealing, based on the information submitted, and the claim of rights does not appear to have been an adequate </w:t>
      </w:r>
      <w:r w:rsidRPr="0057017D">
        <w:rPr>
          <w:rFonts w:ascii="Times New Roman" w:hAnsi="Times New Roman" w:cs="Times New Roman"/>
          <w:sz w:val="32"/>
          <w:szCs w:val="32"/>
        </w:rPr>
        <w:lastRenderedPageBreak/>
        <w:t>defence in this case. Thus, Paula is liable for theft in law</w:t>
      </w:r>
      <w:r w:rsidR="00F14493" w:rsidRPr="0057017D">
        <w:rPr>
          <w:rFonts w:ascii="Times New Roman" w:hAnsi="Times New Roman" w:cs="Times New Roman"/>
          <w:sz w:val="32"/>
          <w:szCs w:val="32"/>
        </w:rPr>
        <w:t xml:space="preserve"> </w:t>
      </w:r>
      <w:r w:rsidR="00F14493" w:rsidRPr="0057017D">
        <w:rPr>
          <w:rFonts w:ascii="Times New Roman" w:hAnsi="Times New Roman" w:cs="Times New Roman"/>
          <w:color w:val="222222"/>
          <w:sz w:val="32"/>
          <w:szCs w:val="32"/>
          <w:shd w:val="clear" w:color="auto" w:fill="FFFFFF"/>
        </w:rPr>
        <w:t>(Middleton, Antonopoulos and Papanicolaou, 2019)</w:t>
      </w:r>
      <w:r w:rsidRPr="0057017D">
        <w:rPr>
          <w:rFonts w:ascii="Times New Roman" w:hAnsi="Times New Roman" w:cs="Times New Roman"/>
          <w:sz w:val="32"/>
          <w:szCs w:val="32"/>
        </w:rPr>
        <w:t>.</w:t>
      </w:r>
    </w:p>
    <w:p w14:paraId="208222A3" w14:textId="45C0543F" w:rsidR="00D90042" w:rsidRPr="0057017D" w:rsidRDefault="005907DF" w:rsidP="00421917">
      <w:pPr>
        <w:pStyle w:val="Heading1"/>
        <w:rPr>
          <w:sz w:val="40"/>
          <w:szCs w:val="40"/>
        </w:rPr>
      </w:pPr>
      <w:r w:rsidRPr="0057017D">
        <w:rPr>
          <w:sz w:val="40"/>
          <w:szCs w:val="40"/>
        </w:rPr>
        <w:t xml:space="preserve">Harriet's Potential Criminal Liability and </w:t>
      </w:r>
      <w:proofErr w:type="spellStart"/>
      <w:r w:rsidRPr="0057017D">
        <w:rPr>
          <w:sz w:val="40"/>
          <w:szCs w:val="40"/>
        </w:rPr>
        <w:t>Defence</w:t>
      </w:r>
      <w:proofErr w:type="spellEnd"/>
      <w:r w:rsidRPr="0057017D">
        <w:rPr>
          <w:sz w:val="40"/>
          <w:szCs w:val="40"/>
        </w:rPr>
        <w:t xml:space="preserve"> </w:t>
      </w:r>
    </w:p>
    <w:p w14:paraId="19556877" w14:textId="304D0884"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Harriet could be charged with a crime for causing harm to Daniel and property damage. Assaults and criminal trespass are included in the related offences. Harriet breaks the windows in Christine's kitchen because of her hallucination and thinks it</w:t>
      </w:r>
      <w:r w:rsidR="00EF0579" w:rsidRPr="002570B1">
        <w:rPr>
          <w:rFonts w:ascii="Times New Roman" w:hAnsi="Times New Roman" w:cs="Times New Roman"/>
          <w:sz w:val="32"/>
          <w:szCs w:val="32"/>
        </w:rPr>
        <w:t xml:space="preserve"> i</w:t>
      </w:r>
      <w:r w:rsidRPr="002570B1">
        <w:rPr>
          <w:rFonts w:ascii="Times New Roman" w:hAnsi="Times New Roman" w:cs="Times New Roman"/>
          <w:sz w:val="32"/>
          <w:szCs w:val="32"/>
        </w:rPr>
        <w:t>s a fire</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Martinich and Crimmins, 2019)</w:t>
      </w:r>
      <w:r w:rsidRPr="002570B1">
        <w:rPr>
          <w:rFonts w:ascii="Times New Roman" w:hAnsi="Times New Roman" w:cs="Times New Roman"/>
          <w:sz w:val="32"/>
          <w:szCs w:val="32"/>
        </w:rPr>
        <w:t xml:space="preserve">. </w:t>
      </w:r>
    </w:p>
    <w:p w14:paraId="0747EA77" w14:textId="1821C74E"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Criminal damage is, by definition, the intentional or negligent destruction of another's property. In one instance, Harriet's hallucinations caused her to assume that the home was on fire. That was why she deliberately shattered the glass in Christine's kitchen, which inflicted damage to her house</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 xml:space="preserve">Aldy </w:t>
      </w:r>
      <w:r w:rsidR="00F14493" w:rsidRPr="002570B1">
        <w:rPr>
          <w:rFonts w:ascii="Times New Roman" w:hAnsi="Times New Roman" w:cs="Times New Roman"/>
          <w:i/>
          <w:iCs/>
          <w:color w:val="222222"/>
          <w:sz w:val="32"/>
          <w:szCs w:val="32"/>
          <w:shd w:val="clear" w:color="auto" w:fill="FFFFFF"/>
        </w:rPr>
        <w:t>et al.,</w:t>
      </w:r>
      <w:r w:rsidR="00F14493" w:rsidRPr="002570B1">
        <w:rPr>
          <w:rFonts w:ascii="Times New Roman" w:hAnsi="Times New Roman" w:cs="Times New Roman"/>
          <w:color w:val="222222"/>
          <w:sz w:val="32"/>
          <w:szCs w:val="32"/>
          <w:shd w:val="clear" w:color="auto" w:fill="FFFFFF"/>
        </w:rPr>
        <w:t xml:space="preserve"> 2021)</w:t>
      </w:r>
      <w:r w:rsidRPr="002570B1">
        <w:rPr>
          <w:rFonts w:ascii="Times New Roman" w:hAnsi="Times New Roman" w:cs="Times New Roman"/>
          <w:sz w:val="32"/>
          <w:szCs w:val="32"/>
        </w:rPr>
        <w:t>.</w:t>
      </w:r>
    </w:p>
    <w:p w14:paraId="6ACA375C" w14:textId="1979B3D7"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The Fiak case (2005 case) has a bearing on the actus reus of criminal harm. The defendant, in this case, was accused of causing criminal damage after he allegedly destroyed things in a hotel room while having a hallucinogenic episode. According to the court, the defendant deliberately damaged the property to satisfy the actus reus of criminal damage</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Palombo, 2019)</w:t>
      </w:r>
      <w:r w:rsidRPr="002570B1">
        <w:rPr>
          <w:rFonts w:ascii="Times New Roman" w:hAnsi="Times New Roman" w:cs="Times New Roman"/>
          <w:sz w:val="32"/>
          <w:szCs w:val="32"/>
        </w:rPr>
        <w:t>.</w:t>
      </w:r>
    </w:p>
    <w:p w14:paraId="0C21BCE4" w14:textId="1119C325"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The men's rea criterion for unlawful damage may be met where the defendant is intent on damaging the property or has an unreasonable concern about whether it will happen. In this case, Harriet's hallucinations caused her to sincerely believe that the home was on fire. It is clear from her behaviour that she intended to break the glass windows, even though her claim was unfounded.</w:t>
      </w:r>
    </w:p>
    <w:p w14:paraId="16F05621" w14:textId="5A9BA594"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Regarding the men's rea for criminal damage, the Hardman v. Chief Constable of Avon and Somerset case from 1986 offers pertinent insight. In this instance, the defendant was accused of causing criminal damage after lighting a fire in a hotel room while having a diabetic hallucination. The court found that the defendant's conduct, even though he was unable to understand their nature or character because of his physical condition, constituted a purpose and satisfied the requirement for man rea</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Varvastian and Kalunga, 2020)</w:t>
      </w:r>
      <w:r w:rsidRPr="002570B1">
        <w:rPr>
          <w:rFonts w:ascii="Times New Roman" w:hAnsi="Times New Roman" w:cs="Times New Roman"/>
          <w:sz w:val="32"/>
          <w:szCs w:val="32"/>
        </w:rPr>
        <w:t>.</w:t>
      </w:r>
    </w:p>
    <w:p w14:paraId="3C8384D7" w14:textId="3A7FC15F"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It follows that, based on the information provided, Harriet's conduct is under the actus reus and menses rea standard for criminal damage. She damaged Christine's property by purposefully smashing the kitchen's glass panes; this action may be deduced from her conviction that the home was on fire.</w:t>
      </w:r>
    </w:p>
    <w:p w14:paraId="522A30E1" w14:textId="44AD08EE"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lastRenderedPageBreak/>
        <w:t>Depending on the details and supporting proof, Harriet can use automatism or involuntary drunkenness as a defence. These reasons suggest that due to unforeseen external circumstances, Harriet had no means of controlling her behaviour</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Healy, 2020)</w:t>
      </w:r>
      <w:r w:rsidRPr="002570B1">
        <w:rPr>
          <w:rFonts w:ascii="Times New Roman" w:hAnsi="Times New Roman" w:cs="Times New Roman"/>
          <w:sz w:val="32"/>
          <w:szCs w:val="32"/>
        </w:rPr>
        <w:t>.</w:t>
      </w:r>
    </w:p>
    <w:p w14:paraId="5820F769" w14:textId="64824F8C"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Automatism is a state of involuntary behaviour in which a person is not aware of their actions. On the other side, involuntary intoxication happens when a person's behaviour is affected by chemicals without their awareness or consent. Either defence can disprove the essential elements of a criminal offence.</w:t>
      </w:r>
    </w:p>
    <w:p w14:paraId="594A7C78" w14:textId="015F31F4"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Hardman v. Chief Constable of Avon and Somerset (1986): In Hardman v. Chief Constable of Avon and Somerset (1986), the defence of automatism or involuntary drunkenness is applicable. In this instance, the defendant was accused of causing criminal damage after lighting a fire in a hotel room while having a diabetic hallucination. It was held that, where an individual acts involuntarily as a result of external forces beyond his control, such as automatization or involuntary drunkenness, he is not liable for criminal liability</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Richter and Wilson, 2020)</w:t>
      </w:r>
      <w:r w:rsidRPr="002570B1">
        <w:rPr>
          <w:rFonts w:ascii="Times New Roman" w:hAnsi="Times New Roman" w:cs="Times New Roman"/>
          <w:sz w:val="32"/>
          <w:szCs w:val="32"/>
        </w:rPr>
        <w:t>.</w:t>
      </w:r>
    </w:p>
    <w:p w14:paraId="76425565" w14:textId="27FF0130"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To be able to consider whether automatism or involuntary intoxication defence has been successful, it is necessary to remember that specific circumstances, the evidence submitted and the relevant jurisdiction all play a role. To prove that they have not influenced their conduct as a result of those factors, the offender must present sufficient evidence</w:t>
      </w:r>
      <w:r w:rsidR="00F14493" w:rsidRPr="002570B1">
        <w:rPr>
          <w:rFonts w:ascii="Times New Roman" w:hAnsi="Times New Roman" w:cs="Times New Roman"/>
          <w:sz w:val="32"/>
          <w:szCs w:val="32"/>
        </w:rPr>
        <w:t xml:space="preserve"> (</w:t>
      </w:r>
      <w:r w:rsidR="00F14493" w:rsidRPr="002570B1">
        <w:rPr>
          <w:rFonts w:ascii="Times New Roman" w:hAnsi="Times New Roman" w:cs="Times New Roman"/>
          <w:color w:val="222222"/>
          <w:sz w:val="32"/>
          <w:szCs w:val="32"/>
          <w:shd w:val="clear" w:color="auto" w:fill="FFFFFF"/>
        </w:rPr>
        <w:t>Halson and Liu, 2019)</w:t>
      </w:r>
      <w:r w:rsidRPr="002570B1">
        <w:rPr>
          <w:rFonts w:ascii="Times New Roman" w:hAnsi="Times New Roman" w:cs="Times New Roman"/>
          <w:sz w:val="32"/>
          <w:szCs w:val="32"/>
        </w:rPr>
        <w:t>.</w:t>
      </w:r>
    </w:p>
    <w:p w14:paraId="6016E126" w14:textId="60CE1104" w:rsidR="003B017D" w:rsidRPr="002570B1" w:rsidRDefault="005907DF" w:rsidP="00421917">
      <w:pPr>
        <w:pStyle w:val="Heading1"/>
        <w:rPr>
          <w:sz w:val="40"/>
          <w:szCs w:val="40"/>
        </w:rPr>
      </w:pPr>
      <w:r w:rsidRPr="002570B1">
        <w:rPr>
          <w:sz w:val="40"/>
          <w:szCs w:val="40"/>
        </w:rPr>
        <w:t xml:space="preserve">Conclusion </w:t>
      </w:r>
    </w:p>
    <w:p w14:paraId="49B38A07" w14:textId="1A4636F3"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Paula's actions fit into the standard of actus reus and mense rea as regards theft based on the information provided. She committed a theft offence by removing Christine's purse without her consent, concealing it, and attempting to permanently rob Christine of it. Therefore, Paula could be liable for theft under the law.</w:t>
      </w:r>
    </w:p>
    <w:p w14:paraId="12B6B65D" w14:textId="0071ABB3" w:rsidR="00E80C33" w:rsidRPr="002570B1" w:rsidRDefault="005907DF" w:rsidP="00421917">
      <w:pPr>
        <w:spacing w:line="360" w:lineRule="auto"/>
        <w:jc w:val="both"/>
        <w:rPr>
          <w:rFonts w:ascii="Times New Roman" w:hAnsi="Times New Roman" w:cs="Times New Roman"/>
          <w:sz w:val="32"/>
          <w:szCs w:val="32"/>
        </w:rPr>
      </w:pPr>
      <w:r w:rsidRPr="002570B1">
        <w:rPr>
          <w:rFonts w:ascii="Times New Roman" w:hAnsi="Times New Roman" w:cs="Times New Roman"/>
          <w:sz w:val="32"/>
          <w:szCs w:val="32"/>
        </w:rPr>
        <w:t>Based on the information provided, Harriet's actions are under the men's rea and actus reus standards of assault. She can, however, claim automatism or involuntary intoxication to refute that she lacked control over her conduct because of the hallucinations brought on by the laced beverage. The effectiveness of these defence measures would be determined by the facts and supporting evidence.</w:t>
      </w:r>
    </w:p>
    <w:p w14:paraId="67CFCF92" w14:textId="62275C1E" w:rsidR="005907DF" w:rsidRPr="002570B1" w:rsidRDefault="005907DF" w:rsidP="00393FF6">
      <w:pPr>
        <w:pStyle w:val="Heading1"/>
        <w:rPr>
          <w:sz w:val="40"/>
          <w:szCs w:val="40"/>
        </w:rPr>
      </w:pPr>
      <w:r w:rsidRPr="002570B1">
        <w:rPr>
          <w:sz w:val="40"/>
          <w:szCs w:val="40"/>
        </w:rPr>
        <w:t>References</w:t>
      </w:r>
    </w:p>
    <w:p w14:paraId="6C7C274C"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Aldy</w:t>
      </w:r>
      <w:proofErr w:type="spellEnd"/>
      <w:r w:rsidRPr="002570B1">
        <w:rPr>
          <w:rFonts w:ascii="Times New Roman" w:hAnsi="Times New Roman" w:cs="Times New Roman"/>
          <w:color w:val="222222"/>
          <w:sz w:val="28"/>
          <w:szCs w:val="28"/>
          <w:shd w:val="clear" w:color="auto" w:fill="FFFFFF"/>
        </w:rPr>
        <w:t xml:space="preserve">, J.E., </w:t>
      </w:r>
      <w:proofErr w:type="spellStart"/>
      <w:r w:rsidRPr="002570B1">
        <w:rPr>
          <w:rFonts w:ascii="Times New Roman" w:hAnsi="Times New Roman" w:cs="Times New Roman"/>
          <w:color w:val="222222"/>
          <w:sz w:val="28"/>
          <w:szCs w:val="28"/>
          <w:shd w:val="clear" w:color="auto" w:fill="FFFFFF"/>
        </w:rPr>
        <w:t>Kotchen</w:t>
      </w:r>
      <w:proofErr w:type="spellEnd"/>
      <w:r w:rsidRPr="002570B1">
        <w:rPr>
          <w:rFonts w:ascii="Times New Roman" w:hAnsi="Times New Roman" w:cs="Times New Roman"/>
          <w:color w:val="222222"/>
          <w:sz w:val="28"/>
          <w:szCs w:val="28"/>
          <w:shd w:val="clear" w:color="auto" w:fill="FFFFFF"/>
        </w:rPr>
        <w:t>, M.J., Stavins, R.N. and Stock, J.H., 2021. Keep climate policy focused on the social cost of carbon. </w:t>
      </w:r>
      <w:r w:rsidRPr="002570B1">
        <w:rPr>
          <w:rFonts w:ascii="Times New Roman" w:hAnsi="Times New Roman" w:cs="Times New Roman"/>
          <w:i/>
          <w:iCs/>
          <w:color w:val="222222"/>
          <w:sz w:val="28"/>
          <w:szCs w:val="28"/>
          <w:shd w:val="clear" w:color="auto" w:fill="FFFFFF"/>
        </w:rPr>
        <w:t>Science</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373</w:t>
      </w:r>
      <w:r w:rsidRPr="002570B1">
        <w:rPr>
          <w:rFonts w:ascii="Times New Roman" w:hAnsi="Times New Roman" w:cs="Times New Roman"/>
          <w:color w:val="222222"/>
          <w:sz w:val="28"/>
          <w:szCs w:val="28"/>
          <w:shd w:val="clear" w:color="auto" w:fill="FFFFFF"/>
        </w:rPr>
        <w:t>(6557), pp.850-852.</w:t>
      </w:r>
    </w:p>
    <w:p w14:paraId="71FC71A9"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r w:rsidRPr="002570B1">
        <w:rPr>
          <w:rFonts w:ascii="Times New Roman" w:hAnsi="Times New Roman" w:cs="Times New Roman"/>
          <w:color w:val="222222"/>
          <w:sz w:val="28"/>
          <w:szCs w:val="28"/>
          <w:shd w:val="clear" w:color="auto" w:fill="FFFFFF"/>
        </w:rPr>
        <w:t>Button, M., 2020. Economic and industrial espionage. </w:t>
      </w:r>
      <w:r w:rsidRPr="002570B1">
        <w:rPr>
          <w:rFonts w:ascii="Times New Roman" w:hAnsi="Times New Roman" w:cs="Times New Roman"/>
          <w:i/>
          <w:iCs/>
          <w:color w:val="222222"/>
          <w:sz w:val="28"/>
          <w:szCs w:val="28"/>
          <w:shd w:val="clear" w:color="auto" w:fill="FFFFFF"/>
        </w:rPr>
        <w:t>Security Journal</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33</w:t>
      </w:r>
      <w:r w:rsidRPr="002570B1">
        <w:rPr>
          <w:rFonts w:ascii="Times New Roman" w:hAnsi="Times New Roman" w:cs="Times New Roman"/>
          <w:color w:val="222222"/>
          <w:sz w:val="28"/>
          <w:szCs w:val="28"/>
          <w:shd w:val="clear" w:color="auto" w:fill="FFFFFF"/>
        </w:rPr>
        <w:t>, pp.1-5.</w:t>
      </w:r>
    </w:p>
    <w:p w14:paraId="7CA165B0"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Eboibi</w:t>
      </w:r>
      <w:proofErr w:type="spellEnd"/>
      <w:r w:rsidRPr="002570B1">
        <w:rPr>
          <w:rFonts w:ascii="Times New Roman" w:hAnsi="Times New Roman" w:cs="Times New Roman"/>
          <w:color w:val="222222"/>
          <w:sz w:val="28"/>
          <w:szCs w:val="28"/>
          <w:shd w:val="clear" w:color="auto" w:fill="FFFFFF"/>
        </w:rPr>
        <w:t>, F.E., 2021. Cybercriminals and Coronavirus cybercrimes in Nigeria, the United States of America and the United Kingdom: cyber hygiene and preventive enforcement measures. </w:t>
      </w:r>
      <w:r w:rsidRPr="002570B1">
        <w:rPr>
          <w:rFonts w:ascii="Times New Roman" w:hAnsi="Times New Roman" w:cs="Times New Roman"/>
          <w:i/>
          <w:iCs/>
          <w:color w:val="222222"/>
          <w:sz w:val="28"/>
          <w:szCs w:val="28"/>
          <w:shd w:val="clear" w:color="auto" w:fill="FFFFFF"/>
        </w:rPr>
        <w:t>Commonwealth Law Bulletin</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47</w:t>
      </w:r>
      <w:r w:rsidRPr="002570B1">
        <w:rPr>
          <w:rFonts w:ascii="Times New Roman" w:hAnsi="Times New Roman" w:cs="Times New Roman"/>
          <w:color w:val="222222"/>
          <w:sz w:val="28"/>
          <w:szCs w:val="28"/>
          <w:shd w:val="clear" w:color="auto" w:fill="FFFFFF"/>
        </w:rPr>
        <w:t>(1), pp.113-142.</w:t>
      </w:r>
    </w:p>
    <w:p w14:paraId="56C71689"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Halson</w:t>
      </w:r>
      <w:proofErr w:type="spellEnd"/>
      <w:r w:rsidRPr="002570B1">
        <w:rPr>
          <w:rFonts w:ascii="Times New Roman" w:hAnsi="Times New Roman" w:cs="Times New Roman"/>
          <w:color w:val="222222"/>
          <w:sz w:val="28"/>
          <w:szCs w:val="28"/>
          <w:shd w:val="clear" w:color="auto" w:fill="FFFFFF"/>
        </w:rPr>
        <w:t>, R. and Liu, Q., 2019. Agreed Damages, the Penalty Rule, and Unfair Terms: An Anglo-Australian and Chinese Comparison. </w:t>
      </w:r>
      <w:r w:rsidRPr="002570B1">
        <w:rPr>
          <w:rFonts w:ascii="Times New Roman" w:hAnsi="Times New Roman" w:cs="Times New Roman"/>
          <w:i/>
          <w:iCs/>
          <w:color w:val="222222"/>
          <w:sz w:val="28"/>
          <w:szCs w:val="28"/>
          <w:shd w:val="clear" w:color="auto" w:fill="FFFFFF"/>
        </w:rPr>
        <w:t>The Chinese Journal of Comparative Law</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7</w:t>
      </w:r>
      <w:r w:rsidRPr="002570B1">
        <w:rPr>
          <w:rFonts w:ascii="Times New Roman" w:hAnsi="Times New Roman" w:cs="Times New Roman"/>
          <w:color w:val="222222"/>
          <w:sz w:val="28"/>
          <w:szCs w:val="28"/>
          <w:shd w:val="clear" w:color="auto" w:fill="FFFFFF"/>
        </w:rPr>
        <w:t>(1), pp.49-94.</w:t>
      </w:r>
    </w:p>
    <w:p w14:paraId="2EB85A84"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r w:rsidRPr="002570B1">
        <w:rPr>
          <w:rFonts w:ascii="Times New Roman" w:hAnsi="Times New Roman" w:cs="Times New Roman"/>
          <w:color w:val="222222"/>
          <w:sz w:val="28"/>
          <w:szCs w:val="28"/>
          <w:shd w:val="clear" w:color="auto" w:fill="FFFFFF"/>
        </w:rPr>
        <w:t>Healy, J.C., 2020. ‘It spreads like a creeping disease’: experiences of victims of disability hate crimes in austerity Britain. </w:t>
      </w:r>
      <w:r w:rsidRPr="002570B1">
        <w:rPr>
          <w:rFonts w:ascii="Times New Roman" w:hAnsi="Times New Roman" w:cs="Times New Roman"/>
          <w:i/>
          <w:iCs/>
          <w:color w:val="222222"/>
          <w:sz w:val="28"/>
          <w:szCs w:val="28"/>
          <w:shd w:val="clear" w:color="auto" w:fill="FFFFFF"/>
        </w:rPr>
        <w:t>Disability &amp; Society</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35</w:t>
      </w:r>
      <w:r w:rsidRPr="002570B1">
        <w:rPr>
          <w:rFonts w:ascii="Times New Roman" w:hAnsi="Times New Roman" w:cs="Times New Roman"/>
          <w:color w:val="222222"/>
          <w:sz w:val="28"/>
          <w:szCs w:val="28"/>
          <w:shd w:val="clear" w:color="auto" w:fill="FFFFFF"/>
        </w:rPr>
        <w:t>(2), pp.176-200.</w:t>
      </w:r>
    </w:p>
    <w:p w14:paraId="71753E23"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r w:rsidRPr="002570B1">
        <w:rPr>
          <w:rFonts w:ascii="Times New Roman" w:hAnsi="Times New Roman" w:cs="Times New Roman"/>
          <w:color w:val="222222"/>
          <w:sz w:val="28"/>
          <w:szCs w:val="28"/>
          <w:shd w:val="clear" w:color="auto" w:fill="FFFFFF"/>
        </w:rPr>
        <w:t>Lockwood, G. and Nath, V., 2020. The monitoring of tele-homeworkers in the UK: legal and managerial implications. </w:t>
      </w:r>
      <w:r w:rsidRPr="002570B1">
        <w:rPr>
          <w:rFonts w:ascii="Times New Roman" w:hAnsi="Times New Roman" w:cs="Times New Roman"/>
          <w:i/>
          <w:iCs/>
          <w:color w:val="222222"/>
          <w:sz w:val="28"/>
          <w:szCs w:val="28"/>
          <w:shd w:val="clear" w:color="auto" w:fill="FFFFFF"/>
        </w:rPr>
        <w:t>International Journal of Law and Management</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63</w:t>
      </w:r>
      <w:r w:rsidRPr="002570B1">
        <w:rPr>
          <w:rFonts w:ascii="Times New Roman" w:hAnsi="Times New Roman" w:cs="Times New Roman"/>
          <w:color w:val="222222"/>
          <w:sz w:val="28"/>
          <w:szCs w:val="28"/>
          <w:shd w:val="clear" w:color="auto" w:fill="FFFFFF"/>
        </w:rPr>
        <w:t>(4), pp.396-416.</w:t>
      </w:r>
    </w:p>
    <w:p w14:paraId="39DDA9CB"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Martinich</w:t>
      </w:r>
      <w:proofErr w:type="spellEnd"/>
      <w:r w:rsidRPr="002570B1">
        <w:rPr>
          <w:rFonts w:ascii="Times New Roman" w:hAnsi="Times New Roman" w:cs="Times New Roman"/>
          <w:color w:val="222222"/>
          <w:sz w:val="28"/>
          <w:szCs w:val="28"/>
          <w:shd w:val="clear" w:color="auto" w:fill="FFFFFF"/>
        </w:rPr>
        <w:t>, J. and Crimmins, A., 2019. Climate damages and adaptation potential across diverse sectors of the United States. </w:t>
      </w:r>
      <w:r w:rsidRPr="002570B1">
        <w:rPr>
          <w:rFonts w:ascii="Times New Roman" w:hAnsi="Times New Roman" w:cs="Times New Roman"/>
          <w:i/>
          <w:iCs/>
          <w:color w:val="222222"/>
          <w:sz w:val="28"/>
          <w:szCs w:val="28"/>
          <w:shd w:val="clear" w:color="auto" w:fill="FFFFFF"/>
        </w:rPr>
        <w:t>Nature climate change</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9</w:t>
      </w:r>
      <w:r w:rsidRPr="002570B1">
        <w:rPr>
          <w:rFonts w:ascii="Times New Roman" w:hAnsi="Times New Roman" w:cs="Times New Roman"/>
          <w:color w:val="222222"/>
          <w:sz w:val="28"/>
          <w:szCs w:val="28"/>
          <w:shd w:val="clear" w:color="auto" w:fill="FFFFFF"/>
        </w:rPr>
        <w:t>(5), pp.397-404.</w:t>
      </w:r>
    </w:p>
    <w:p w14:paraId="07C7ABF0"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r w:rsidRPr="002570B1">
        <w:rPr>
          <w:rFonts w:ascii="Times New Roman" w:hAnsi="Times New Roman" w:cs="Times New Roman"/>
          <w:color w:val="222222"/>
          <w:sz w:val="28"/>
          <w:szCs w:val="28"/>
          <w:shd w:val="clear" w:color="auto" w:fill="FFFFFF"/>
        </w:rPr>
        <w:t>Middleton, B., Antonopoulos, G.A. and Papanicolaou, G., 2019. The financial investigation of human trafficking in the UK: legal and practical perspectives. </w:t>
      </w:r>
      <w:r w:rsidRPr="002570B1">
        <w:rPr>
          <w:rFonts w:ascii="Times New Roman" w:hAnsi="Times New Roman" w:cs="Times New Roman"/>
          <w:i/>
          <w:iCs/>
          <w:color w:val="222222"/>
          <w:sz w:val="28"/>
          <w:szCs w:val="28"/>
          <w:shd w:val="clear" w:color="auto" w:fill="FFFFFF"/>
        </w:rPr>
        <w:t>The Journal of Criminal Law</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83</w:t>
      </w:r>
      <w:r w:rsidRPr="002570B1">
        <w:rPr>
          <w:rFonts w:ascii="Times New Roman" w:hAnsi="Times New Roman" w:cs="Times New Roman"/>
          <w:color w:val="222222"/>
          <w:sz w:val="28"/>
          <w:szCs w:val="28"/>
          <w:shd w:val="clear" w:color="auto" w:fill="FFFFFF"/>
        </w:rPr>
        <w:t>(4), pp.284-293.</w:t>
      </w:r>
    </w:p>
    <w:p w14:paraId="121BCBD7"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Narkowicz</w:t>
      </w:r>
      <w:proofErr w:type="spellEnd"/>
      <w:r w:rsidRPr="002570B1">
        <w:rPr>
          <w:rFonts w:ascii="Times New Roman" w:hAnsi="Times New Roman" w:cs="Times New Roman"/>
          <w:color w:val="222222"/>
          <w:sz w:val="28"/>
          <w:szCs w:val="28"/>
          <w:shd w:val="clear" w:color="auto" w:fill="FFFFFF"/>
        </w:rPr>
        <w:t>, K., 2023. White enough, not white enough: racism and racialisation among poles in the UK. </w:t>
      </w:r>
      <w:r w:rsidRPr="002570B1">
        <w:rPr>
          <w:rFonts w:ascii="Times New Roman" w:hAnsi="Times New Roman" w:cs="Times New Roman"/>
          <w:i/>
          <w:iCs/>
          <w:color w:val="222222"/>
          <w:sz w:val="28"/>
          <w:szCs w:val="28"/>
          <w:shd w:val="clear" w:color="auto" w:fill="FFFFFF"/>
        </w:rPr>
        <w:t>Journal of Ethnic and Migration Studies</w:t>
      </w:r>
      <w:r w:rsidRPr="002570B1">
        <w:rPr>
          <w:rFonts w:ascii="Times New Roman" w:hAnsi="Times New Roman" w:cs="Times New Roman"/>
          <w:color w:val="222222"/>
          <w:sz w:val="28"/>
          <w:szCs w:val="28"/>
          <w:shd w:val="clear" w:color="auto" w:fill="FFFFFF"/>
        </w:rPr>
        <w:t>, pp.1-18.</w:t>
      </w:r>
    </w:p>
    <w:p w14:paraId="4F67ACAE"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Palombo</w:t>
      </w:r>
      <w:proofErr w:type="spellEnd"/>
      <w:r w:rsidRPr="002570B1">
        <w:rPr>
          <w:rFonts w:ascii="Times New Roman" w:hAnsi="Times New Roman" w:cs="Times New Roman"/>
          <w:color w:val="222222"/>
          <w:sz w:val="28"/>
          <w:szCs w:val="28"/>
          <w:shd w:val="clear" w:color="auto" w:fill="FFFFFF"/>
        </w:rPr>
        <w:t>, D., 2019. The duty of care of the parent company: A comparison between French law, UK precedents and the Swiss proposals. </w:t>
      </w:r>
      <w:r w:rsidRPr="002570B1">
        <w:rPr>
          <w:rFonts w:ascii="Times New Roman" w:hAnsi="Times New Roman" w:cs="Times New Roman"/>
          <w:i/>
          <w:iCs/>
          <w:color w:val="222222"/>
          <w:sz w:val="28"/>
          <w:szCs w:val="28"/>
          <w:shd w:val="clear" w:color="auto" w:fill="FFFFFF"/>
        </w:rPr>
        <w:t>Business and Human Rights Journal</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4</w:t>
      </w:r>
      <w:r w:rsidRPr="002570B1">
        <w:rPr>
          <w:rFonts w:ascii="Times New Roman" w:hAnsi="Times New Roman" w:cs="Times New Roman"/>
          <w:color w:val="222222"/>
          <w:sz w:val="28"/>
          <w:szCs w:val="28"/>
          <w:shd w:val="clear" w:color="auto" w:fill="FFFFFF"/>
        </w:rPr>
        <w:t>(2), pp.265-286.</w:t>
      </w:r>
    </w:p>
    <w:p w14:paraId="5758642E"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r w:rsidRPr="002570B1">
        <w:rPr>
          <w:rFonts w:ascii="Times New Roman" w:hAnsi="Times New Roman" w:cs="Times New Roman"/>
          <w:color w:val="222222"/>
          <w:sz w:val="28"/>
          <w:szCs w:val="28"/>
          <w:shd w:val="clear" w:color="auto" w:fill="FFFFFF"/>
        </w:rPr>
        <w:t>Richter, A. and Wilson, T.C., 2020. Covid-19: implications for insurer risk management and the insurability of pandemic risk. </w:t>
      </w:r>
      <w:r w:rsidRPr="002570B1">
        <w:rPr>
          <w:rFonts w:ascii="Times New Roman" w:hAnsi="Times New Roman" w:cs="Times New Roman"/>
          <w:i/>
          <w:iCs/>
          <w:color w:val="222222"/>
          <w:sz w:val="28"/>
          <w:szCs w:val="28"/>
          <w:shd w:val="clear" w:color="auto" w:fill="FFFFFF"/>
        </w:rPr>
        <w:t>The Geneva risk and insurance review</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45</w:t>
      </w:r>
      <w:r w:rsidRPr="002570B1">
        <w:rPr>
          <w:rFonts w:ascii="Times New Roman" w:hAnsi="Times New Roman" w:cs="Times New Roman"/>
          <w:color w:val="222222"/>
          <w:sz w:val="28"/>
          <w:szCs w:val="28"/>
          <w:shd w:val="clear" w:color="auto" w:fill="FFFFFF"/>
        </w:rPr>
        <w:t>, pp.171-199.</w:t>
      </w:r>
    </w:p>
    <w:p w14:paraId="750811CC"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Rougeaux</w:t>
      </w:r>
      <w:proofErr w:type="spellEnd"/>
      <w:r w:rsidRPr="002570B1">
        <w:rPr>
          <w:rFonts w:ascii="Times New Roman" w:hAnsi="Times New Roman" w:cs="Times New Roman"/>
          <w:color w:val="222222"/>
          <w:sz w:val="28"/>
          <w:szCs w:val="28"/>
          <w:shd w:val="clear" w:color="auto" w:fill="FFFFFF"/>
        </w:rPr>
        <w:t>, E., Hope, S., Viner, R.M., Deighton, J., Law, C. and Pearce, A., 2020. Is mental health competence in childhood associated with health risk behaviors in adolescence? findings from the UK millennium cohort study. </w:t>
      </w:r>
      <w:r w:rsidRPr="002570B1">
        <w:rPr>
          <w:rFonts w:ascii="Times New Roman" w:hAnsi="Times New Roman" w:cs="Times New Roman"/>
          <w:i/>
          <w:iCs/>
          <w:color w:val="222222"/>
          <w:sz w:val="28"/>
          <w:szCs w:val="28"/>
          <w:shd w:val="clear" w:color="auto" w:fill="FFFFFF"/>
        </w:rPr>
        <w:t>Journal of Adolescent Health</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67</w:t>
      </w:r>
      <w:r w:rsidRPr="002570B1">
        <w:rPr>
          <w:rFonts w:ascii="Times New Roman" w:hAnsi="Times New Roman" w:cs="Times New Roman"/>
          <w:color w:val="222222"/>
          <w:sz w:val="28"/>
          <w:szCs w:val="28"/>
          <w:shd w:val="clear" w:color="auto" w:fill="FFFFFF"/>
        </w:rPr>
        <w:t>(5), pp.677-684.</w:t>
      </w:r>
    </w:p>
    <w:p w14:paraId="519FBE30"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Varvastian</w:t>
      </w:r>
      <w:proofErr w:type="spellEnd"/>
      <w:r w:rsidRPr="002570B1">
        <w:rPr>
          <w:rFonts w:ascii="Times New Roman" w:hAnsi="Times New Roman" w:cs="Times New Roman"/>
          <w:color w:val="222222"/>
          <w:sz w:val="28"/>
          <w:szCs w:val="28"/>
          <w:shd w:val="clear" w:color="auto" w:fill="FFFFFF"/>
        </w:rPr>
        <w:t xml:space="preserve">, S. and </w:t>
      </w:r>
      <w:proofErr w:type="spellStart"/>
      <w:r w:rsidRPr="002570B1">
        <w:rPr>
          <w:rFonts w:ascii="Times New Roman" w:hAnsi="Times New Roman" w:cs="Times New Roman"/>
          <w:color w:val="222222"/>
          <w:sz w:val="28"/>
          <w:szCs w:val="28"/>
          <w:shd w:val="clear" w:color="auto" w:fill="FFFFFF"/>
        </w:rPr>
        <w:t>Kalunga</w:t>
      </w:r>
      <w:proofErr w:type="spellEnd"/>
      <w:r w:rsidRPr="002570B1">
        <w:rPr>
          <w:rFonts w:ascii="Times New Roman" w:hAnsi="Times New Roman" w:cs="Times New Roman"/>
          <w:color w:val="222222"/>
          <w:sz w:val="28"/>
          <w:szCs w:val="28"/>
          <w:shd w:val="clear" w:color="auto" w:fill="FFFFFF"/>
        </w:rPr>
        <w:t xml:space="preserve">, F., 2020. Transnational corporate liability for environmental damage and climate change: Reassessing access to justice after Vedanta v. </w:t>
      </w:r>
      <w:proofErr w:type="spellStart"/>
      <w:r w:rsidRPr="002570B1">
        <w:rPr>
          <w:rFonts w:ascii="Times New Roman" w:hAnsi="Times New Roman" w:cs="Times New Roman"/>
          <w:color w:val="222222"/>
          <w:sz w:val="28"/>
          <w:szCs w:val="28"/>
          <w:shd w:val="clear" w:color="auto" w:fill="FFFFFF"/>
        </w:rPr>
        <w:t>Lungowe</w:t>
      </w:r>
      <w:proofErr w:type="spellEnd"/>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Transnational Environmental Law</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9</w:t>
      </w:r>
      <w:r w:rsidRPr="002570B1">
        <w:rPr>
          <w:rFonts w:ascii="Times New Roman" w:hAnsi="Times New Roman" w:cs="Times New Roman"/>
          <w:color w:val="222222"/>
          <w:sz w:val="28"/>
          <w:szCs w:val="28"/>
          <w:shd w:val="clear" w:color="auto" w:fill="FFFFFF"/>
        </w:rPr>
        <w:t>(2), pp.323-345.</w:t>
      </w:r>
    </w:p>
    <w:p w14:paraId="785013AC" w14:textId="77777777" w:rsidR="00393FF6" w:rsidRPr="002570B1" w:rsidRDefault="00393FF6" w:rsidP="00393FF6">
      <w:pPr>
        <w:spacing w:line="360" w:lineRule="auto"/>
        <w:ind w:left="720" w:hanging="720"/>
        <w:jc w:val="both"/>
        <w:rPr>
          <w:rFonts w:ascii="Times New Roman" w:hAnsi="Times New Roman" w:cs="Times New Roman"/>
          <w:color w:val="222222"/>
          <w:sz w:val="28"/>
          <w:szCs w:val="28"/>
          <w:shd w:val="clear" w:color="auto" w:fill="FFFFFF"/>
        </w:rPr>
      </w:pPr>
      <w:proofErr w:type="spellStart"/>
      <w:r w:rsidRPr="002570B1">
        <w:rPr>
          <w:rFonts w:ascii="Times New Roman" w:hAnsi="Times New Roman" w:cs="Times New Roman"/>
          <w:color w:val="222222"/>
          <w:sz w:val="28"/>
          <w:szCs w:val="28"/>
          <w:shd w:val="clear" w:color="auto" w:fill="FFFFFF"/>
        </w:rPr>
        <w:t>Wronka</w:t>
      </w:r>
      <w:proofErr w:type="spellEnd"/>
      <w:r w:rsidRPr="002570B1">
        <w:rPr>
          <w:rFonts w:ascii="Times New Roman" w:hAnsi="Times New Roman" w:cs="Times New Roman"/>
          <w:color w:val="222222"/>
          <w:sz w:val="28"/>
          <w:szCs w:val="28"/>
          <w:shd w:val="clear" w:color="auto" w:fill="FFFFFF"/>
        </w:rPr>
        <w:t>, C., 2022. Anti-money laundering regimes: A comparison between Germany, Switzerland and the UK with a focus on the crypto business. </w:t>
      </w:r>
      <w:r w:rsidRPr="002570B1">
        <w:rPr>
          <w:rFonts w:ascii="Times New Roman" w:hAnsi="Times New Roman" w:cs="Times New Roman"/>
          <w:i/>
          <w:iCs/>
          <w:color w:val="222222"/>
          <w:sz w:val="28"/>
          <w:szCs w:val="28"/>
          <w:shd w:val="clear" w:color="auto" w:fill="FFFFFF"/>
        </w:rPr>
        <w:t>Journal of Money Laundering Control</w:t>
      </w:r>
      <w:r w:rsidRPr="002570B1">
        <w:rPr>
          <w:rFonts w:ascii="Times New Roman" w:hAnsi="Times New Roman" w:cs="Times New Roman"/>
          <w:color w:val="222222"/>
          <w:sz w:val="28"/>
          <w:szCs w:val="28"/>
          <w:shd w:val="clear" w:color="auto" w:fill="FFFFFF"/>
        </w:rPr>
        <w:t>, </w:t>
      </w:r>
      <w:r w:rsidRPr="002570B1">
        <w:rPr>
          <w:rFonts w:ascii="Times New Roman" w:hAnsi="Times New Roman" w:cs="Times New Roman"/>
          <w:i/>
          <w:iCs/>
          <w:color w:val="222222"/>
          <w:sz w:val="28"/>
          <w:szCs w:val="28"/>
          <w:shd w:val="clear" w:color="auto" w:fill="FFFFFF"/>
        </w:rPr>
        <w:t>25</w:t>
      </w:r>
      <w:r w:rsidRPr="002570B1">
        <w:rPr>
          <w:rFonts w:ascii="Times New Roman" w:hAnsi="Times New Roman" w:cs="Times New Roman"/>
          <w:color w:val="222222"/>
          <w:sz w:val="28"/>
          <w:szCs w:val="28"/>
          <w:shd w:val="clear" w:color="auto" w:fill="FFFFFF"/>
        </w:rPr>
        <w:t>(3), pp.656-670.</w:t>
      </w:r>
    </w:p>
    <w:p w14:paraId="4F310414" w14:textId="77777777" w:rsidR="005907DF" w:rsidRPr="00421917" w:rsidRDefault="005907DF" w:rsidP="00421917">
      <w:pPr>
        <w:spacing w:line="360" w:lineRule="auto"/>
        <w:jc w:val="both"/>
        <w:rPr>
          <w:rFonts w:ascii="Times New Roman" w:hAnsi="Times New Roman" w:cs="Times New Roman"/>
          <w:sz w:val="24"/>
          <w:szCs w:val="24"/>
        </w:rPr>
      </w:pPr>
    </w:p>
    <w:p w14:paraId="71BA7737" w14:textId="77777777" w:rsidR="00D90042" w:rsidRPr="00421917" w:rsidRDefault="00D90042" w:rsidP="00421917">
      <w:pPr>
        <w:spacing w:line="360" w:lineRule="auto"/>
        <w:jc w:val="both"/>
        <w:rPr>
          <w:rFonts w:ascii="Times New Roman" w:hAnsi="Times New Roman" w:cs="Times New Roman"/>
          <w:sz w:val="24"/>
          <w:szCs w:val="24"/>
        </w:rPr>
      </w:pPr>
    </w:p>
    <w:sectPr w:rsidR="00D90042" w:rsidRPr="004219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0D52"/>
    <w:multiLevelType w:val="multilevel"/>
    <w:tmpl w:val="8A4E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A33F72"/>
    <w:multiLevelType w:val="multilevel"/>
    <w:tmpl w:val="5936C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453B54"/>
    <w:multiLevelType w:val="multilevel"/>
    <w:tmpl w:val="AD1A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FD5C3B"/>
    <w:multiLevelType w:val="multilevel"/>
    <w:tmpl w:val="373A3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01733D"/>
    <w:multiLevelType w:val="hybridMultilevel"/>
    <w:tmpl w:val="A6627CA6"/>
    <w:lvl w:ilvl="0" w:tplc="85DE23A2">
      <w:start w:val="1"/>
      <w:numFmt w:val="upperRoman"/>
      <w:lvlText w:val="%1."/>
      <w:lvlJc w:val="left"/>
      <w:pPr>
        <w:ind w:left="1080" w:hanging="720"/>
      </w:pPr>
      <w:rPr>
        <w:rFonts w:hint="default"/>
      </w:rPr>
    </w:lvl>
    <w:lvl w:ilvl="1" w:tplc="60B6A014" w:tentative="1">
      <w:start w:val="1"/>
      <w:numFmt w:val="lowerLetter"/>
      <w:lvlText w:val="%2."/>
      <w:lvlJc w:val="left"/>
      <w:pPr>
        <w:ind w:left="1440" w:hanging="360"/>
      </w:pPr>
    </w:lvl>
    <w:lvl w:ilvl="2" w:tplc="C738234E" w:tentative="1">
      <w:start w:val="1"/>
      <w:numFmt w:val="lowerRoman"/>
      <w:lvlText w:val="%3."/>
      <w:lvlJc w:val="right"/>
      <w:pPr>
        <w:ind w:left="2160" w:hanging="180"/>
      </w:pPr>
    </w:lvl>
    <w:lvl w:ilvl="3" w:tplc="D090CFEC" w:tentative="1">
      <w:start w:val="1"/>
      <w:numFmt w:val="decimal"/>
      <w:lvlText w:val="%4."/>
      <w:lvlJc w:val="left"/>
      <w:pPr>
        <w:ind w:left="2880" w:hanging="360"/>
      </w:pPr>
    </w:lvl>
    <w:lvl w:ilvl="4" w:tplc="21705268" w:tentative="1">
      <w:start w:val="1"/>
      <w:numFmt w:val="lowerLetter"/>
      <w:lvlText w:val="%5."/>
      <w:lvlJc w:val="left"/>
      <w:pPr>
        <w:ind w:left="3600" w:hanging="360"/>
      </w:pPr>
    </w:lvl>
    <w:lvl w:ilvl="5" w:tplc="EFC28D30" w:tentative="1">
      <w:start w:val="1"/>
      <w:numFmt w:val="lowerRoman"/>
      <w:lvlText w:val="%6."/>
      <w:lvlJc w:val="right"/>
      <w:pPr>
        <w:ind w:left="4320" w:hanging="180"/>
      </w:pPr>
    </w:lvl>
    <w:lvl w:ilvl="6" w:tplc="E05CD2DC" w:tentative="1">
      <w:start w:val="1"/>
      <w:numFmt w:val="decimal"/>
      <w:lvlText w:val="%7."/>
      <w:lvlJc w:val="left"/>
      <w:pPr>
        <w:ind w:left="5040" w:hanging="360"/>
      </w:pPr>
    </w:lvl>
    <w:lvl w:ilvl="7" w:tplc="F3B89CD2" w:tentative="1">
      <w:start w:val="1"/>
      <w:numFmt w:val="lowerLetter"/>
      <w:lvlText w:val="%8."/>
      <w:lvlJc w:val="left"/>
      <w:pPr>
        <w:ind w:left="5760" w:hanging="360"/>
      </w:pPr>
    </w:lvl>
    <w:lvl w:ilvl="8" w:tplc="94B095D4" w:tentative="1">
      <w:start w:val="1"/>
      <w:numFmt w:val="lowerRoman"/>
      <w:lvlText w:val="%9."/>
      <w:lvlJc w:val="right"/>
      <w:pPr>
        <w:ind w:left="6480" w:hanging="180"/>
      </w:pPr>
    </w:lvl>
  </w:abstractNum>
  <w:num w:numId="1" w16cid:durableId="2054036165">
    <w:abstractNumId w:val="5"/>
  </w:num>
  <w:num w:numId="2" w16cid:durableId="1511140767">
    <w:abstractNumId w:val="1"/>
  </w:num>
  <w:num w:numId="3" w16cid:durableId="2085183730">
    <w:abstractNumId w:val="3"/>
  </w:num>
  <w:num w:numId="4" w16cid:durableId="1531186442">
    <w:abstractNumId w:val="4"/>
  </w:num>
  <w:num w:numId="5" w16cid:durableId="1860578268">
    <w:abstractNumId w:val="0"/>
  </w:num>
  <w:num w:numId="6" w16cid:durableId="8412595">
    <w:abstractNumId w:val="2"/>
  </w:num>
  <w:num w:numId="7" w16cid:durableId="1898667854">
    <w:abstractNumId w:val="2"/>
  </w:num>
  <w:num w:numId="8" w16cid:durableId="51469307">
    <w:abstractNumId w:val="2"/>
  </w:num>
  <w:num w:numId="9" w16cid:durableId="13774784">
    <w:abstractNumId w:val="2"/>
  </w:num>
  <w:num w:numId="10" w16cid:durableId="150293790">
    <w:abstractNumId w:val="2"/>
  </w:num>
  <w:num w:numId="11" w16cid:durableId="1241021862">
    <w:abstractNumId w:val="2"/>
  </w:num>
  <w:num w:numId="12" w16cid:durableId="236980863">
    <w:abstractNumId w:val="2"/>
  </w:num>
  <w:num w:numId="13" w16cid:durableId="1755005367">
    <w:abstractNumId w:val="2"/>
  </w:num>
  <w:num w:numId="14" w16cid:durableId="1245141869">
    <w:abstractNumId w:val="2"/>
  </w:num>
  <w:num w:numId="15" w16cid:durableId="1026981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54"/>
    <w:rsid w:val="000577C9"/>
    <w:rsid w:val="00076481"/>
    <w:rsid w:val="000A6FDD"/>
    <w:rsid w:val="002570B1"/>
    <w:rsid w:val="00393FF6"/>
    <w:rsid w:val="003B017D"/>
    <w:rsid w:val="00421917"/>
    <w:rsid w:val="004B7254"/>
    <w:rsid w:val="00506B63"/>
    <w:rsid w:val="0057017D"/>
    <w:rsid w:val="005907DF"/>
    <w:rsid w:val="00685167"/>
    <w:rsid w:val="006C5F7D"/>
    <w:rsid w:val="008016A7"/>
    <w:rsid w:val="0093166B"/>
    <w:rsid w:val="00950725"/>
    <w:rsid w:val="009619C1"/>
    <w:rsid w:val="00D90042"/>
    <w:rsid w:val="00E429C1"/>
    <w:rsid w:val="00E80C33"/>
    <w:rsid w:val="00EF0579"/>
    <w:rsid w:val="00F14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97D8"/>
  <w15:chartTrackingRefBased/>
  <w15:docId w15:val="{18128902-D282-481F-BAF7-2EC5F4F55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917"/>
  </w:style>
  <w:style w:type="paragraph" w:styleId="Heading1">
    <w:name w:val="heading 1"/>
    <w:basedOn w:val="Normal"/>
    <w:next w:val="Normal"/>
    <w:link w:val="Heading1Char"/>
    <w:uiPriority w:val="9"/>
    <w:qFormat/>
    <w:rsid w:val="00421917"/>
    <w:pPr>
      <w:keepNext/>
      <w:keepLines/>
      <w:numPr>
        <w:numId w:val="1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421917"/>
    <w:pPr>
      <w:keepNext/>
      <w:keepLines/>
      <w:numPr>
        <w:ilvl w:val="1"/>
        <w:numId w:val="1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21917"/>
    <w:pPr>
      <w:keepNext/>
      <w:keepLines/>
      <w:numPr>
        <w:ilvl w:val="2"/>
        <w:numId w:val="1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21917"/>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21917"/>
    <w:pPr>
      <w:keepNext/>
      <w:keepLines/>
      <w:numPr>
        <w:ilvl w:val="4"/>
        <w:numId w:val="15"/>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421917"/>
    <w:pPr>
      <w:keepNext/>
      <w:keepLines/>
      <w:numPr>
        <w:ilvl w:val="5"/>
        <w:numId w:val="15"/>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421917"/>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21917"/>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21917"/>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29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2191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42191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2191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2191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2191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42191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42191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2191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2191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2191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2191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2191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2191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21917"/>
    <w:rPr>
      <w:color w:val="5A5A5A" w:themeColor="text1" w:themeTint="A5"/>
      <w:spacing w:val="10"/>
    </w:rPr>
  </w:style>
  <w:style w:type="character" w:styleId="Strong">
    <w:name w:val="Strong"/>
    <w:basedOn w:val="DefaultParagraphFont"/>
    <w:uiPriority w:val="22"/>
    <w:qFormat/>
    <w:rsid w:val="00421917"/>
    <w:rPr>
      <w:b/>
      <w:bCs/>
      <w:color w:val="000000" w:themeColor="text1"/>
    </w:rPr>
  </w:style>
  <w:style w:type="character" w:styleId="Emphasis">
    <w:name w:val="Emphasis"/>
    <w:basedOn w:val="DefaultParagraphFont"/>
    <w:uiPriority w:val="20"/>
    <w:qFormat/>
    <w:rsid w:val="00421917"/>
    <w:rPr>
      <w:i/>
      <w:iCs/>
      <w:color w:val="auto"/>
    </w:rPr>
  </w:style>
  <w:style w:type="paragraph" w:styleId="NoSpacing">
    <w:name w:val="No Spacing"/>
    <w:uiPriority w:val="1"/>
    <w:qFormat/>
    <w:rsid w:val="00421917"/>
    <w:pPr>
      <w:spacing w:after="0" w:line="240" w:lineRule="auto"/>
    </w:pPr>
  </w:style>
  <w:style w:type="paragraph" w:styleId="Quote">
    <w:name w:val="Quote"/>
    <w:basedOn w:val="Normal"/>
    <w:next w:val="Normal"/>
    <w:link w:val="QuoteChar"/>
    <w:uiPriority w:val="29"/>
    <w:qFormat/>
    <w:rsid w:val="00421917"/>
    <w:pPr>
      <w:spacing w:before="160"/>
      <w:ind w:left="720" w:right="720"/>
    </w:pPr>
    <w:rPr>
      <w:i/>
      <w:iCs/>
      <w:color w:val="000000" w:themeColor="text1"/>
    </w:rPr>
  </w:style>
  <w:style w:type="character" w:customStyle="1" w:styleId="QuoteChar">
    <w:name w:val="Quote Char"/>
    <w:basedOn w:val="DefaultParagraphFont"/>
    <w:link w:val="Quote"/>
    <w:uiPriority w:val="29"/>
    <w:rsid w:val="00421917"/>
    <w:rPr>
      <w:i/>
      <w:iCs/>
      <w:color w:val="000000" w:themeColor="text1"/>
    </w:rPr>
  </w:style>
  <w:style w:type="paragraph" w:styleId="IntenseQuote">
    <w:name w:val="Intense Quote"/>
    <w:basedOn w:val="Normal"/>
    <w:next w:val="Normal"/>
    <w:link w:val="IntenseQuoteChar"/>
    <w:uiPriority w:val="30"/>
    <w:qFormat/>
    <w:rsid w:val="0042191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21917"/>
    <w:rPr>
      <w:color w:val="000000" w:themeColor="text1"/>
      <w:shd w:val="clear" w:color="auto" w:fill="F2F2F2" w:themeFill="background1" w:themeFillShade="F2"/>
    </w:rPr>
  </w:style>
  <w:style w:type="character" w:styleId="SubtleEmphasis">
    <w:name w:val="Subtle Emphasis"/>
    <w:basedOn w:val="DefaultParagraphFont"/>
    <w:uiPriority w:val="19"/>
    <w:qFormat/>
    <w:rsid w:val="00421917"/>
    <w:rPr>
      <w:i/>
      <w:iCs/>
      <w:color w:val="404040" w:themeColor="text1" w:themeTint="BF"/>
    </w:rPr>
  </w:style>
  <w:style w:type="character" w:styleId="IntenseEmphasis">
    <w:name w:val="Intense Emphasis"/>
    <w:basedOn w:val="DefaultParagraphFont"/>
    <w:uiPriority w:val="21"/>
    <w:qFormat/>
    <w:rsid w:val="00421917"/>
    <w:rPr>
      <w:b/>
      <w:bCs/>
      <w:i/>
      <w:iCs/>
      <w:caps/>
    </w:rPr>
  </w:style>
  <w:style w:type="character" w:styleId="SubtleReference">
    <w:name w:val="Subtle Reference"/>
    <w:basedOn w:val="DefaultParagraphFont"/>
    <w:uiPriority w:val="31"/>
    <w:qFormat/>
    <w:rsid w:val="0042191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21917"/>
    <w:rPr>
      <w:b/>
      <w:bCs/>
      <w:smallCaps/>
      <w:u w:val="single"/>
    </w:rPr>
  </w:style>
  <w:style w:type="character" w:styleId="BookTitle">
    <w:name w:val="Book Title"/>
    <w:basedOn w:val="DefaultParagraphFont"/>
    <w:uiPriority w:val="33"/>
    <w:qFormat/>
    <w:rsid w:val="00421917"/>
    <w:rPr>
      <w:b w:val="0"/>
      <w:bCs w:val="0"/>
      <w:smallCaps/>
      <w:spacing w:val="5"/>
    </w:rPr>
  </w:style>
  <w:style w:type="paragraph" w:styleId="TOCHeading">
    <w:name w:val="TOC Heading"/>
    <w:basedOn w:val="Heading1"/>
    <w:next w:val="Normal"/>
    <w:uiPriority w:val="39"/>
    <w:semiHidden/>
    <w:unhideWhenUsed/>
    <w:qFormat/>
    <w:rsid w:val="0042191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81FEF-C56B-4547-9AF6-920BA66642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Andreea miron</cp:lastModifiedBy>
  <cp:revision>2</cp:revision>
  <dcterms:created xsi:type="dcterms:W3CDTF">2023-06-29T20:01:00Z</dcterms:created>
  <dcterms:modified xsi:type="dcterms:W3CDTF">2023-06-29T20:01:00Z</dcterms:modified>
</cp:coreProperties>
</file>