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Autospacing="0" w:afterAutospacing="0" w:line="360" w:lineRule="auto"/>
        <w:ind w:left="-180" w:right="-334"/>
      </w:pPr>
      <w:bookmarkStart w:id="0" w:name="OLE_LINK6"/>
      <w:r>
        <w:rPr>
          <w:lang w:eastAsia="en-GB"/>
        </w:rPr>
        <w:drawing>
          <wp:inline distT="0" distB="0" distL="114300" distR="114300">
            <wp:extent cx="2058035" cy="856615"/>
            <wp:effectExtent l="0" t="0" r="14605" b="12065"/>
            <wp:docPr id="5" name="图片 5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blettm\AppData\Local\Microsoft\Windows\Temporary Internet Files\Content.Outlook\R41HOZLM\UWTSD Logo.jp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8035" cy="8566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spacing w:beforeAutospacing="0" w:afterAutospacing="0" w:line="360" w:lineRule="auto"/>
        <w:ind w:left="-180" w:right="-334"/>
      </w:pPr>
    </w:p>
    <w:p>
      <w:pPr>
        <w:pStyle w:val="5"/>
        <w:spacing w:beforeAutospacing="0" w:afterAutospacing="0" w:line="360" w:lineRule="auto"/>
        <w:ind w:left="-180" w:right="-334"/>
      </w:pPr>
    </w:p>
    <w:p>
      <w:pPr>
        <w:pStyle w:val="5"/>
        <w:spacing w:beforeAutospacing="0" w:afterAutospacing="0" w:line="360" w:lineRule="auto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>
      <w:pPr>
        <w:pStyle w:val="5"/>
        <w:spacing w:beforeAutospacing="0" w:afterAutospacing="0" w:line="360" w:lineRule="auto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>
      <w:pPr>
        <w:spacing w:line="360" w:lineRule="auto"/>
        <w:rPr>
          <w:rFonts w:ascii="Arial" w:hAnsi="Arial" w:cs="Arial"/>
          <w:sz w:val="28"/>
          <w:szCs w:val="28"/>
          <w:lang w:val="cy-GB"/>
        </w:rPr>
      </w:pPr>
    </w:p>
    <w:p>
      <w:pPr>
        <w:pStyle w:val="2"/>
        <w:spacing w:line="360" w:lineRule="auto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>
      <w:pPr>
        <w:pStyle w:val="2"/>
        <w:spacing w:line="360" w:lineRule="auto"/>
        <w:jc w:val="center"/>
        <w:rPr>
          <w:rFonts w:ascii="Trebuchet MS" w:hAnsi="Trebuchet MS"/>
        </w:rPr>
      </w:pPr>
    </w:p>
    <w:tbl>
      <w:tblPr>
        <w:tblStyle w:val="7"/>
        <w:tblW w:w="88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8"/>
        <w:gridCol w:w="423"/>
        <w:gridCol w:w="1557"/>
        <w:gridCol w:w="286"/>
        <w:gridCol w:w="18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hint="eastAsia" w:ascii="Arial" w:hAnsi="Arial" w:cs="Arial" w:eastAsiaTheme="minorEastAsia"/>
                <w:sz w:val="22"/>
                <w:szCs w:val="22"/>
                <w:lang w:val="en-US" w:eastAsia="zh-CN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Siyu Liu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4788" w:type="dxa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hint="eastAsia" w:ascii="Arial" w:hAnsi="Arial" w:cs="Arial"/>
                <w:sz w:val="22"/>
                <w:szCs w:val="22"/>
              </w:rPr>
              <w:t>SICH3003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 Explaining and memorizing the classical Chinese text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hint="eastAsia" w:ascii="Arial" w:hAnsi="Arial" w:cs="Arial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sz w:val="22"/>
                <w:szCs w:val="22"/>
              </w:rPr>
              <w:t>1804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594</w:t>
            </w:r>
          </w:p>
        </w:tc>
        <w:tc>
          <w:tcPr>
            <w:tcW w:w="1802" w:type="dxa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trike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>/No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  <w:r>
              <w:rPr>
                <w:rFonts w:hint="eastAsia" w:ascii="Arial" w:hAnsi="Arial" w:cs="Arial"/>
                <w:sz w:val="22"/>
                <w:szCs w:val="22"/>
              </w:rPr>
              <w:t xml:space="preserve"> Professor Chia-Feng Hsieh 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due date:11</w:t>
            </w:r>
            <w:r>
              <w:rPr>
                <w:rFonts w:hint="eastAsia" w:ascii="Arial" w:hAnsi="Arial" w:cs="Arial"/>
                <w:sz w:val="22"/>
                <w:szCs w:val="22"/>
              </w:rPr>
              <w:t>th January, 2019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856" w:type="dxa"/>
            <w:gridSpan w:val="5"/>
            <w:tcBorders>
              <w:bottom w:val="single" w:color="000000" w:sz="4" w:space="0"/>
            </w:tcBorders>
          </w:tcPr>
          <w:p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your module has multiple submissions please indicate which piece of work this is.</w:t>
            </w:r>
          </w:p>
          <w:p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>
              <w:rPr>
                <w:rFonts w:hint="eastAsia" w:ascii="Arial" w:hAnsi="Arial" w:cs="Arial"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14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>
              <w:rPr>
                <w:rFonts w:ascii="Arial" w:hAnsi="Arial" w:cs="Arial"/>
                <w:sz w:val="22"/>
                <w:szCs w:val="22"/>
              </w:rPr>
              <w:t xml:space="preserve"> √    3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15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16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heck17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18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856" w:type="dxa"/>
            <w:gridSpan w:val="5"/>
            <w:shd w:val="clear" w:color="auto" w:fill="D9D9D9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Signed 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Siyu Liu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</w:rPr>
              <w:t>Email submission: if you are submitting this form via email, please tick this box</w:t>
            </w:r>
            <w:r>
              <w:rPr>
                <w:rFonts w:ascii="Calibri" w:hAnsi="Calibri" w:cs="Tahoma"/>
                <w:b/>
                <w:sz w:val="36"/>
                <w:szCs w:val="36"/>
              </w:rPr>
              <w:sym w:font="Wingdings" w:char="00FE"/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2" w:hRule="atLeast"/>
        </w:trPr>
        <w:tc>
          <w:tcPr>
            <w:tcW w:w="8856" w:type="dxa"/>
            <w:gridSpan w:val="5"/>
          </w:tcPr>
          <w:p>
            <w:pPr>
              <w:spacing w:line="360" w:lineRule="auto"/>
              <w:rPr>
                <w:rFonts w:ascii="Arial" w:hAnsi="Arial"/>
                <w:b/>
              </w:rPr>
            </w:pPr>
          </w:p>
          <w:p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Style w:val="7"/>
              <w:tblW w:w="863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970"/>
              <w:gridCol w:w="166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Agreed Internal Mark: </w:t>
                  </w:r>
                </w:p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66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spacing w:line="360" w:lineRule="auto"/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pStyle w:val="5"/>
              <w:spacing w:beforeAutospacing="0" w:afterAutospacing="0" w:line="360" w:lineRule="auto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>
            <w:pPr>
              <w:pStyle w:val="5"/>
              <w:spacing w:beforeAutospacing="0" w:afterAutospacing="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Marker 1 :</w:t>
            </w:r>
          </w:p>
          <w:p>
            <w:pPr>
              <w:pStyle w:val="5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>
            <w:pPr>
              <w:pStyle w:val="5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6768" w:type="dxa"/>
            <w:gridSpan w:val="3"/>
          </w:tcPr>
          <w:p>
            <w:pPr>
              <w:pStyle w:val="5"/>
              <w:spacing w:line="360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</w:tcPr>
          <w:p>
            <w:pPr>
              <w:pStyle w:val="5"/>
              <w:spacing w:line="360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211" w:type="dxa"/>
            <w:gridSpan w:val="2"/>
          </w:tcPr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</w:tcPr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856" w:type="dxa"/>
            <w:gridSpan w:val="5"/>
          </w:tcPr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AGREED INTERNAL MARK (where necessary):</w:t>
            </w:r>
          </w:p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Comment on process on arriving at agreed mark:</w:t>
            </w:r>
          </w:p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856" w:type="dxa"/>
            <w:gridSpan w:val="5"/>
          </w:tcPr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211" w:type="dxa"/>
            <w:gridSpan w:val="2"/>
          </w:tcPr>
          <w:p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bookmarkEnd w:id="0"/>
    </w:tbl>
    <w:p>
      <w:pPr>
        <w:spacing w:line="360" w:lineRule="auto"/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spacing w:line="360" w:lineRule="auto"/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spacing w:line="360" w:lineRule="auto"/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spacing w:line="360" w:lineRule="auto"/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spacing w:line="360" w:lineRule="auto"/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spacing w:line="360" w:lineRule="auto"/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spacing w:line="360" w:lineRule="auto"/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  <w:r>
        <w:rPr>
          <w:rFonts w:hint="eastAsia" w:ascii="DFKai-SB" w:hAnsi="DFKai-SB" w:eastAsia="DFKai-SB" w:cs="DFKai-SB"/>
          <w:sz w:val="36"/>
          <w:szCs w:val="36"/>
          <w:lang w:eastAsia="zh-TW"/>
        </w:rPr>
        <w:t>背誦內容</w:t>
      </w:r>
    </w:p>
    <w:p>
      <w:pPr>
        <w:spacing w:line="360" w:lineRule="auto"/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lang w:val="en-US" w:eastAsia="zh-CN"/>
        </w:rPr>
        <w:t>注：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red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red"/>
          <w:lang w:val="en-US" w:eastAsia="zh-CN"/>
        </w:rPr>
        <w:t>紅色：背錯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green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green"/>
          <w:lang w:val="en-US" w:eastAsia="zh-CN"/>
        </w:rPr>
        <w:t>綠色：背漏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yellow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yellow"/>
          <w:lang w:val="en-US" w:eastAsia="zh-CN"/>
        </w:rPr>
        <w:t>黃色：卡頓</w:t>
      </w:r>
    </w:p>
    <w:p>
      <w:pPr>
        <w:spacing w:line="360" w:lineRule="auto"/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</w:p>
    <w:p>
      <w:pPr>
        <w:spacing w:line="360" w:lineRule="auto"/>
        <w:rPr>
          <w:rFonts w:ascii="PMingLiU" w:hAnsi="PMingLiU" w:eastAsia="PMingLiU" w:cs="PMingLiU"/>
          <w:sz w:val="28"/>
          <w:szCs w:val="28"/>
          <w:lang w:eastAsia="zh-TW"/>
        </w:rPr>
      </w:pPr>
      <w:r>
        <w:rPr>
          <w:rFonts w:hint="eastAsia" w:ascii="PMingLiU" w:hAnsi="PMingLiU" w:eastAsia="PMingLiU" w:cs="PMingLiU"/>
          <w:sz w:val="28"/>
          <w:szCs w:val="28"/>
          <w:lang w:eastAsia="zh-TW"/>
        </w:rPr>
        <w:t>《大學》背誦：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1、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大學之道，在明明德，在親民，在止於至善。知止而後有定，定而後能靜，靜而後能安，安而後能慮，慮而後能得。物有本末，事有終始，知所先後，則近道矣。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古之欲明明德於天下者，先治其國；欲治其國者，先齊其家；欲齊其家者，先修其身；欲修其身者，先正其心；欲正其心者，先誠其意；欲誠其意者，先致其知；致知在格物。物格而後知至，知至而後意誠，意誠而後心正，心正而後身修，身修而後家齊，家齊而後國治，國治而後天下平。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自天子以至於庶人。壹是皆以修身為本。其本亂，而末治者否矣。其所厚者薄，而其所薄者厚，未之有也。此謂知本，此謂知之至也。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所謂誠其意者，毋自欺也。如惡惡臭，如好好色。此之謂自謙。故君子必慎其獨也。小人閒居為不善，無所不至。見君子而後厭然，掩其不善，而著其善。人之視己，如見其肺肝然，則何益矣？此謂誠於中，形於外。故君子必慎其獨也。曾子曰：「十目所視，十手所指，其嚴乎！」富潤屋，德潤身，心寬體胖，故君子必誠其意。</w:t>
      </w:r>
    </w:p>
    <w:p>
      <w:pPr>
        <w:numPr>
          <w:ilvl w:val="0"/>
          <w:numId w:val="0"/>
        </w:num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3、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秦誓曰：“若有一介臣，斷斷兮，無他技，其心休休焉，其如有容焉；人之有技，若己有之；人之彥聖，其心好之，不啻若自其口出；寔能容之。以能保我子孫黎民，尚亦有利哉！人之有技，媢疾以惡之；人之彥聖，而違之俾不通；寔不能容。以不能保我子孫黎民，亦曰殆哉！”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唯仁人放流之，迸諸四夷，不與同中國。此謂唯仁人為能愛人，能惡人。見賢而不能舉，舉而不能先，命也；見不善而不能退，退而不能遠，過也。好人之所惡，惡人之所好，是謂拂人之性。菑必逮夫身。是故君子有大道，必忠信以得之，驕泰以失之。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</w:p>
    <w:p>
      <w:pPr>
        <w:spacing w:line="360" w:lineRule="auto"/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《中庸》背誦：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1、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天命之謂性；率性之謂道；修道之謂教。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　　道也者，不可須臾離也；可離，非道也。是故君子戒慎乎其所不睹，恐懼乎其所不聞。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　　莫見乎隱，莫顯乎微。故君子慎其獨也。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　　喜、怒、哀、樂之未發，謂之中。發而皆中節，謂之和。中也者，天下之大本也。和也者，天下之達道也。致中和，天地位焉，萬物育焉。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仲尼曰</w:t>
      </w:r>
      <w:r>
        <w:rPr>
          <w:rFonts w:hint="eastAsia" w:ascii="DFKai-SB" w:hAnsi="DFKai-SB" w:eastAsia="宋体" w:cs="DFKai-SB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「君子中庸；小人反中庸。」「君子之中庸也，君子而時中。小人之中庸也，小人而無忌憚也。」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2、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君子素其位而行，不願乎其外。素富貴，行乎富貴；素貧賤，行乎貧賤；素夷狄，行乎夷狄；素患難，行乎患難。君子無入而不自得焉。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　　在上位，不陵下；在下位，不援上；正己而不求於人則無怨。上不怨天，下不尤人。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　　故君子居易以俟命，小人行險以徼幸。</w:t>
      </w:r>
    </w:p>
    <w:p>
      <w:pPr>
        <w:spacing w:line="360" w:lineRule="auto"/>
        <w:ind w:firstLine="56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子曰，「射有似乎君子。失諸正鵠，反求諸其身。」</w:t>
      </w:r>
    </w:p>
    <w:p>
      <w:pPr>
        <w:spacing w:line="360" w:lineRule="auto"/>
        <w:ind w:firstLine="56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3、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「凡事，豫則立，不豫則廢。言前定，則不跲。事前定，則不困。行前定，則不疚。道前定，則不窮。」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　　「在下位不獲乎上，民不可得而治矣。獲乎上有道：不信乎朋友，不獲乎上矣。信乎朋友有道：不順乎親，不信乎朋友矣。順乎親有道：反者身不誠，不順乎親矣。誠身有道：不明乎善，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none"/>
        </w:rPr>
        <w:t>不誠</w:t>
      </w:r>
      <w:r>
        <w:rPr>
          <w:rFonts w:hint="eastAsia" w:ascii="DFKai-SB" w:hAnsi="DFKai-SB" w:eastAsia="DFKai-SB" w:cs="DFKai-SB"/>
          <w:b w:val="0"/>
          <w:bCs w:val="0"/>
          <w:color w:val="auto"/>
          <w:sz w:val="28"/>
          <w:szCs w:val="28"/>
          <w:highlight w:val="red"/>
        </w:rPr>
        <w:t>乎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none"/>
        </w:rPr>
        <w:t>身矣。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　　「誠者，天之道也。誠之者，人之道也。誠者，不勉而中不思而得：從容中道，聖人也。誠之者，擇善而固執之者也。」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　　「博學之，審問之，慎思之，明辨之，篤行之。」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　　「有弗學，學之弗能，弗措也。有弗問，問之弗知，弗措也。有弗思，思之弗得，弗措也。有弗辨，辨之弗明，弗措也。有弗行，行之弗篤，弗措也。人一能之，己百之。人十能之，己千之。」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「果能此道矣，雖愚必明，雖柔必強。」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</w:p>
    <w:p>
      <w:pPr>
        <w:numPr>
          <w:numId w:val="0"/>
        </w:numPr>
        <w:spacing w:line="360" w:lineRule="auto"/>
        <w:ind w:leftChars="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宋体" w:cs="DFKai-SB"/>
          <w:b w:val="0"/>
          <w:bCs w:val="0"/>
          <w:sz w:val="28"/>
          <w:szCs w:val="28"/>
          <w:lang w:val="en-US" w:eastAsia="zh-CN"/>
        </w:rPr>
        <w:t>4、</w:t>
      </w:r>
      <w:bookmarkStart w:id="7" w:name="_GoBack"/>
      <w:bookmarkEnd w:id="7"/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「自誠明，謂之性；自明誠謂之教。誠則明矣；明則誠矣。」唯天下至誠為能盡其性。能盡其性，則能盡人之性。能盡人之性，則能盡物之性。能盡物之性，則可以贊天地之化育。可以贊天地之化育，則可以與天地參矣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spacing w:line="360" w:lineRule="auto"/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《論語》背誦：</w:t>
      </w:r>
    </w:p>
    <w:p>
      <w:pPr>
        <w:numPr>
          <w:ilvl w:val="0"/>
          <w:numId w:val="2"/>
        </w:num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&lt;憲問第十四&gt;</w:t>
      </w:r>
    </w:p>
    <w:p>
      <w:pPr>
        <w:numPr>
          <w:ilvl w:val="0"/>
          <w:numId w:val="0"/>
        </w:num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子路問「事君」。子曰：「勿欺也，而犯之。」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子曰：「君子上達，小人下達。」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子曰：「古之學者為己，今之學者為人。」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蘧伯玉使人於孔子，孔子與之坐而問焉。曰：「夫子何為？」對曰：「夫子欲寡其過而未能也。」使者出。子曰：「使乎！使乎！」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子曰：「不在其位，不謀其政。」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yellow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yellow"/>
        </w:rPr>
        <w:t>曾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none"/>
        </w:rPr>
        <w:t>子曰：「君子思不出其位。」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子曰：「君子恥其言而過其行。」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子曰：「君子道者三，我無能焉：仁者不憂，知者不惑，勇者不懼。」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</w:rPr>
        <w:t>子貢曰：「夫子自道也！」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子貢方人。子曰：「賜也，賢乎哉？夫我則不暇！」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子曰：「不患人之不己知，患其不能也。」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red"/>
        </w:rPr>
        <w:t>子曰：「不逆詐，不億不信。抑亦先覺者，是賢乎？」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&lt;衛靈公第十五&gt;</w:t>
      </w:r>
    </w:p>
    <w:p>
      <w:pPr>
        <w:numPr>
          <w:ilvl w:val="0"/>
          <w:numId w:val="0"/>
        </w:num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子曰：「人無遠慮，必有近憂。」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yellow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none"/>
        </w:rPr>
        <w:t>子曰：「已矣乎！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yellow"/>
        </w:rPr>
        <w:t>吾未見好德如好色者也！」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子曰：「臧文仲，其竊位者與？知柳下惠之賢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而不與立也。」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子曰：「躬自厚，而薄責於人，則遠怨矣！」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子曰：「不曰：『如之何，如之何』者，吾末如之何也已矣！」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子曰：「群居終日，言不及義，好行小慧，難矣哉！」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子曰：「君子義以為質，禮以行之，孫以出之，信以成之，君子哉！」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子曰：「君子病無能焉，不病人之不己知也。」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子曰：「君子疾沒世而名不稱焉。」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子曰：「君子求諸己，小人求諸人。」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yellow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yellow"/>
        </w:rPr>
        <w:t>子曰：「君子矜而不爭，群而不黨。」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子曰：「君子不以言舉人，不以人廢言。」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子貢問曰：「有一言而可以終身行之者乎？」子曰：「其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恕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乎！己所不欲，勿施於人。」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left="0" w:leftChars="0" w:firstLine="0" w:firstLineChars="0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&lt;季氏第十六&gt;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孔子曰：「益者三友，損者三友。友直，友諒，友多聞，益矣。友便辟，友善柔，友便佞，損矣。」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孔子曰：「益者三樂，損者三樂。樂節禮樂，樂道人之善，樂多賢友，益矣。樂驕樂，樂佚遊，樂宴樂，損矣。」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</w:rPr>
        <w:t>孔子曰：「侍於君子有三愆。言未及之而言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eastAsia="zh-TW"/>
        </w:rPr>
        <w:t>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</w:rPr>
        <w:t>謂之躁，言及之而不言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eastAsia="zh-TW"/>
        </w:rPr>
        <w:t>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</w:rPr>
        <w:t>謂之隱，未見顏色而言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  <w:lang w:eastAsia="zh-TW"/>
        </w:rPr>
        <w:t>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</w:rPr>
        <w:t>謂之瞽。」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孔子曰：「君子有三戒。少之時，血氣未定，戒之在色；及其壯也，血氣方剛，戒之在鬥；及其老也，血氣既衰，戒之在得。」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孔子曰：「君子有三畏：畏天命，畏大人，畏聖人之言。小人不知天命而不畏也，狎大人，侮聖人之言。」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孔子曰：「生而知之者，上也；學而知之者，次也；困而學之，又其次也。困而不學，民斯為下矣！」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孔子曰：「君子有九思：視思明，聽思聰，色思溫，貌思恭，言思忠，事思敬，疑思問，忿思難，見得思義。」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spacing w:line="360" w:lineRule="auto"/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《孟子》背誦：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宋体" w:cs="DFKai-SB"/>
          <w:b w:val="0"/>
          <w:bCs w:val="0"/>
          <w:sz w:val="28"/>
          <w:szCs w:val="28"/>
          <w:lang w:val="en-US" w:eastAsia="zh-CN"/>
        </w:rPr>
        <w:t>1、</w:t>
      </w:r>
      <w:r>
        <w:rPr>
          <w:rFonts w:hint="eastAsia" w:ascii="DFKai-SB" w:hAnsi="DFKai-SB" w:eastAsia="宋体" w:cs="DFKai-SB"/>
          <w:b w:val="0"/>
          <w:bCs w:val="0"/>
          <w:sz w:val="28"/>
          <w:szCs w:val="28"/>
          <w:lang w:eastAsia="zh-CN"/>
        </w:rPr>
        <w:t>&lt;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公孫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丑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上</w:t>
      </w:r>
      <w:r>
        <w:rPr>
          <w:rFonts w:hint="eastAsia" w:ascii="DFKai-SB" w:hAnsi="DFKai-SB" w:eastAsia="宋体" w:cs="DFKai-SB"/>
          <w:b w:val="0"/>
          <w:bCs w:val="0"/>
          <w:sz w:val="28"/>
          <w:szCs w:val="28"/>
          <w:lang w:eastAsia="zh-CN"/>
        </w:rPr>
        <w:t>&gt;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孟子曰：「人皆有不忍人之心。先王有不忍人之心，斯有不忍人之政矣。以不忍人之心，行不忍人之政，治天下可運之掌上。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所以謂人皆有不忍人之心者，今人乍見孺子將入於井，皆有怵惕惻隱之心。非所以內交於孺子之父母也，非所以要譽於鄉黨朋友也，非惡其聲而然也。由是觀之，無惻隱之心，非人也；無羞惡之心，非人也；無辭讓之心，非人也；無是非之心，非人也。惻隱之心，仁之端也；羞惡之心，義之端也；辭讓之心，禮之端也；是非之心，智之端也。人之有是四端也，猶其有四體也。有是四端而自謂不能者，自賊者也；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yellow"/>
        </w:rPr>
        <w:t>謂其君不能者，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賊其君者也。」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宋体" w:cs="DFKai-SB"/>
          <w:b w:val="0"/>
          <w:bCs w:val="0"/>
          <w:sz w:val="28"/>
          <w:szCs w:val="28"/>
          <w:lang w:val="en-US" w:eastAsia="zh-CN"/>
        </w:rPr>
        <w:t>2、</w:t>
      </w:r>
      <w:r>
        <w:rPr>
          <w:rFonts w:hint="eastAsia" w:ascii="DFKai-SB" w:hAnsi="DFKai-SB" w:eastAsia="宋体" w:cs="DFKai-SB"/>
          <w:b w:val="0"/>
          <w:bCs w:val="0"/>
          <w:sz w:val="28"/>
          <w:szCs w:val="28"/>
          <w:lang w:eastAsia="zh-CN"/>
        </w:rPr>
        <w:t>&lt;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滕文公上</w:t>
      </w:r>
      <w:r>
        <w:rPr>
          <w:rFonts w:hint="eastAsia" w:ascii="DFKai-SB" w:hAnsi="DFKai-SB" w:eastAsia="宋体" w:cs="DFKai-SB"/>
          <w:b w:val="0"/>
          <w:bCs w:val="0"/>
          <w:sz w:val="28"/>
          <w:szCs w:val="28"/>
          <w:lang w:eastAsia="zh-CN"/>
        </w:rPr>
        <w:t>&gt;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然則治天下獨可耕且為與？有大人之事，有小人之事。且一人之身，而百工之所為備。如必自為而後用之，是率天下而路也。故曰：或勞心，或勞力；勞心者治人，勞力者治於人；治於人者食人，治人者食於人：天下之通義也。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當堯之時，天下猶未平，洪水橫流，氾濫於天下。草木暢茂，禽獸繁殖，五穀不登，禽獸偪人。獸蹄鳥跡之道，交於中國。堯獨憂之，舉舜而敷治焉。舜使益掌火，益烈山澤而焚之，禽獸逃匿。禹疏九河，瀹濟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漯而注諸海；決汝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漢，排淮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泗，而注之江，然後中國可得而食也。當是時也，禹八年於外，三過其門而不入，雖欲耕，得乎？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宋体" w:cs="DFKai-SB"/>
          <w:b w:val="0"/>
          <w:bCs w:val="0"/>
          <w:sz w:val="28"/>
          <w:szCs w:val="28"/>
          <w:lang w:val="en-US" w:eastAsia="zh-CN"/>
        </w:rPr>
        <w:t>3、</w:t>
      </w:r>
      <w:r>
        <w:rPr>
          <w:rFonts w:hint="eastAsia" w:ascii="DFKai-SB" w:hAnsi="DFKai-SB" w:eastAsia="宋体" w:cs="DFKai-SB"/>
          <w:b w:val="0"/>
          <w:bCs w:val="0"/>
          <w:sz w:val="28"/>
          <w:szCs w:val="28"/>
          <w:lang w:eastAsia="zh-CN"/>
        </w:rPr>
        <w:t>&lt;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告子上</w:t>
      </w:r>
      <w:r>
        <w:rPr>
          <w:rFonts w:hint="eastAsia" w:ascii="DFKai-SB" w:hAnsi="DFKai-SB" w:eastAsia="宋体" w:cs="DFKai-SB"/>
          <w:b w:val="0"/>
          <w:bCs w:val="0"/>
          <w:sz w:val="28"/>
          <w:szCs w:val="28"/>
          <w:lang w:eastAsia="zh-CN"/>
        </w:rPr>
        <w:t>&gt;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告子曰：「性，猶湍水也，決諸東方則東流，決諸西方則西流。人性之無分於善不善也，猶水之無分於東西也。」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孟子曰：「水信無分於東西。無分於上下乎？人性之善也，猶水之就下也。人無有不善，水無有不下。今夫水，搏而躍之，可使過顙；激而行之，可使在山。是豈水之性哉？其勢則然也。人之可使為不善，其性亦猶是也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spacing w:line="360" w:lineRule="auto"/>
        <w:jc w:val="center"/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  <w:t>經文淺釋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spacing w:line="360" w:lineRule="auto"/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經文：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告子曰：「性，猶湍水也，決諸東方則東流，決諸西方則西流。人性之無分於善不善也，猶水之無分於東西也。」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孟子曰：「水信無分於東西。無分於上下乎？人性之善也，猶水之就下也。人無有不善，水無有不下。今夫水，搏而躍之，可使過顙；激而行之，可使在山。是豈水之性哉？其勢則然也。人之可使為不善，其性亦猶是也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淺釋：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告子曰：「性，猶湍水也，決諸東方則東流，決諸西方則西流。人性之無分於善不善也，猶水之無分於東西也。」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lang w:val="en-US" w:eastAsia="zh-CN"/>
        </w:rPr>
        <w:t>首先，這個湍，是水勢很急的意思，同時還有圜的意思，就是水勢很急但是又在迴旋的一個地方。決是掘口，把土弄開，那麼決諸東方則東流，就是在東邊掘開一個口子，那麼水就往東流。同樣的，在西邊掘開一個口子，那麼水就往西流。人性沒有分善與不善，就好像水沒有分東流還是西流。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孟子曰：「水信無分於東西。無分於上下乎？人性之善也，猶水之就下也。人無有不善，水無有不下。今夫水，搏而躍之，可使過顙；激而行之，可使在山。是豈水之性哉？其勢則然也。人之可使為不善，其性亦猶是也。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lang w:val="en-US" w:eastAsia="zh-CN"/>
        </w:rPr>
        <w:t>孟子說，水信無分與東西，這個信是誠實來說的意思，那麼就是水誠實來說沒有分東西，難道沒有分上下嗎？人性本善，就像水的自然規律都是向下流的。人沒有不善的，從出生開始，每個人都是善良的，就像水沒有不往下流的。那麼搏是拍打的意思，躍是跳躍的意思，就是說用手拍打水，或是用木板拍打，那麼水會跳躍起來，可是超過額頭。顙就是額頭的意思。激是激蕩，行是逆行，那麼用更大的力量激蕩它，使它逆行，可以使水到山上去。這難道是水的本性嗎？是外界的情勢使然啊。人也可以讓他做壞事，但是他的本性還是有善良的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E94B8D8"/>
    <w:multiLevelType w:val="singleLevel"/>
    <w:tmpl w:val="CE94B8D8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866BC7B"/>
    <w:multiLevelType w:val="singleLevel"/>
    <w:tmpl w:val="3866BC7B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BA3AFC2"/>
    <w:multiLevelType w:val="singleLevel"/>
    <w:tmpl w:val="7BA3AFC2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450F52"/>
    <w:rsid w:val="00B9724F"/>
    <w:rsid w:val="03B11E1F"/>
    <w:rsid w:val="06931A3E"/>
    <w:rsid w:val="092B2B9B"/>
    <w:rsid w:val="0F2A1117"/>
    <w:rsid w:val="21831AFC"/>
    <w:rsid w:val="272A535C"/>
    <w:rsid w:val="27491A57"/>
    <w:rsid w:val="2C282907"/>
    <w:rsid w:val="32126C43"/>
    <w:rsid w:val="332A3545"/>
    <w:rsid w:val="359A15CC"/>
    <w:rsid w:val="36772E69"/>
    <w:rsid w:val="37450DD2"/>
    <w:rsid w:val="390D04AD"/>
    <w:rsid w:val="445B2721"/>
    <w:rsid w:val="4A515F96"/>
    <w:rsid w:val="4B7C6366"/>
    <w:rsid w:val="4C595406"/>
    <w:rsid w:val="4DA53894"/>
    <w:rsid w:val="4E2E2E7F"/>
    <w:rsid w:val="6A450F52"/>
    <w:rsid w:val="7384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ind w:left="720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Office_11.1.0.8203_F1E327BC-269C-435d-A152-05C5408002CA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2019-01-09T04:46:00Z</dcterms:created>
  <dc:creator>Ann</dc:creator>
  <cp:lastModifiedBy>Ann</cp:lastModifiedBy>
  <dcterms:modified xsi:type="dcterms:W3CDTF">2019-01-10T11:44:05Z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2052-11.1.0.8203</vt:lpwstr>
  </property>
</Properties>
</file>