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E24E07" w14:textId="57B31D50" w:rsidR="002F7547" w:rsidRPr="002F7547" w:rsidRDefault="002F7547" w:rsidP="007B15EF">
      <w:pPr>
        <w:rPr>
          <w:b/>
          <w:bCs/>
          <w:sz w:val="36"/>
          <w:szCs w:val="36"/>
        </w:rPr>
      </w:pPr>
      <w:r w:rsidRPr="002F7547">
        <w:rPr>
          <w:b/>
          <w:bCs/>
          <w:sz w:val="36"/>
          <w:szCs w:val="36"/>
        </w:rPr>
        <w:t xml:space="preserve">My Takings from the </w:t>
      </w:r>
      <w:r w:rsidRPr="002F7547">
        <w:rPr>
          <w:b/>
          <w:bCs/>
          <w:sz w:val="36"/>
          <w:szCs w:val="36"/>
        </w:rPr>
        <w:t>Acting</w:t>
      </w:r>
      <w:r w:rsidRPr="002F7547">
        <w:rPr>
          <w:b/>
          <w:bCs/>
          <w:sz w:val="36"/>
          <w:szCs w:val="36"/>
        </w:rPr>
        <w:t xml:space="preserve"> Module and Assessment, including Process and Reflection</w:t>
      </w:r>
    </w:p>
    <w:p w14:paraId="1888E7F3" w14:textId="6F71AC0C" w:rsidR="007B15EF" w:rsidRDefault="007B15EF" w:rsidP="007B15EF">
      <w:r>
        <w:t xml:space="preserve">This module has taught me how to take a stimulus and develop character and voice from it, using both research and script, and several acting techniques often influenced by key practitioners. I began this process feeling less confident in voice than I did in movement and struggling to embody more naturalistic characters. I was right to predict these areas would be my main struggles but over time I found myself slipping into the ‘right mindset’ easier and faster each task. I was immediately thrown into facing my voice inhibitions during the module introduction where we were set some independent tasks. One that really stood out to me was finding, rehearsing, and performing a political speech. At first I spoke in the typical ‘speech’ voice, which resulted in an unnatural, disconnected sound that I would struggle to build emotion onto if I continued in that way. I was advised to try making eye contact with the ‘audience’. This gesture helped connect the subconscious mind, that told me it was just a casual conversation, to the voice, allowing me to speak more passionately but less performatively. </w:t>
      </w:r>
    </w:p>
    <w:p w14:paraId="57370528" w14:textId="1930AB5F" w:rsidR="007B15EF" w:rsidRDefault="007B15EF" w:rsidP="007B15EF">
      <w:r>
        <w:t xml:space="preserve">Another method of grounding the voice we tried later into the module was </w:t>
      </w:r>
      <w:r w:rsidR="00F90080">
        <w:t>lying</w:t>
      </w:r>
      <w:r>
        <w:t xml:space="preserve"> in a semi-supine position when rehearsing lines. This position is a key fundamental of the Alexander Technique </w:t>
      </w:r>
      <w:r w:rsidR="00977027">
        <w:t xml:space="preserve">(Backstage, 2023) </w:t>
      </w:r>
      <w:r>
        <w:t xml:space="preserve">and allows the spine to realign and thus breathing become more natural. By breathing ‘further into my body’ it removed any vocal affections. I used this technique when rehearsing for the assessment group scenes where I played Masha Prozorov from </w:t>
      </w:r>
      <w:r w:rsidR="00C06A4B">
        <w:t xml:space="preserve">a translation of </w:t>
      </w:r>
      <w:r>
        <w:t>Three Sisters by Anton Chekhov.</w:t>
      </w:r>
      <w:r w:rsidR="005B47AD">
        <w:t xml:space="preserve"> (Methuen Drama, </w:t>
      </w:r>
      <w:r w:rsidR="00CC440C">
        <w:t>2025)</w:t>
      </w:r>
      <w:r>
        <w:t xml:space="preserve"> As she is a wealthier young woman from the 1890s, I kept feeling the instinctive need to speak as Masha with more refinery and control, but this just resulted in my pitch getting higher and my emotion sounding - and feeling - disconnected. While I still struggled translating the effects of the semi-supine position into my scenes, I believe I did improve more each time by using this method. I aim to continue to explore the advantages of the Alexander </w:t>
      </w:r>
      <w:r w:rsidR="00977027">
        <w:t>T</w:t>
      </w:r>
      <w:r>
        <w:t xml:space="preserve">echnique moving forward to see if the improvement correlated. </w:t>
      </w:r>
    </w:p>
    <w:p w14:paraId="74CDABFD" w14:textId="65C25A0E" w:rsidR="007B15EF" w:rsidRDefault="007B15EF" w:rsidP="007B15EF">
      <w:r>
        <w:t>A further task was to share the monologues we auditioned for the university with. Unfortunately, I found that I no longer resonated with the character of my chosen monologue which threw me off the pace and delivery. Finding ways to connect to a character I may not necessarily relate to was something I have really worked on throughout this module. For example, as a class we collectively  chose a photo of a man to be the three sisters’ late father which gave me something to picture when Masha spoke of him. I also quizzed myself using Uta Hagen’s 9 character questions</w:t>
      </w:r>
      <w:r w:rsidR="00E73DC4">
        <w:t xml:space="preserve"> (</w:t>
      </w:r>
      <w:r w:rsidR="001E1B93">
        <w:t>Wiley</w:t>
      </w:r>
      <w:r w:rsidR="00997ECA">
        <w:t xml:space="preserve">, </w:t>
      </w:r>
      <w:r w:rsidR="00A543BF">
        <w:t>2008)</w:t>
      </w:r>
      <w:r>
        <w:t xml:space="preserve">. Tapping into my characters wants and intentions helped with both emotional connection when delivering lines and surprisingly voice. I believe this was because as I felt more in tune with Masha mentally, her physicalisation also came through, especially with how she spoke. </w:t>
      </w:r>
    </w:p>
    <w:p w14:paraId="114C0EA9" w14:textId="3DAED2E5" w:rsidR="007B15EF" w:rsidRDefault="007B15EF" w:rsidP="007B15EF">
      <w:r>
        <w:t xml:space="preserve">I felt I really prepared for my role as Masha by creating a strong foundation based on research, mood boarding and costume. When reading Three Sisters I focused on the sense of a warm sort of futility and I hoped to mirror that through my acting. For example, latching on to this feeling really helped me in a scene where Masha said “it makes no difference anymore” as I could connect this line to some of the plays contrasting themes of staying static versus grasping life. Masha’s conflicting feelings over her husband and another man really reflected the play’s messages and I aimed to embody this all through her desperation. I also found improvement in my confidence in the portrayal of the character when wearing costume. </w:t>
      </w:r>
      <w:r w:rsidR="002C4707">
        <w:t xml:space="preserve">(See Appendix 1) </w:t>
      </w:r>
      <w:r>
        <w:t>The weight and material of the dress promoted elegance and determination to me while the colour and length showed Masha’s more reserved, secretive</w:t>
      </w:r>
      <w:r w:rsidR="00F70FDD">
        <w:t xml:space="preserve"> </w:t>
      </w:r>
      <w:r>
        <w:t xml:space="preserve">nature. I would like to think this was seen through my physical performance but </w:t>
      </w:r>
      <w:r>
        <w:lastRenderedPageBreak/>
        <w:t xml:space="preserve">want to continue working on my posture and stance so I adapt my own to different characters more naturally. </w:t>
      </w:r>
    </w:p>
    <w:p w14:paraId="2DDB25B7" w14:textId="3F20FF34" w:rsidR="007B15EF" w:rsidRDefault="007B15EF" w:rsidP="007B15EF">
      <w:r>
        <w:t xml:space="preserve">My given monologue for the assessment had a similar character when it came to location and time period. This helped me when researching and physicalising the character but I often found myself blending Nina from The Seagull </w:t>
      </w:r>
      <w:r w:rsidR="00BA31B5">
        <w:t>(</w:t>
      </w:r>
      <w:r w:rsidR="00CB3EBC">
        <w:t xml:space="preserve">Chekhov, 1895) </w:t>
      </w:r>
      <w:r>
        <w:t xml:space="preserve">with Masha. I don’t believe I cemented Nina in my head enough. For example, for Masha I used Maslow’s </w:t>
      </w:r>
      <w:r w:rsidR="00140E19">
        <w:t>H</w:t>
      </w:r>
      <w:r>
        <w:t>ierarchy</w:t>
      </w:r>
      <w:r w:rsidR="00CF6647">
        <w:t xml:space="preserve"> (</w:t>
      </w:r>
      <w:r w:rsidR="001B070F">
        <w:t xml:space="preserve">See Appendix </w:t>
      </w:r>
      <w:r w:rsidR="00140E19">
        <w:t>2)</w:t>
      </w:r>
      <w:r>
        <w:t xml:space="preserve"> to explore her needs and thus her levels of confidence and general attitude but failed to do so for Nina as I focused more on her emotion. I used uniting and anchors as I aimed to show three main states of sadness, weariness and self-development or hope. As it was a short piece it was tricky to transition through all these feelings so I split the text into units </w:t>
      </w:r>
      <w:r w:rsidR="00F90080">
        <w:t xml:space="preserve">(See Appendix </w:t>
      </w:r>
      <w:r w:rsidR="00140E19">
        <w:t>3</w:t>
      </w:r>
      <w:r w:rsidR="00F90080">
        <w:t xml:space="preserve">) </w:t>
      </w:r>
      <w:r>
        <w:t xml:space="preserve">and employed physical anchors to help with the portrayal of intention. For instance, repeatedly ‘catching sight’ of the chair motivated my desire to sit down, helping me transition from frustrated sadness into exhaustion. Uniting has also helped me when learning lines, which was especially helpful when tackling larger chunks for the group scenes, that often contained similar triplet phrases. </w:t>
      </w:r>
    </w:p>
    <w:p w14:paraId="4B42996C" w14:textId="5EC007CB" w:rsidR="007B15EF" w:rsidRDefault="007B15EF" w:rsidP="007B15EF">
      <w:r>
        <w:t xml:space="preserve">Following on from my struggles with grounding voice and having only explored these semi-similar </w:t>
      </w:r>
      <w:r w:rsidR="00B66212">
        <w:t xml:space="preserve">Chekhov </w:t>
      </w:r>
      <w:r>
        <w:t>characters, I decided to go in a more supernatural route for my chosen monologue. I looked at one of Death’s speeches from The Book Thief</w:t>
      </w:r>
      <w:r w:rsidR="00755191">
        <w:t xml:space="preserve"> (</w:t>
      </w:r>
      <w:r w:rsidR="001D45F9">
        <w:t>Picoult, 2022)</w:t>
      </w:r>
      <w:r w:rsidR="00993AC9">
        <w:t xml:space="preserve"> </w:t>
      </w:r>
      <w:r>
        <w:t>. This is an incredibly interesting character to me as they go against all preconceived ideas. While one may expect Death to be cynical and hardy,</w:t>
      </w:r>
      <w:r w:rsidR="00993AC9">
        <w:t xml:space="preserve"> the</w:t>
      </w:r>
      <w:r>
        <w:t xml:space="preserve"> </w:t>
      </w:r>
      <w:r w:rsidR="00993AC9">
        <w:t xml:space="preserve">original writer </w:t>
      </w:r>
      <w:r>
        <w:t>Zusak wrote Death to be gentle and even wary of humans. I aimed to show the character’s quirks through a softer tone highlighting innocence, and a questioning intonation and gestures of the head to show their curiosity and tender excitement. Following the assessment I felt confident in my performance but wished I had explored more movement and levels to mirror the abstract character and provide more playfulness.</w:t>
      </w:r>
    </w:p>
    <w:p w14:paraId="35DE60D3" w14:textId="51369EB6" w:rsidR="00CF7E6C" w:rsidRDefault="007B15EF" w:rsidP="007B15EF">
      <w:r>
        <w:t xml:space="preserve">While I’m happy with how I progressed through this module, especially when it came to reflection </w:t>
      </w:r>
      <w:r w:rsidR="00E96F2E" w:rsidRPr="00E96F2E">
        <w:t>(often using Kolb’s Reflective Cycle</w:t>
      </w:r>
      <w:r w:rsidR="00D239D6">
        <w:t xml:space="preserve"> (See Appendix </w:t>
      </w:r>
      <w:r w:rsidR="00140E19">
        <w:t>4</w:t>
      </w:r>
      <w:r w:rsidR="00D239D6">
        <w:t>)</w:t>
      </w:r>
      <w:r w:rsidR="00E96F2E" w:rsidRPr="00E96F2E">
        <w:t xml:space="preserve">) </w:t>
      </w:r>
      <w:r>
        <w:t>and developing character, I would love to keep building my self-confidence and how I interact with other actors during performance. I want to trust my instincts more, may that be in general terms like how I approach a scene or may that be following the instinctual act of putting my hand on the arm of another character. A class member has mentioned how they often contradict themselves when delivering their lines and this led me to realise I can sometimes do the same physically which can appear clunky and block the natural release of a character’s emotions. I was most pleased with my group scenes during the assessment as I believe I managed to avoid this and play off my peers to keep the energy more consistent. Lack of delivery energy has been something I’ve really struggled with. Performing with as high energy as possible, similar to that of a soap opera, in one rehearsal helped me improve on this so I continued this practice independently leading up to the assessment and plan to continue to do so in my future work.</w:t>
      </w:r>
    </w:p>
    <w:p w14:paraId="746516E3" w14:textId="57DB1BA3" w:rsidR="00336E67" w:rsidRPr="00271258" w:rsidRDefault="00336E67" w:rsidP="007B15EF">
      <w:pPr>
        <w:rPr>
          <w:b/>
          <w:bCs/>
          <w:sz w:val="28"/>
          <w:szCs w:val="28"/>
        </w:rPr>
      </w:pPr>
      <w:r w:rsidRPr="00271258">
        <w:rPr>
          <w:b/>
          <w:bCs/>
          <w:sz w:val="28"/>
          <w:szCs w:val="28"/>
        </w:rPr>
        <w:t>Bibliography</w:t>
      </w:r>
    </w:p>
    <w:p w14:paraId="57667786" w14:textId="4ABEA5DF" w:rsidR="009D4215" w:rsidRDefault="009D4215">
      <w:r>
        <w:t>Backstage. (</w:t>
      </w:r>
      <w:r w:rsidR="003F4C36">
        <w:t xml:space="preserve">2023) </w:t>
      </w:r>
      <w:r w:rsidR="00101F25" w:rsidRPr="00457290">
        <w:rPr>
          <w:i/>
          <w:iCs/>
        </w:rPr>
        <w:t xml:space="preserve">The </w:t>
      </w:r>
      <w:r w:rsidR="00101F25" w:rsidRPr="00457290">
        <w:rPr>
          <w:i/>
          <w:iCs/>
        </w:rPr>
        <w:t>a</w:t>
      </w:r>
      <w:r w:rsidR="00101F25" w:rsidRPr="00457290">
        <w:rPr>
          <w:i/>
          <w:iCs/>
        </w:rPr>
        <w:t xml:space="preserve">lexander </w:t>
      </w:r>
      <w:r w:rsidR="00101F25" w:rsidRPr="00457290">
        <w:rPr>
          <w:i/>
          <w:iCs/>
        </w:rPr>
        <w:t>t</w:t>
      </w:r>
      <w:r w:rsidR="00101F25" w:rsidRPr="00457290">
        <w:rPr>
          <w:i/>
          <w:iCs/>
        </w:rPr>
        <w:t xml:space="preserve">echnique: </w:t>
      </w:r>
      <w:r w:rsidR="00101F25" w:rsidRPr="00457290">
        <w:rPr>
          <w:i/>
          <w:iCs/>
        </w:rPr>
        <w:t>a</w:t>
      </w:r>
      <w:r w:rsidR="00101F25" w:rsidRPr="00457290">
        <w:rPr>
          <w:i/>
          <w:iCs/>
        </w:rPr>
        <w:t xml:space="preserve">n </w:t>
      </w:r>
      <w:r w:rsidR="00101F25" w:rsidRPr="00457290">
        <w:rPr>
          <w:i/>
          <w:iCs/>
        </w:rPr>
        <w:t>a</w:t>
      </w:r>
      <w:r w:rsidR="00101F25" w:rsidRPr="00457290">
        <w:rPr>
          <w:i/>
          <w:iCs/>
        </w:rPr>
        <w:t xml:space="preserve">ctor’s </w:t>
      </w:r>
      <w:r w:rsidR="00101F25" w:rsidRPr="00457290">
        <w:rPr>
          <w:i/>
          <w:iCs/>
        </w:rPr>
        <w:t>g</w:t>
      </w:r>
      <w:r w:rsidR="00101F25" w:rsidRPr="00457290">
        <w:rPr>
          <w:i/>
          <w:iCs/>
        </w:rPr>
        <w:t>uide</w:t>
      </w:r>
      <w:r w:rsidR="00101F25" w:rsidRPr="00457290">
        <w:rPr>
          <w:i/>
          <w:iCs/>
        </w:rPr>
        <w:t>.</w:t>
      </w:r>
      <w:r w:rsidR="00101F25">
        <w:t xml:space="preserve"> </w:t>
      </w:r>
      <w:r w:rsidR="003F4C36">
        <w:t xml:space="preserve">Available at: </w:t>
      </w:r>
      <w:hyperlink r:id="rId4" w:history="1">
        <w:r w:rsidR="005570B7" w:rsidRPr="00F731B8">
          <w:rPr>
            <w:rStyle w:val="Hyperlink"/>
          </w:rPr>
          <w:t>https://www.backstage.com/magazine/article/alexander-technique-acting-exercises-1052/</w:t>
        </w:r>
      </w:hyperlink>
      <w:r w:rsidR="005570B7">
        <w:t xml:space="preserve"> (Accessed </w:t>
      </w:r>
      <w:r w:rsidR="00082527">
        <w:t xml:space="preserve">October 2025 </w:t>
      </w:r>
      <w:r w:rsidR="00F70FDD">
        <w:t>onwards).</w:t>
      </w:r>
    </w:p>
    <w:p w14:paraId="542663A4" w14:textId="591D62DC" w:rsidR="00755191" w:rsidRDefault="00755191">
      <w:r w:rsidRPr="00755191">
        <w:t xml:space="preserve">Chekhov, A. (1895) </w:t>
      </w:r>
      <w:r w:rsidRPr="00457290">
        <w:rPr>
          <w:i/>
          <w:iCs/>
        </w:rPr>
        <w:t>The seagull</w:t>
      </w:r>
      <w:r w:rsidRPr="00755191">
        <w:t>. Russia: Chekhov.</w:t>
      </w:r>
    </w:p>
    <w:p w14:paraId="16D8BCFE" w14:textId="1F3F22CA" w:rsidR="00C53F13" w:rsidRDefault="00522EF7">
      <w:r>
        <w:t>Hagen</w:t>
      </w:r>
      <w:r w:rsidR="00560DB7">
        <w:t>,</w:t>
      </w:r>
      <w:r>
        <w:t xml:space="preserve"> U</w:t>
      </w:r>
      <w:r w:rsidR="00560DB7">
        <w:t>.</w:t>
      </w:r>
      <w:r>
        <w:t xml:space="preserve"> (2008) </w:t>
      </w:r>
      <w:r w:rsidRPr="00C900C7">
        <w:rPr>
          <w:i/>
          <w:iCs/>
        </w:rPr>
        <w:t>Respect for acting</w:t>
      </w:r>
      <w:r w:rsidR="00560DB7">
        <w:t xml:space="preserve">. </w:t>
      </w:r>
      <w:r w:rsidR="00C900C7">
        <w:t xml:space="preserve">New Jersey: Wiley. </w:t>
      </w:r>
    </w:p>
    <w:p w14:paraId="0D5A8F52" w14:textId="23B718C6" w:rsidR="00271258" w:rsidRDefault="00271258">
      <w:r w:rsidRPr="00271258">
        <w:t>McDonald, T A and Picoult, J. (2022) The book thief. Bolton: Picoult.</w:t>
      </w:r>
    </w:p>
    <w:p w14:paraId="0ADE7783" w14:textId="00E993AA" w:rsidR="00CC440C" w:rsidRDefault="00C53F13">
      <w:r>
        <w:lastRenderedPageBreak/>
        <w:t xml:space="preserve">Mullarkey, R. </w:t>
      </w:r>
      <w:r w:rsidR="00942EE0">
        <w:t xml:space="preserve">(2025) </w:t>
      </w:r>
      <w:r w:rsidR="00942EE0" w:rsidRPr="0056104C">
        <w:rPr>
          <w:i/>
          <w:iCs/>
        </w:rPr>
        <w:t>Three sister</w:t>
      </w:r>
      <w:r w:rsidR="001017F3" w:rsidRPr="0056104C">
        <w:rPr>
          <w:i/>
          <w:iCs/>
        </w:rPr>
        <w:t>s,</w:t>
      </w:r>
      <w:r w:rsidR="00CE604D" w:rsidRPr="0056104C">
        <w:rPr>
          <w:i/>
          <w:iCs/>
        </w:rPr>
        <w:t xml:space="preserve"> a drama in four acts</w:t>
      </w:r>
      <w:r w:rsidR="00C06A4B">
        <w:t xml:space="preserve">. </w:t>
      </w:r>
      <w:r w:rsidR="001017F3">
        <w:t xml:space="preserve">London: Methuen </w:t>
      </w:r>
      <w:r w:rsidR="0056104C">
        <w:t>Drama.</w:t>
      </w:r>
    </w:p>
    <w:p w14:paraId="424296DD" w14:textId="77777777" w:rsidR="007F14AA" w:rsidRDefault="007F14AA">
      <w:pPr>
        <w:rPr>
          <w:b/>
          <w:bCs/>
          <w:sz w:val="28"/>
          <w:szCs w:val="28"/>
        </w:rPr>
      </w:pPr>
    </w:p>
    <w:p w14:paraId="691BB05F" w14:textId="454D51A9" w:rsidR="00B20F20" w:rsidRPr="00271258" w:rsidRDefault="00B20F20">
      <w:pPr>
        <w:rPr>
          <w:b/>
          <w:bCs/>
          <w:sz w:val="28"/>
          <w:szCs w:val="28"/>
        </w:rPr>
      </w:pPr>
      <w:r w:rsidRPr="00271258">
        <w:rPr>
          <w:b/>
          <w:bCs/>
          <w:sz w:val="28"/>
          <w:szCs w:val="28"/>
        </w:rPr>
        <w:t xml:space="preserve">Appendix </w:t>
      </w:r>
    </w:p>
    <w:p w14:paraId="5F766B93" w14:textId="02D1D066" w:rsidR="002C4707" w:rsidRDefault="002C4707">
      <w:r>
        <w:t>Appendix 1</w:t>
      </w:r>
      <w:r w:rsidR="009371EF">
        <w:t xml:space="preserve"> (Costume)</w:t>
      </w:r>
    </w:p>
    <w:p w14:paraId="125445C6" w14:textId="0DAD0CEA" w:rsidR="002C4707" w:rsidRDefault="009371EF">
      <w:r>
        <w:rPr>
          <w:noProof/>
        </w:rPr>
        <w:drawing>
          <wp:inline distT="0" distB="0" distL="0" distR="0" wp14:anchorId="46C1AFBD" wp14:editId="42ADA778">
            <wp:extent cx="2443162" cy="3257550"/>
            <wp:effectExtent l="0" t="0" r="0" b="0"/>
            <wp:docPr id="9138321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445535" cy="3260714"/>
                    </a:xfrm>
                    <a:prstGeom prst="rect">
                      <a:avLst/>
                    </a:prstGeom>
                    <a:noFill/>
                  </pic:spPr>
                </pic:pic>
              </a:graphicData>
            </a:graphic>
          </wp:inline>
        </w:drawing>
      </w:r>
    </w:p>
    <w:p w14:paraId="5D1D79CB" w14:textId="77777777" w:rsidR="002C4707" w:rsidRDefault="002C4707"/>
    <w:p w14:paraId="49EB61A6" w14:textId="1CA4E270" w:rsidR="00140E19" w:rsidRDefault="00140E19">
      <w:r w:rsidRPr="00140E19">
        <w:t xml:space="preserve">Appendix </w:t>
      </w:r>
      <w:r>
        <w:t>2</w:t>
      </w:r>
      <w:r w:rsidRPr="00140E19">
        <w:t xml:space="preserve"> (Maslow’s Hierarchy)</w:t>
      </w:r>
    </w:p>
    <w:p w14:paraId="57A86D32" w14:textId="72E4589D" w:rsidR="003325C3" w:rsidRDefault="003325C3">
      <w:r>
        <w:rPr>
          <w:noProof/>
        </w:rPr>
        <w:drawing>
          <wp:inline distT="0" distB="0" distL="0" distR="0" wp14:anchorId="5BA93A6A" wp14:editId="38DDDB1D">
            <wp:extent cx="3055230" cy="2160000"/>
            <wp:effectExtent l="0" t="0" r="0" b="0"/>
            <wp:docPr id="211649787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055230" cy="2160000"/>
                    </a:xfrm>
                    <a:prstGeom prst="rect">
                      <a:avLst/>
                    </a:prstGeom>
                    <a:noFill/>
                  </pic:spPr>
                </pic:pic>
              </a:graphicData>
            </a:graphic>
          </wp:inline>
        </w:drawing>
      </w:r>
    </w:p>
    <w:p w14:paraId="41DD4BF5" w14:textId="77777777" w:rsidR="00140E19" w:rsidRDefault="00140E19"/>
    <w:p w14:paraId="630C6A62" w14:textId="77777777" w:rsidR="00140E19" w:rsidRDefault="00140E19"/>
    <w:p w14:paraId="0F7B7F78" w14:textId="77777777" w:rsidR="00140E19" w:rsidRDefault="00140E19"/>
    <w:p w14:paraId="179B5D37" w14:textId="77777777" w:rsidR="00140E19" w:rsidRDefault="00140E19"/>
    <w:p w14:paraId="747B4A49" w14:textId="77777777" w:rsidR="003325C3" w:rsidRDefault="003325C3"/>
    <w:p w14:paraId="4D73F9BD" w14:textId="670CE35D" w:rsidR="00B20F20" w:rsidRDefault="00B20F20">
      <w:r>
        <w:lastRenderedPageBreak/>
        <w:t xml:space="preserve">Appendix </w:t>
      </w:r>
      <w:r w:rsidR="00140E19">
        <w:t>3</w:t>
      </w:r>
      <w:r w:rsidR="00251C64">
        <w:t xml:space="preserve"> (Uniting)</w:t>
      </w:r>
    </w:p>
    <w:p w14:paraId="3239409B" w14:textId="7247EFF1" w:rsidR="00B20F20" w:rsidRDefault="00DF45AF">
      <w:r>
        <w:rPr>
          <w:noProof/>
        </w:rPr>
        <w:drawing>
          <wp:inline distT="0" distB="0" distL="0" distR="0" wp14:anchorId="32A2D59C" wp14:editId="0FA2674B">
            <wp:extent cx="2686050" cy="3581400"/>
            <wp:effectExtent l="0" t="0" r="0" b="0"/>
            <wp:docPr id="51306224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688386" cy="3584515"/>
                    </a:xfrm>
                    <a:prstGeom prst="rect">
                      <a:avLst/>
                    </a:prstGeom>
                    <a:noFill/>
                  </pic:spPr>
                </pic:pic>
              </a:graphicData>
            </a:graphic>
          </wp:inline>
        </w:drawing>
      </w:r>
    </w:p>
    <w:p w14:paraId="061629A8" w14:textId="6FEB3EA9" w:rsidR="00140E19" w:rsidRDefault="00140E19"/>
    <w:p w14:paraId="3D49299D" w14:textId="77777777" w:rsidR="00140E19" w:rsidRDefault="00140E19"/>
    <w:p w14:paraId="6FC241FD" w14:textId="01931082" w:rsidR="00CF7E6C" w:rsidRDefault="00DF45AF">
      <w:r>
        <w:t xml:space="preserve">Appendix </w:t>
      </w:r>
      <w:r w:rsidR="00140E19">
        <w:t>4</w:t>
      </w:r>
      <w:r w:rsidR="009371EF">
        <w:t xml:space="preserve"> (Kolb’s Reflective Cycle)</w:t>
      </w:r>
    </w:p>
    <w:p w14:paraId="306AF24F" w14:textId="5F793354" w:rsidR="00837B8A" w:rsidRDefault="00251C64">
      <w:r>
        <w:rPr>
          <w:noProof/>
        </w:rPr>
        <w:drawing>
          <wp:anchor distT="0" distB="0" distL="114300" distR="114300" simplePos="0" relativeHeight="251658240" behindDoc="1" locked="0" layoutInCell="1" allowOverlap="1" wp14:anchorId="611FC875" wp14:editId="3E78C25C">
            <wp:simplePos x="0" y="0"/>
            <wp:positionH relativeFrom="margin">
              <wp:posOffset>22860</wp:posOffset>
            </wp:positionH>
            <wp:positionV relativeFrom="paragraph">
              <wp:posOffset>27305</wp:posOffset>
            </wp:positionV>
            <wp:extent cx="2423160" cy="3230880"/>
            <wp:effectExtent l="0" t="0" r="0" b="7620"/>
            <wp:wrapNone/>
            <wp:docPr id="20915501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23160" cy="3230880"/>
                    </a:xfrm>
                    <a:prstGeom prst="rect">
                      <a:avLst/>
                    </a:prstGeom>
                    <a:noFill/>
                  </pic:spPr>
                </pic:pic>
              </a:graphicData>
            </a:graphic>
            <wp14:sizeRelH relativeFrom="margin">
              <wp14:pctWidth>0</wp14:pctWidth>
            </wp14:sizeRelH>
            <wp14:sizeRelV relativeFrom="margin">
              <wp14:pctHeight>0</wp14:pctHeight>
            </wp14:sizeRelV>
          </wp:anchor>
        </w:drawing>
      </w:r>
    </w:p>
    <w:p w14:paraId="47B9C326" w14:textId="7917D466" w:rsidR="00781CCF" w:rsidRDefault="00781CCF"/>
    <w:p w14:paraId="22723B58" w14:textId="571D5310" w:rsidR="00781CCF" w:rsidRDefault="00781CCF"/>
    <w:p w14:paraId="31AA6EC2" w14:textId="33E876ED" w:rsidR="00781CCF" w:rsidRDefault="00781CCF"/>
    <w:p w14:paraId="16B28B7B" w14:textId="73F4DA3F" w:rsidR="00781CCF" w:rsidRDefault="00781CCF"/>
    <w:p w14:paraId="6C257499" w14:textId="5E3A35A9" w:rsidR="00781CCF" w:rsidRDefault="00781CCF"/>
    <w:p w14:paraId="6791E7DA" w14:textId="0CB28EF4" w:rsidR="00781CCF" w:rsidRDefault="00781CCF"/>
    <w:p w14:paraId="3A3513CC" w14:textId="77777777" w:rsidR="00251C64" w:rsidRDefault="00251C64"/>
    <w:p w14:paraId="6179668F" w14:textId="77777777" w:rsidR="00251C64" w:rsidRDefault="00251C64"/>
    <w:p w14:paraId="1AB49F24" w14:textId="77777777" w:rsidR="00781CCF" w:rsidRDefault="00781CCF"/>
    <w:p w14:paraId="11873320" w14:textId="77777777" w:rsidR="00781CCF" w:rsidRDefault="00781CCF"/>
    <w:p w14:paraId="2A252458" w14:textId="77777777" w:rsidR="00781CCF" w:rsidRDefault="00781CCF"/>
    <w:p w14:paraId="6D90EDFE" w14:textId="77777777" w:rsidR="00781CCF" w:rsidRDefault="00781CCF"/>
    <w:sectPr w:rsidR="00781C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155C"/>
    <w:rsid w:val="00015491"/>
    <w:rsid w:val="00016FA2"/>
    <w:rsid w:val="000277CD"/>
    <w:rsid w:val="00042040"/>
    <w:rsid w:val="00061099"/>
    <w:rsid w:val="00082527"/>
    <w:rsid w:val="000B34FD"/>
    <w:rsid w:val="001017F3"/>
    <w:rsid w:val="00101F25"/>
    <w:rsid w:val="00140E19"/>
    <w:rsid w:val="00141B59"/>
    <w:rsid w:val="00181324"/>
    <w:rsid w:val="00182B65"/>
    <w:rsid w:val="001A6440"/>
    <w:rsid w:val="001A74C8"/>
    <w:rsid w:val="001B070F"/>
    <w:rsid w:val="001B1354"/>
    <w:rsid w:val="001C699E"/>
    <w:rsid w:val="001D45F9"/>
    <w:rsid w:val="001E1B93"/>
    <w:rsid w:val="002336EB"/>
    <w:rsid w:val="00251C64"/>
    <w:rsid w:val="00271258"/>
    <w:rsid w:val="002C4707"/>
    <w:rsid w:val="002F7547"/>
    <w:rsid w:val="00303A00"/>
    <w:rsid w:val="003222BC"/>
    <w:rsid w:val="0032305B"/>
    <w:rsid w:val="003325C3"/>
    <w:rsid w:val="00336E67"/>
    <w:rsid w:val="00354EFC"/>
    <w:rsid w:val="003D78E1"/>
    <w:rsid w:val="003E6F42"/>
    <w:rsid w:val="003F4C36"/>
    <w:rsid w:val="00417A1B"/>
    <w:rsid w:val="00420B32"/>
    <w:rsid w:val="00427DFE"/>
    <w:rsid w:val="004465B8"/>
    <w:rsid w:val="00457290"/>
    <w:rsid w:val="00522EF7"/>
    <w:rsid w:val="005570B7"/>
    <w:rsid w:val="00560DB7"/>
    <w:rsid w:val="0056104C"/>
    <w:rsid w:val="005B47AD"/>
    <w:rsid w:val="005D4BAB"/>
    <w:rsid w:val="005F7DEE"/>
    <w:rsid w:val="00634787"/>
    <w:rsid w:val="00644FF3"/>
    <w:rsid w:val="00661806"/>
    <w:rsid w:val="00677CCB"/>
    <w:rsid w:val="00695410"/>
    <w:rsid w:val="00697184"/>
    <w:rsid w:val="006E7AE2"/>
    <w:rsid w:val="006F7137"/>
    <w:rsid w:val="00720C15"/>
    <w:rsid w:val="00755191"/>
    <w:rsid w:val="00772019"/>
    <w:rsid w:val="00773B79"/>
    <w:rsid w:val="00781CCF"/>
    <w:rsid w:val="00787D02"/>
    <w:rsid w:val="007B15EF"/>
    <w:rsid w:val="007B2DB0"/>
    <w:rsid w:val="007D1335"/>
    <w:rsid w:val="007F14AA"/>
    <w:rsid w:val="00837B8A"/>
    <w:rsid w:val="00896CF9"/>
    <w:rsid w:val="008C69CE"/>
    <w:rsid w:val="009371EF"/>
    <w:rsid w:val="00942EE0"/>
    <w:rsid w:val="00954364"/>
    <w:rsid w:val="0097121E"/>
    <w:rsid w:val="00977027"/>
    <w:rsid w:val="00993AC9"/>
    <w:rsid w:val="009967A5"/>
    <w:rsid w:val="00997ECA"/>
    <w:rsid w:val="009D4215"/>
    <w:rsid w:val="009F0BEC"/>
    <w:rsid w:val="00A543BF"/>
    <w:rsid w:val="00A550F9"/>
    <w:rsid w:val="00A62EE4"/>
    <w:rsid w:val="00AF110B"/>
    <w:rsid w:val="00AF7FF2"/>
    <w:rsid w:val="00B20F20"/>
    <w:rsid w:val="00B22209"/>
    <w:rsid w:val="00B3155C"/>
    <w:rsid w:val="00B66212"/>
    <w:rsid w:val="00B7486C"/>
    <w:rsid w:val="00BA31B5"/>
    <w:rsid w:val="00BE1C9F"/>
    <w:rsid w:val="00C06A4B"/>
    <w:rsid w:val="00C25A6B"/>
    <w:rsid w:val="00C53F13"/>
    <w:rsid w:val="00C900C7"/>
    <w:rsid w:val="00CB3EBC"/>
    <w:rsid w:val="00CC1620"/>
    <w:rsid w:val="00CC440C"/>
    <w:rsid w:val="00CE604D"/>
    <w:rsid w:val="00CE7050"/>
    <w:rsid w:val="00CF1015"/>
    <w:rsid w:val="00CF51ED"/>
    <w:rsid w:val="00CF6647"/>
    <w:rsid w:val="00CF7E6C"/>
    <w:rsid w:val="00D1581D"/>
    <w:rsid w:val="00D239D6"/>
    <w:rsid w:val="00D94B42"/>
    <w:rsid w:val="00DC45D0"/>
    <w:rsid w:val="00DD2FE4"/>
    <w:rsid w:val="00DF45AF"/>
    <w:rsid w:val="00E40F73"/>
    <w:rsid w:val="00E42CA0"/>
    <w:rsid w:val="00E50300"/>
    <w:rsid w:val="00E5105B"/>
    <w:rsid w:val="00E73DC4"/>
    <w:rsid w:val="00E824BC"/>
    <w:rsid w:val="00E94BEC"/>
    <w:rsid w:val="00E96F2E"/>
    <w:rsid w:val="00EA510B"/>
    <w:rsid w:val="00EF4099"/>
    <w:rsid w:val="00F70FDD"/>
    <w:rsid w:val="00F841A9"/>
    <w:rsid w:val="00F900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99BA0B"/>
  <w15:chartTrackingRefBased/>
  <w15:docId w15:val="{8DFC88E4-0693-4204-AE7B-96E9DF6587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155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3155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3155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3155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3155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315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15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15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15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155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3155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3155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3155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3155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315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15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15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155C"/>
    <w:rPr>
      <w:rFonts w:eastAsiaTheme="majorEastAsia" w:cstheme="majorBidi"/>
      <w:color w:val="272727" w:themeColor="text1" w:themeTint="D8"/>
    </w:rPr>
  </w:style>
  <w:style w:type="paragraph" w:styleId="Title">
    <w:name w:val="Title"/>
    <w:basedOn w:val="Normal"/>
    <w:next w:val="Normal"/>
    <w:link w:val="TitleChar"/>
    <w:uiPriority w:val="10"/>
    <w:qFormat/>
    <w:rsid w:val="00B315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15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15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15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155C"/>
    <w:pPr>
      <w:spacing w:before="160"/>
      <w:jc w:val="center"/>
    </w:pPr>
    <w:rPr>
      <w:i/>
      <w:iCs/>
      <w:color w:val="404040" w:themeColor="text1" w:themeTint="BF"/>
    </w:rPr>
  </w:style>
  <w:style w:type="character" w:customStyle="1" w:styleId="QuoteChar">
    <w:name w:val="Quote Char"/>
    <w:basedOn w:val="DefaultParagraphFont"/>
    <w:link w:val="Quote"/>
    <w:uiPriority w:val="29"/>
    <w:rsid w:val="00B3155C"/>
    <w:rPr>
      <w:i/>
      <w:iCs/>
      <w:color w:val="404040" w:themeColor="text1" w:themeTint="BF"/>
    </w:rPr>
  </w:style>
  <w:style w:type="paragraph" w:styleId="ListParagraph">
    <w:name w:val="List Paragraph"/>
    <w:basedOn w:val="Normal"/>
    <w:uiPriority w:val="34"/>
    <w:qFormat/>
    <w:rsid w:val="00B3155C"/>
    <w:pPr>
      <w:ind w:left="720"/>
      <w:contextualSpacing/>
    </w:pPr>
  </w:style>
  <w:style w:type="character" w:styleId="IntenseEmphasis">
    <w:name w:val="Intense Emphasis"/>
    <w:basedOn w:val="DefaultParagraphFont"/>
    <w:uiPriority w:val="21"/>
    <w:qFormat/>
    <w:rsid w:val="00B3155C"/>
    <w:rPr>
      <w:i/>
      <w:iCs/>
      <w:color w:val="2F5496" w:themeColor="accent1" w:themeShade="BF"/>
    </w:rPr>
  </w:style>
  <w:style w:type="paragraph" w:styleId="IntenseQuote">
    <w:name w:val="Intense Quote"/>
    <w:basedOn w:val="Normal"/>
    <w:next w:val="Normal"/>
    <w:link w:val="IntenseQuoteChar"/>
    <w:uiPriority w:val="30"/>
    <w:qFormat/>
    <w:rsid w:val="00B3155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3155C"/>
    <w:rPr>
      <w:i/>
      <w:iCs/>
      <w:color w:val="2F5496" w:themeColor="accent1" w:themeShade="BF"/>
    </w:rPr>
  </w:style>
  <w:style w:type="character" w:styleId="IntenseReference">
    <w:name w:val="Intense Reference"/>
    <w:basedOn w:val="DefaultParagraphFont"/>
    <w:uiPriority w:val="32"/>
    <w:qFormat/>
    <w:rsid w:val="00B3155C"/>
    <w:rPr>
      <w:b/>
      <w:bCs/>
      <w:smallCaps/>
      <w:color w:val="2F5496" w:themeColor="accent1" w:themeShade="BF"/>
      <w:spacing w:val="5"/>
    </w:rPr>
  </w:style>
  <w:style w:type="character" w:styleId="Hyperlink">
    <w:name w:val="Hyperlink"/>
    <w:basedOn w:val="DefaultParagraphFont"/>
    <w:uiPriority w:val="99"/>
    <w:unhideWhenUsed/>
    <w:rsid w:val="005570B7"/>
    <w:rPr>
      <w:color w:val="0563C1" w:themeColor="hyperlink"/>
      <w:u w:val="single"/>
    </w:rPr>
  </w:style>
  <w:style w:type="character" w:styleId="UnresolvedMention">
    <w:name w:val="Unresolved Mention"/>
    <w:basedOn w:val="DefaultParagraphFont"/>
    <w:uiPriority w:val="99"/>
    <w:semiHidden/>
    <w:unhideWhenUsed/>
    <w:rsid w:val="005570B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webSettings" Target="webSettings.xml"/><Relationship Id="rId7" Type="http://schemas.openxmlformats.org/officeDocument/2006/relationships/image" Target="media/image3.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pn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hyperlink" Target="https://www.backstage.com/magazine/article/alexander-technique-acting-exercises-1052/"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3211</TotalTime>
  <Pages>4</Pages>
  <Words>1203</Words>
  <Characters>6859</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Reyes</dc:creator>
  <cp:keywords/>
  <dc:description/>
  <cp:lastModifiedBy>Stephanie Reyes</cp:lastModifiedBy>
  <cp:revision>105</cp:revision>
  <dcterms:created xsi:type="dcterms:W3CDTF">2026-01-06T14:29:00Z</dcterms:created>
  <dcterms:modified xsi:type="dcterms:W3CDTF">2026-01-19T13:18:00Z</dcterms:modified>
</cp:coreProperties>
</file>