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1CE2EC" w14:textId="77777777" w:rsidR="00A25822" w:rsidRDefault="00A25822" w:rsidP="00877E9B">
      <w:pPr>
        <w:spacing w:line="360" w:lineRule="auto"/>
        <w:jc w:val="both"/>
        <w:rPr>
          <w:sz w:val="24"/>
          <w:szCs w:val="24"/>
        </w:rPr>
      </w:pPr>
    </w:p>
    <w:p w14:paraId="1C7F7987" w14:textId="0475F44B" w:rsidR="00A25822" w:rsidRDefault="00A25822" w:rsidP="00A25822">
      <w:pPr>
        <w:widowControl w:val="0"/>
        <w:autoSpaceDE w:val="0"/>
        <w:autoSpaceDN w:val="0"/>
        <w:adjustRightInd w:val="0"/>
        <w:spacing w:line="360" w:lineRule="auto"/>
        <w:rPr>
          <w:rFonts w:ascii="Arial" w:hAnsi="Arial" w:cs="Arial"/>
          <w:color w:val="000000"/>
          <w:sz w:val="32"/>
          <w:szCs w:val="32"/>
          <w:lang w:val="en-US"/>
        </w:rPr>
      </w:pPr>
      <w:r>
        <w:rPr>
          <w:rFonts w:ascii="Arial" w:hAnsi="Arial" w:cs="Arial"/>
          <w:color w:val="000000"/>
          <w:sz w:val="32"/>
          <w:szCs w:val="32"/>
          <w:lang w:val="en-US"/>
        </w:rPr>
        <w:t xml:space="preserve">                                Skills for the Workplace </w:t>
      </w:r>
    </w:p>
    <w:p w14:paraId="6165FCFE" w14:textId="77777777" w:rsidR="00A25822" w:rsidRDefault="00A25822" w:rsidP="00A25822">
      <w:pPr>
        <w:widowControl w:val="0"/>
        <w:autoSpaceDE w:val="0"/>
        <w:autoSpaceDN w:val="0"/>
        <w:adjustRightInd w:val="0"/>
        <w:spacing w:line="360" w:lineRule="auto"/>
        <w:jc w:val="center"/>
        <w:rPr>
          <w:rFonts w:ascii="Arial" w:hAnsi="Arial" w:cs="Arial"/>
          <w:color w:val="000000"/>
          <w:sz w:val="32"/>
          <w:szCs w:val="32"/>
          <w:lang w:val="en-US"/>
        </w:rPr>
      </w:pPr>
      <w:r>
        <w:rPr>
          <w:rFonts w:ascii="Arial" w:hAnsi="Arial" w:cs="Arial"/>
          <w:color w:val="000000"/>
          <w:sz w:val="32"/>
          <w:szCs w:val="32"/>
          <w:lang w:val="en-US"/>
        </w:rPr>
        <w:t>Module Assignment Submission</w:t>
      </w:r>
    </w:p>
    <w:p w14:paraId="20A78B05" w14:textId="77777777" w:rsidR="00A25822" w:rsidRDefault="00A25822" w:rsidP="00A25822">
      <w:pPr>
        <w:widowControl w:val="0"/>
        <w:autoSpaceDE w:val="0"/>
        <w:autoSpaceDN w:val="0"/>
        <w:adjustRightInd w:val="0"/>
        <w:spacing w:line="360" w:lineRule="auto"/>
        <w:jc w:val="center"/>
        <w:rPr>
          <w:rFonts w:ascii="Arial" w:hAnsi="Arial" w:cs="Arial"/>
          <w:color w:val="000000"/>
          <w:sz w:val="32"/>
          <w:szCs w:val="32"/>
          <w:lang w:val="en-US"/>
        </w:rPr>
      </w:pPr>
    </w:p>
    <w:tbl>
      <w:tblPr>
        <w:tblStyle w:val="TableGrid"/>
        <w:tblW w:w="0" w:type="auto"/>
        <w:tblLook w:val="04A0" w:firstRow="1" w:lastRow="0" w:firstColumn="1" w:lastColumn="0" w:noHBand="0" w:noVBand="1"/>
      </w:tblPr>
      <w:tblGrid>
        <w:gridCol w:w="4428"/>
        <w:gridCol w:w="4428"/>
      </w:tblGrid>
      <w:tr w:rsidR="00A25822" w14:paraId="1BCB9ABE" w14:textId="77777777" w:rsidTr="00CD428A">
        <w:tc>
          <w:tcPr>
            <w:tcW w:w="4428" w:type="dxa"/>
          </w:tcPr>
          <w:p w14:paraId="568D0420" w14:textId="77777777" w:rsidR="00A25822" w:rsidRDefault="00A25822" w:rsidP="00CD428A">
            <w:pPr>
              <w:widowControl w:val="0"/>
              <w:autoSpaceDE w:val="0"/>
              <w:autoSpaceDN w:val="0"/>
              <w:adjustRightInd w:val="0"/>
              <w:spacing w:line="360" w:lineRule="auto"/>
              <w:jc w:val="center"/>
              <w:rPr>
                <w:rFonts w:ascii="Arial" w:hAnsi="Arial" w:cs="Arial"/>
                <w:color w:val="000000"/>
                <w:sz w:val="32"/>
                <w:szCs w:val="32"/>
                <w:lang w:val="en-US"/>
              </w:rPr>
            </w:pPr>
            <w:r>
              <w:rPr>
                <w:rFonts w:ascii="Arial" w:hAnsi="Arial" w:cs="Arial"/>
                <w:color w:val="000000"/>
                <w:sz w:val="32"/>
                <w:szCs w:val="32"/>
                <w:lang w:val="en-US"/>
              </w:rPr>
              <w:t>Student Name:</w:t>
            </w:r>
          </w:p>
        </w:tc>
        <w:tc>
          <w:tcPr>
            <w:tcW w:w="4428" w:type="dxa"/>
          </w:tcPr>
          <w:p w14:paraId="7AE41A23" w14:textId="77777777" w:rsidR="00A25822" w:rsidRDefault="00A25822" w:rsidP="00CD428A">
            <w:pPr>
              <w:widowControl w:val="0"/>
              <w:autoSpaceDE w:val="0"/>
              <w:autoSpaceDN w:val="0"/>
              <w:adjustRightInd w:val="0"/>
              <w:spacing w:line="360" w:lineRule="auto"/>
              <w:jc w:val="center"/>
              <w:rPr>
                <w:rFonts w:ascii="Arial" w:hAnsi="Arial" w:cs="Arial"/>
                <w:color w:val="000000"/>
                <w:sz w:val="32"/>
                <w:szCs w:val="32"/>
                <w:lang w:val="en-US"/>
              </w:rPr>
            </w:pPr>
            <w:r>
              <w:rPr>
                <w:rFonts w:ascii="Arial" w:hAnsi="Arial" w:cs="Arial"/>
                <w:color w:val="000000"/>
                <w:sz w:val="32"/>
                <w:szCs w:val="32"/>
                <w:lang w:val="en-US"/>
              </w:rPr>
              <w:t>Michelle Young</w:t>
            </w:r>
          </w:p>
        </w:tc>
      </w:tr>
      <w:tr w:rsidR="00A25822" w14:paraId="7719F635" w14:textId="77777777" w:rsidTr="00CD428A">
        <w:tc>
          <w:tcPr>
            <w:tcW w:w="4428" w:type="dxa"/>
          </w:tcPr>
          <w:p w14:paraId="6CFC1F65" w14:textId="60E15758" w:rsidR="00A25822" w:rsidRDefault="00A25822" w:rsidP="00CD428A">
            <w:pPr>
              <w:widowControl w:val="0"/>
              <w:autoSpaceDE w:val="0"/>
              <w:autoSpaceDN w:val="0"/>
              <w:adjustRightInd w:val="0"/>
              <w:spacing w:line="360" w:lineRule="auto"/>
              <w:jc w:val="center"/>
              <w:rPr>
                <w:rFonts w:ascii="Arial" w:hAnsi="Arial" w:cs="Arial"/>
                <w:color w:val="000000"/>
                <w:sz w:val="32"/>
                <w:szCs w:val="32"/>
                <w:lang w:val="en-US"/>
              </w:rPr>
            </w:pPr>
            <w:r>
              <w:rPr>
                <w:rFonts w:ascii="Arial" w:hAnsi="Arial" w:cs="Arial"/>
                <w:color w:val="000000"/>
                <w:sz w:val="32"/>
                <w:szCs w:val="32"/>
                <w:lang w:val="en-US"/>
              </w:rPr>
              <w:t>Student Nu</w:t>
            </w:r>
            <w:r w:rsidR="008D254A">
              <w:rPr>
                <w:rFonts w:ascii="Arial" w:hAnsi="Arial" w:cs="Arial"/>
                <w:color w:val="000000"/>
                <w:sz w:val="32"/>
                <w:szCs w:val="32"/>
                <w:lang w:val="en-US"/>
              </w:rPr>
              <w:t>m</w:t>
            </w:r>
            <w:r>
              <w:rPr>
                <w:rFonts w:ascii="Arial" w:hAnsi="Arial" w:cs="Arial"/>
                <w:color w:val="000000"/>
                <w:sz w:val="32"/>
                <w:szCs w:val="32"/>
                <w:lang w:val="en-US"/>
              </w:rPr>
              <w:t>ber:</w:t>
            </w:r>
          </w:p>
        </w:tc>
        <w:tc>
          <w:tcPr>
            <w:tcW w:w="4428" w:type="dxa"/>
          </w:tcPr>
          <w:p w14:paraId="1F4D649F" w14:textId="77777777" w:rsidR="00A25822" w:rsidRDefault="00A25822" w:rsidP="00CD428A">
            <w:pPr>
              <w:widowControl w:val="0"/>
              <w:autoSpaceDE w:val="0"/>
              <w:autoSpaceDN w:val="0"/>
              <w:adjustRightInd w:val="0"/>
              <w:spacing w:line="360" w:lineRule="auto"/>
              <w:jc w:val="center"/>
              <w:rPr>
                <w:rFonts w:ascii="Arial" w:hAnsi="Arial" w:cs="Arial"/>
                <w:color w:val="000000"/>
                <w:sz w:val="32"/>
                <w:szCs w:val="32"/>
                <w:lang w:val="en-US"/>
              </w:rPr>
            </w:pPr>
            <w:r>
              <w:rPr>
                <w:rFonts w:ascii="Arial" w:hAnsi="Arial" w:cs="Arial"/>
                <w:color w:val="000000"/>
                <w:sz w:val="32"/>
                <w:szCs w:val="32"/>
                <w:lang w:val="en-US"/>
              </w:rPr>
              <w:t>1817010</w:t>
            </w:r>
          </w:p>
        </w:tc>
      </w:tr>
      <w:tr w:rsidR="00A25822" w14:paraId="0F93B488" w14:textId="77777777" w:rsidTr="00CD428A">
        <w:tc>
          <w:tcPr>
            <w:tcW w:w="4428" w:type="dxa"/>
          </w:tcPr>
          <w:p w14:paraId="3A075646" w14:textId="77777777" w:rsidR="00A25822" w:rsidRDefault="00A25822" w:rsidP="00CD428A">
            <w:pPr>
              <w:widowControl w:val="0"/>
              <w:autoSpaceDE w:val="0"/>
              <w:autoSpaceDN w:val="0"/>
              <w:adjustRightInd w:val="0"/>
              <w:spacing w:line="360" w:lineRule="auto"/>
              <w:jc w:val="center"/>
              <w:rPr>
                <w:rFonts w:ascii="Arial" w:hAnsi="Arial" w:cs="Arial"/>
                <w:color w:val="000000"/>
                <w:sz w:val="32"/>
                <w:szCs w:val="32"/>
                <w:lang w:val="en-US"/>
              </w:rPr>
            </w:pPr>
            <w:r>
              <w:rPr>
                <w:rFonts w:ascii="Arial" w:hAnsi="Arial" w:cs="Arial"/>
                <w:color w:val="000000"/>
                <w:sz w:val="32"/>
                <w:szCs w:val="32"/>
                <w:lang w:val="en-US"/>
              </w:rPr>
              <w:t>Module No:</w:t>
            </w:r>
          </w:p>
        </w:tc>
        <w:tc>
          <w:tcPr>
            <w:tcW w:w="4428" w:type="dxa"/>
          </w:tcPr>
          <w:p w14:paraId="4685A18F" w14:textId="2A1A628B" w:rsidR="00A25822" w:rsidRDefault="00A25822" w:rsidP="00CD428A">
            <w:pPr>
              <w:widowControl w:val="0"/>
              <w:autoSpaceDE w:val="0"/>
              <w:autoSpaceDN w:val="0"/>
              <w:adjustRightInd w:val="0"/>
              <w:spacing w:line="360" w:lineRule="auto"/>
              <w:jc w:val="center"/>
              <w:rPr>
                <w:rFonts w:ascii="Arial" w:hAnsi="Arial" w:cs="Arial"/>
                <w:color w:val="000000"/>
                <w:sz w:val="32"/>
                <w:szCs w:val="32"/>
                <w:lang w:val="en-US"/>
              </w:rPr>
            </w:pPr>
            <w:r>
              <w:rPr>
                <w:rFonts w:ascii="Arial" w:hAnsi="Arial" w:cs="Arial"/>
                <w:color w:val="000000"/>
                <w:sz w:val="32"/>
                <w:szCs w:val="32"/>
                <w:lang w:val="en-US"/>
              </w:rPr>
              <w:t>BMSW4003_LON</w:t>
            </w:r>
          </w:p>
        </w:tc>
      </w:tr>
      <w:tr w:rsidR="00A25822" w14:paraId="749BE78B" w14:textId="77777777" w:rsidTr="00CD428A">
        <w:tc>
          <w:tcPr>
            <w:tcW w:w="4428" w:type="dxa"/>
          </w:tcPr>
          <w:p w14:paraId="3081871F" w14:textId="77777777" w:rsidR="00A25822" w:rsidRDefault="00A25822" w:rsidP="00CD428A">
            <w:pPr>
              <w:widowControl w:val="0"/>
              <w:autoSpaceDE w:val="0"/>
              <w:autoSpaceDN w:val="0"/>
              <w:adjustRightInd w:val="0"/>
              <w:spacing w:line="360" w:lineRule="auto"/>
              <w:jc w:val="center"/>
              <w:rPr>
                <w:rFonts w:ascii="Arial" w:hAnsi="Arial" w:cs="Arial"/>
                <w:color w:val="000000"/>
                <w:sz w:val="32"/>
                <w:szCs w:val="32"/>
                <w:lang w:val="en-US"/>
              </w:rPr>
            </w:pPr>
            <w:r>
              <w:rPr>
                <w:rFonts w:ascii="Arial" w:hAnsi="Arial" w:cs="Arial"/>
                <w:color w:val="000000"/>
                <w:sz w:val="32"/>
                <w:szCs w:val="32"/>
                <w:lang w:val="en-US"/>
              </w:rPr>
              <w:t>Module Title:</w:t>
            </w:r>
          </w:p>
        </w:tc>
        <w:tc>
          <w:tcPr>
            <w:tcW w:w="4428" w:type="dxa"/>
          </w:tcPr>
          <w:p w14:paraId="7539E355" w14:textId="1399223A" w:rsidR="00A25822" w:rsidRDefault="00A25822" w:rsidP="00A25822">
            <w:pPr>
              <w:widowControl w:val="0"/>
              <w:autoSpaceDE w:val="0"/>
              <w:autoSpaceDN w:val="0"/>
              <w:adjustRightInd w:val="0"/>
              <w:spacing w:line="360" w:lineRule="auto"/>
              <w:rPr>
                <w:rFonts w:ascii="Arial" w:hAnsi="Arial" w:cs="Arial"/>
                <w:color w:val="000000"/>
                <w:sz w:val="32"/>
                <w:szCs w:val="32"/>
                <w:lang w:val="en-US"/>
              </w:rPr>
            </w:pPr>
            <w:r>
              <w:rPr>
                <w:rFonts w:ascii="Arial" w:hAnsi="Arial" w:cs="Arial"/>
                <w:color w:val="000000"/>
                <w:sz w:val="32"/>
                <w:szCs w:val="32"/>
                <w:lang w:val="en-US"/>
              </w:rPr>
              <w:t xml:space="preserve">      Psychology for Health    </w:t>
            </w:r>
          </w:p>
          <w:p w14:paraId="74296F33" w14:textId="50398262" w:rsidR="00A25822" w:rsidRDefault="00A25822" w:rsidP="00A25822">
            <w:pPr>
              <w:widowControl w:val="0"/>
              <w:autoSpaceDE w:val="0"/>
              <w:autoSpaceDN w:val="0"/>
              <w:adjustRightInd w:val="0"/>
              <w:spacing w:line="360" w:lineRule="auto"/>
              <w:rPr>
                <w:rFonts w:ascii="Arial" w:hAnsi="Arial" w:cs="Arial"/>
                <w:color w:val="000000"/>
                <w:sz w:val="32"/>
                <w:szCs w:val="32"/>
                <w:lang w:val="en-US"/>
              </w:rPr>
            </w:pPr>
            <w:r>
              <w:rPr>
                <w:rFonts w:ascii="Arial" w:hAnsi="Arial" w:cs="Arial"/>
                <w:color w:val="000000"/>
                <w:sz w:val="32"/>
                <w:szCs w:val="32"/>
                <w:lang w:val="en-US"/>
              </w:rPr>
              <w:t xml:space="preserve">            and Social Care</w:t>
            </w:r>
          </w:p>
        </w:tc>
      </w:tr>
    </w:tbl>
    <w:p w14:paraId="1C0EAE9E" w14:textId="77777777" w:rsidR="00A25822" w:rsidRPr="00A34AA3" w:rsidRDefault="00A25822" w:rsidP="00A25822">
      <w:pPr>
        <w:widowControl w:val="0"/>
        <w:autoSpaceDE w:val="0"/>
        <w:autoSpaceDN w:val="0"/>
        <w:adjustRightInd w:val="0"/>
        <w:spacing w:line="360" w:lineRule="auto"/>
        <w:jc w:val="center"/>
        <w:rPr>
          <w:rFonts w:ascii="Arial" w:hAnsi="Arial" w:cs="Arial"/>
          <w:color w:val="000000"/>
          <w:sz w:val="32"/>
          <w:szCs w:val="32"/>
          <w:lang w:val="en-US"/>
        </w:rPr>
      </w:pPr>
    </w:p>
    <w:p w14:paraId="7A4DA542" w14:textId="77777777" w:rsidR="00A25822" w:rsidRDefault="00A25822" w:rsidP="00A25822">
      <w:pPr>
        <w:rPr>
          <w:b/>
        </w:rPr>
      </w:pPr>
      <w:r>
        <w:rPr>
          <w:b/>
        </w:rPr>
        <w:t>Statement of Confirmation of Authenticity</w:t>
      </w:r>
    </w:p>
    <w:p w14:paraId="0FC9C838" w14:textId="77777777" w:rsidR="00A25822" w:rsidRDefault="00A25822" w:rsidP="00A25822">
      <w:pPr>
        <w:rPr>
          <w:b/>
        </w:rPr>
      </w:pPr>
    </w:p>
    <w:p w14:paraId="4B12CDE8" w14:textId="68A43AED" w:rsidR="00A25822" w:rsidRDefault="00A25822" w:rsidP="00A25822">
      <w:r>
        <w:t xml:space="preserve">By the act of making this submission, the student declares that this is the work of the student named above. The work has not, in a whole or in part been knowingly presented elsewhere for </w:t>
      </w:r>
      <w:r w:rsidR="00CD428A">
        <w:t>assessment or</w:t>
      </w:r>
      <w:r>
        <w:t xml:space="preserve"> were assessment has been built on a previous assessment, this has been identified. Where materials have been used from other sources it has been properly acknowledge. If this statement is untrue, the student acknowledges that an assessment offence has been committed. </w:t>
      </w:r>
    </w:p>
    <w:p w14:paraId="2B7214A6" w14:textId="77777777" w:rsidR="00A25822" w:rsidRDefault="00A25822" w:rsidP="00A25822"/>
    <w:p w14:paraId="528EF633" w14:textId="1852B56F" w:rsidR="00A25822" w:rsidRPr="00A34AA3" w:rsidRDefault="00A25822" w:rsidP="00A25822">
      <w:r>
        <w:t>Attention is drawn to the plagiarism and unfair practice policies of both the university and of ILM.</w:t>
      </w:r>
    </w:p>
    <w:p w14:paraId="6BB59E03" w14:textId="77777777" w:rsidR="00A25822" w:rsidRDefault="00A25822" w:rsidP="00877E9B">
      <w:pPr>
        <w:spacing w:line="360" w:lineRule="auto"/>
        <w:jc w:val="both"/>
        <w:rPr>
          <w:sz w:val="24"/>
          <w:szCs w:val="24"/>
        </w:rPr>
      </w:pPr>
    </w:p>
    <w:p w14:paraId="777FA1A9" w14:textId="77777777" w:rsidR="00A25822" w:rsidRDefault="00A25822" w:rsidP="00877E9B">
      <w:pPr>
        <w:spacing w:line="360" w:lineRule="auto"/>
        <w:jc w:val="both"/>
        <w:rPr>
          <w:sz w:val="24"/>
          <w:szCs w:val="24"/>
        </w:rPr>
      </w:pPr>
    </w:p>
    <w:p w14:paraId="55D01F9B" w14:textId="77777777" w:rsidR="00A25822" w:rsidRDefault="00A25822" w:rsidP="00877E9B">
      <w:pPr>
        <w:spacing w:line="360" w:lineRule="auto"/>
        <w:jc w:val="both"/>
        <w:rPr>
          <w:sz w:val="24"/>
          <w:szCs w:val="24"/>
        </w:rPr>
      </w:pPr>
    </w:p>
    <w:p w14:paraId="7A659EFE" w14:textId="77777777" w:rsidR="00A25822" w:rsidRDefault="00A25822" w:rsidP="00877E9B">
      <w:pPr>
        <w:spacing w:line="360" w:lineRule="auto"/>
        <w:jc w:val="both"/>
        <w:rPr>
          <w:sz w:val="24"/>
          <w:szCs w:val="24"/>
        </w:rPr>
      </w:pPr>
    </w:p>
    <w:p w14:paraId="0F225E9C" w14:textId="77777777" w:rsidR="00A25822" w:rsidRDefault="00A25822" w:rsidP="00877E9B">
      <w:pPr>
        <w:spacing w:line="360" w:lineRule="auto"/>
        <w:jc w:val="both"/>
        <w:rPr>
          <w:sz w:val="24"/>
          <w:szCs w:val="24"/>
        </w:rPr>
      </w:pPr>
    </w:p>
    <w:p w14:paraId="0E689084" w14:textId="77777777" w:rsidR="003D4528" w:rsidRDefault="003D4528" w:rsidP="00877E9B">
      <w:pPr>
        <w:spacing w:line="360" w:lineRule="auto"/>
        <w:jc w:val="both"/>
        <w:rPr>
          <w:sz w:val="24"/>
          <w:szCs w:val="24"/>
        </w:rPr>
      </w:pPr>
    </w:p>
    <w:p w14:paraId="34ABC307" w14:textId="7A12871B" w:rsidR="00DD03D2" w:rsidRDefault="002F6E7B" w:rsidP="00877E9B">
      <w:pPr>
        <w:spacing w:line="360" w:lineRule="auto"/>
        <w:jc w:val="both"/>
        <w:rPr>
          <w:sz w:val="24"/>
          <w:szCs w:val="24"/>
        </w:rPr>
      </w:pPr>
      <w:r>
        <w:rPr>
          <w:sz w:val="24"/>
          <w:szCs w:val="24"/>
        </w:rPr>
        <w:lastRenderedPageBreak/>
        <w:t>This essay will discuss theoretical perspective</w:t>
      </w:r>
      <w:r w:rsidR="00505C39">
        <w:rPr>
          <w:sz w:val="24"/>
          <w:szCs w:val="24"/>
        </w:rPr>
        <w:t>s</w:t>
      </w:r>
      <w:r>
        <w:rPr>
          <w:sz w:val="24"/>
          <w:szCs w:val="24"/>
        </w:rPr>
        <w:t xml:space="preserve"> related to developmental psychology. The age group used for discussion will be </w:t>
      </w:r>
      <w:r w:rsidR="00DA55CA">
        <w:rPr>
          <w:sz w:val="24"/>
          <w:szCs w:val="24"/>
        </w:rPr>
        <w:t xml:space="preserve">middle childhood </w:t>
      </w:r>
      <w:r>
        <w:rPr>
          <w:sz w:val="24"/>
          <w:szCs w:val="24"/>
        </w:rPr>
        <w:t xml:space="preserve">ages </w:t>
      </w:r>
      <w:r w:rsidR="00211F4E">
        <w:rPr>
          <w:sz w:val="24"/>
          <w:szCs w:val="24"/>
        </w:rPr>
        <w:t>six to twelve</w:t>
      </w:r>
      <w:r>
        <w:rPr>
          <w:sz w:val="24"/>
          <w:szCs w:val="24"/>
        </w:rPr>
        <w:t xml:space="preserve"> years. The two lifespan psychological theories </w:t>
      </w:r>
      <w:r w:rsidR="00B5558E">
        <w:rPr>
          <w:sz w:val="24"/>
          <w:szCs w:val="24"/>
        </w:rPr>
        <w:t>which will be applied are</w:t>
      </w:r>
      <w:r>
        <w:rPr>
          <w:sz w:val="24"/>
          <w:szCs w:val="24"/>
        </w:rPr>
        <w:t xml:space="preserve"> Piaget’s concrete operational stage and Erikson’s </w:t>
      </w:r>
      <w:r w:rsidR="00A30269">
        <w:rPr>
          <w:sz w:val="24"/>
          <w:szCs w:val="24"/>
        </w:rPr>
        <w:t>industry verses inferiority these theories will be used to identif</w:t>
      </w:r>
      <w:r w:rsidR="00A14E21">
        <w:rPr>
          <w:sz w:val="24"/>
          <w:szCs w:val="24"/>
        </w:rPr>
        <w:t xml:space="preserve">y this </w:t>
      </w:r>
      <w:r w:rsidR="00A30269">
        <w:rPr>
          <w:sz w:val="24"/>
          <w:szCs w:val="24"/>
        </w:rPr>
        <w:t xml:space="preserve">life-stage. </w:t>
      </w:r>
      <w:r w:rsidR="00A14E21">
        <w:rPr>
          <w:sz w:val="24"/>
          <w:szCs w:val="24"/>
        </w:rPr>
        <w:t xml:space="preserve">Research studies in health and social care will be presented as supporting evidences to signify the role of psychological perspectives in health and social care. </w:t>
      </w:r>
      <w:r w:rsidR="00A30269">
        <w:rPr>
          <w:sz w:val="24"/>
          <w:szCs w:val="24"/>
        </w:rPr>
        <w:t xml:space="preserve">Human cognition, emotions and behaviour patterns specific to </w:t>
      </w:r>
      <w:r w:rsidR="00A14E21">
        <w:rPr>
          <w:sz w:val="24"/>
          <w:szCs w:val="24"/>
        </w:rPr>
        <w:t>Erikson and Piaget theories will examine human development through this life stage.</w:t>
      </w:r>
      <w:r w:rsidR="00A30269">
        <w:rPr>
          <w:sz w:val="24"/>
          <w:szCs w:val="24"/>
        </w:rPr>
        <w:t xml:space="preserve">  </w:t>
      </w:r>
    </w:p>
    <w:p w14:paraId="0A696DFD" w14:textId="09D3383C" w:rsidR="00402163" w:rsidRDefault="00B870E6" w:rsidP="00877E9B">
      <w:pPr>
        <w:spacing w:line="360" w:lineRule="auto"/>
        <w:jc w:val="both"/>
        <w:rPr>
          <w:sz w:val="24"/>
          <w:szCs w:val="24"/>
        </w:rPr>
      </w:pPr>
      <w:r>
        <w:rPr>
          <w:sz w:val="24"/>
          <w:szCs w:val="24"/>
        </w:rPr>
        <w:t xml:space="preserve">Both Erikson and Piaget theories focus on the process </w:t>
      </w:r>
      <w:r w:rsidR="00A14E21">
        <w:rPr>
          <w:sz w:val="24"/>
          <w:szCs w:val="24"/>
        </w:rPr>
        <w:t xml:space="preserve">of human </w:t>
      </w:r>
      <w:r>
        <w:rPr>
          <w:sz w:val="24"/>
          <w:szCs w:val="24"/>
        </w:rPr>
        <w:t>development and usually view children as progressing through predetermined stages to maturity</w:t>
      </w:r>
      <w:r w:rsidR="00BD0C54">
        <w:rPr>
          <w:sz w:val="24"/>
          <w:szCs w:val="24"/>
        </w:rPr>
        <w:t xml:space="preserve"> </w:t>
      </w:r>
      <w:r w:rsidR="00A14E21">
        <w:rPr>
          <w:sz w:val="24"/>
          <w:szCs w:val="24"/>
        </w:rPr>
        <w:t xml:space="preserve">“knowledge of human development is an essential component of finding a common language and helping you to communicate effectively and professionally across professional boundaries” (Wilson, Ruch, </w:t>
      </w:r>
      <w:proofErr w:type="spellStart"/>
      <w:r w:rsidR="00A14E21">
        <w:rPr>
          <w:sz w:val="24"/>
          <w:szCs w:val="24"/>
        </w:rPr>
        <w:t>Lymbery</w:t>
      </w:r>
      <w:proofErr w:type="spellEnd"/>
      <w:r w:rsidR="00A14E21">
        <w:rPr>
          <w:sz w:val="24"/>
          <w:szCs w:val="24"/>
        </w:rPr>
        <w:t xml:space="preserve"> &amp; Cooper</w:t>
      </w:r>
      <w:r w:rsidR="00BD0C54">
        <w:rPr>
          <w:sz w:val="24"/>
          <w:szCs w:val="24"/>
        </w:rPr>
        <w:t xml:space="preserve">, </w:t>
      </w:r>
      <w:r w:rsidR="00A14E21">
        <w:rPr>
          <w:sz w:val="24"/>
          <w:szCs w:val="24"/>
        </w:rPr>
        <w:t>2011).</w:t>
      </w:r>
      <w:r w:rsidR="00BD0C54">
        <w:rPr>
          <w:sz w:val="24"/>
          <w:szCs w:val="24"/>
        </w:rPr>
        <w:t xml:space="preserve"> Erikson’s psychosocial theory analyses the “lifespan as involving eight stages. For each stage, there are positive or negative dimensions of outcome depending on experience. Each stage builds on the outcome of the previous stage” (Sudbery, 2010). Erikson placed more emphasis on the conscious process and the importance of Freud’s idea of the ‘ego’. Piaget’s theory states infants born with basic cognitive structures which he referred to as schemas which become increasingly complex as we grow older.</w:t>
      </w:r>
    </w:p>
    <w:p w14:paraId="4336EA47" w14:textId="77777777" w:rsidR="001D2F01" w:rsidRDefault="00332268" w:rsidP="001D2F01">
      <w:pPr>
        <w:spacing w:line="360" w:lineRule="auto"/>
        <w:ind w:left="567" w:right="567"/>
        <w:jc w:val="both"/>
        <w:rPr>
          <w:sz w:val="24"/>
          <w:szCs w:val="24"/>
        </w:rPr>
      </w:pPr>
      <w:r>
        <w:rPr>
          <w:sz w:val="24"/>
          <w:szCs w:val="24"/>
        </w:rPr>
        <w:t>Piaget “proposes that these changes involve three basic processes: assimilation, accommodation and equilibration.</w:t>
      </w:r>
      <w:r w:rsidR="0056159F">
        <w:rPr>
          <w:sz w:val="24"/>
          <w:szCs w:val="24"/>
        </w:rPr>
        <w:t xml:space="preserve"> </w:t>
      </w:r>
      <w:r>
        <w:rPr>
          <w:sz w:val="24"/>
          <w:szCs w:val="24"/>
        </w:rPr>
        <w:t xml:space="preserve">These processes bring about alterations in the child’s internal mental structures or schemas. He also considered that changes occur which involve reorganisation at three significant stages or points in the child’s development; the first roughly at </w:t>
      </w:r>
      <w:r w:rsidR="000E1C04">
        <w:rPr>
          <w:sz w:val="24"/>
          <w:szCs w:val="24"/>
        </w:rPr>
        <w:t>eighteen</w:t>
      </w:r>
      <w:r>
        <w:rPr>
          <w:sz w:val="24"/>
          <w:szCs w:val="24"/>
        </w:rPr>
        <w:t xml:space="preserve"> months, the second at roughly </w:t>
      </w:r>
      <w:r w:rsidR="000E1C04">
        <w:rPr>
          <w:sz w:val="24"/>
          <w:szCs w:val="24"/>
        </w:rPr>
        <w:t>five to seven</w:t>
      </w:r>
      <w:r>
        <w:rPr>
          <w:sz w:val="24"/>
          <w:szCs w:val="24"/>
        </w:rPr>
        <w:t xml:space="preserve"> years and the third at adolescence</w:t>
      </w:r>
      <w:r w:rsidR="000E1C04">
        <w:rPr>
          <w:sz w:val="24"/>
          <w:szCs w:val="24"/>
        </w:rPr>
        <w:t>”</w:t>
      </w:r>
      <w:r>
        <w:rPr>
          <w:sz w:val="24"/>
          <w:szCs w:val="24"/>
        </w:rPr>
        <w:t xml:space="preserve"> (Wilson</w:t>
      </w:r>
      <w:r w:rsidR="000E1C04">
        <w:rPr>
          <w:sz w:val="24"/>
          <w:szCs w:val="24"/>
        </w:rPr>
        <w:t xml:space="preserve"> </w:t>
      </w:r>
      <w:r>
        <w:rPr>
          <w:sz w:val="24"/>
          <w:szCs w:val="24"/>
        </w:rPr>
        <w:t>et al.</w:t>
      </w:r>
      <w:r w:rsidR="000E1C04">
        <w:rPr>
          <w:sz w:val="24"/>
          <w:szCs w:val="24"/>
        </w:rPr>
        <w:t>,</w:t>
      </w:r>
      <w:r>
        <w:rPr>
          <w:sz w:val="24"/>
          <w:szCs w:val="24"/>
        </w:rPr>
        <w:t xml:space="preserve"> 2011).</w:t>
      </w:r>
    </w:p>
    <w:p w14:paraId="6482BA78" w14:textId="6FA104EC" w:rsidR="00B5558E" w:rsidRDefault="0056159F" w:rsidP="00877E9B">
      <w:pPr>
        <w:spacing w:line="360" w:lineRule="auto"/>
        <w:jc w:val="both"/>
        <w:rPr>
          <w:sz w:val="24"/>
          <w:szCs w:val="24"/>
        </w:rPr>
      </w:pPr>
      <w:r>
        <w:rPr>
          <w:sz w:val="24"/>
          <w:szCs w:val="24"/>
        </w:rPr>
        <w:t xml:space="preserve">Children within the six to </w:t>
      </w:r>
      <w:r w:rsidR="00AC2038">
        <w:rPr>
          <w:sz w:val="24"/>
          <w:szCs w:val="24"/>
        </w:rPr>
        <w:t>twelve-year</w:t>
      </w:r>
      <w:r>
        <w:rPr>
          <w:sz w:val="24"/>
          <w:szCs w:val="24"/>
        </w:rPr>
        <w:t xml:space="preserve"> age group will start to achieve the understanding of equilibrium as Harris &amp; Butterworth (2002) state</w:t>
      </w:r>
      <w:r w:rsidR="006421CC">
        <w:rPr>
          <w:sz w:val="24"/>
          <w:szCs w:val="24"/>
        </w:rPr>
        <w:t>s</w:t>
      </w:r>
      <w:r w:rsidR="00B26895">
        <w:rPr>
          <w:sz w:val="24"/>
          <w:szCs w:val="24"/>
        </w:rPr>
        <w:t xml:space="preserve"> </w:t>
      </w:r>
      <w:r>
        <w:rPr>
          <w:sz w:val="24"/>
          <w:szCs w:val="24"/>
        </w:rPr>
        <w:t>“Equilibrium is achieved through accommodation, as the organism adapts to, or incorporates the effects of, the environment.  The notion of equilibrium is also based on the idea of achieving a natural balance between the individual and the world, just as the is a balance of the forces that sustain life.”</w:t>
      </w:r>
    </w:p>
    <w:p w14:paraId="1274FE25" w14:textId="216ECB09" w:rsidR="00795239" w:rsidRDefault="00F7010E" w:rsidP="00877E9B">
      <w:pPr>
        <w:spacing w:line="360" w:lineRule="auto"/>
        <w:jc w:val="both"/>
        <w:rPr>
          <w:sz w:val="24"/>
          <w:szCs w:val="24"/>
        </w:rPr>
      </w:pPr>
      <w:r>
        <w:rPr>
          <w:sz w:val="24"/>
          <w:szCs w:val="24"/>
        </w:rPr>
        <w:lastRenderedPageBreak/>
        <w:t xml:space="preserve">Piaget’s theory of how children’s thinking develops their understanding is limited by their current cognitive structures (schemas) and major shifts in children’s thinking normally occurs at approximately </w:t>
      </w:r>
      <w:r w:rsidR="005F4ABE">
        <w:rPr>
          <w:sz w:val="24"/>
          <w:szCs w:val="24"/>
        </w:rPr>
        <w:t>two</w:t>
      </w:r>
      <w:r>
        <w:rPr>
          <w:sz w:val="24"/>
          <w:szCs w:val="24"/>
        </w:rPr>
        <w:t xml:space="preserve"> years, </w:t>
      </w:r>
      <w:r w:rsidR="005F4ABE">
        <w:rPr>
          <w:sz w:val="24"/>
          <w:szCs w:val="24"/>
        </w:rPr>
        <w:t>seven</w:t>
      </w:r>
      <w:r>
        <w:rPr>
          <w:sz w:val="24"/>
          <w:szCs w:val="24"/>
        </w:rPr>
        <w:t xml:space="preserve"> years and </w:t>
      </w:r>
      <w:r w:rsidR="005F4ABE">
        <w:rPr>
          <w:sz w:val="24"/>
          <w:szCs w:val="24"/>
        </w:rPr>
        <w:t>twelve</w:t>
      </w:r>
      <w:r>
        <w:rPr>
          <w:sz w:val="24"/>
          <w:szCs w:val="24"/>
        </w:rPr>
        <w:t xml:space="preserve"> years.</w:t>
      </w:r>
      <w:r w:rsidR="002A3F3D" w:rsidRPr="002A3F3D">
        <w:rPr>
          <w:sz w:val="24"/>
          <w:szCs w:val="24"/>
        </w:rPr>
        <w:t xml:space="preserve"> </w:t>
      </w:r>
      <w:r w:rsidR="002A3F3D">
        <w:rPr>
          <w:sz w:val="24"/>
          <w:szCs w:val="24"/>
        </w:rPr>
        <w:t xml:space="preserve">Piaget’s stage of cognitive development </w:t>
      </w:r>
      <w:r w:rsidR="00086377">
        <w:rPr>
          <w:sz w:val="24"/>
          <w:szCs w:val="24"/>
        </w:rPr>
        <w:t xml:space="preserve">called </w:t>
      </w:r>
      <w:r w:rsidR="002A3F3D">
        <w:rPr>
          <w:sz w:val="24"/>
          <w:szCs w:val="24"/>
        </w:rPr>
        <w:t xml:space="preserve">Concrete operational stage covers elementary to adolescence. “In this stage (characterized by 7 types of conservation: number, length, mass, weight, area, volume), intelligence is demonstrated though logical and systematic manipulation of symbols related to concrete objects. Operational thinking develops (mental actions that are reversable). Egocentric thought diminishes” </w:t>
      </w:r>
      <w:r w:rsidR="00BD0C54">
        <w:rPr>
          <w:sz w:val="24"/>
          <w:szCs w:val="24"/>
        </w:rPr>
        <w:t>(</w:t>
      </w:r>
      <w:proofErr w:type="spellStart"/>
      <w:r w:rsidR="002A3F3D">
        <w:rPr>
          <w:sz w:val="24"/>
          <w:szCs w:val="24"/>
        </w:rPr>
        <w:t>Huitt</w:t>
      </w:r>
      <w:proofErr w:type="spellEnd"/>
      <w:r w:rsidR="002A3F3D">
        <w:rPr>
          <w:sz w:val="24"/>
          <w:szCs w:val="24"/>
        </w:rPr>
        <w:t xml:space="preserve"> &amp; Hummel</w:t>
      </w:r>
      <w:r w:rsidR="00BD0C54">
        <w:rPr>
          <w:sz w:val="24"/>
          <w:szCs w:val="24"/>
        </w:rPr>
        <w:t xml:space="preserve">, </w:t>
      </w:r>
      <w:r w:rsidR="002A3F3D">
        <w:rPr>
          <w:sz w:val="24"/>
          <w:szCs w:val="24"/>
        </w:rPr>
        <w:t xml:space="preserve">2003). </w:t>
      </w:r>
      <w:r w:rsidR="006974A0">
        <w:rPr>
          <w:sz w:val="24"/>
          <w:szCs w:val="24"/>
        </w:rPr>
        <w:t>Piaget’s concrete operational stage of development is the third stage within his theory which children begin to use the logical rules to solve problems.</w:t>
      </w:r>
      <w:r w:rsidR="000E563C">
        <w:rPr>
          <w:sz w:val="24"/>
          <w:szCs w:val="24"/>
        </w:rPr>
        <w:t xml:space="preserve"> </w:t>
      </w:r>
    </w:p>
    <w:p w14:paraId="73F1FA28" w14:textId="77777777" w:rsidR="00086377" w:rsidRDefault="000E563C" w:rsidP="00086377">
      <w:pPr>
        <w:spacing w:line="360" w:lineRule="auto"/>
        <w:ind w:left="567" w:right="567"/>
        <w:jc w:val="both"/>
        <w:rPr>
          <w:sz w:val="24"/>
          <w:szCs w:val="24"/>
        </w:rPr>
      </w:pPr>
      <w:r>
        <w:rPr>
          <w:sz w:val="24"/>
          <w:szCs w:val="24"/>
        </w:rPr>
        <w:t xml:space="preserve">“According to Piaget, cognitive adaptation involves two processes, assimilation and accommodation both of which impact the development of schemas and thus learning. Assimilation is the interpretation </w:t>
      </w:r>
      <w:r w:rsidR="00795239">
        <w:rPr>
          <w:sz w:val="24"/>
          <w:szCs w:val="24"/>
        </w:rPr>
        <w:t>of new experiences in terms of our existing schemas; accommodation is the modification of curr</w:t>
      </w:r>
      <w:r w:rsidR="00BD0C54">
        <w:rPr>
          <w:sz w:val="24"/>
          <w:szCs w:val="24"/>
        </w:rPr>
        <w:t>e</w:t>
      </w:r>
      <w:r w:rsidR="00795239">
        <w:rPr>
          <w:sz w:val="24"/>
          <w:szCs w:val="24"/>
        </w:rPr>
        <w:t xml:space="preserve">nt schemas to allow for new experiences. An example of this would be when an infant calls all men “dada” this would represent a child’s attempt to assimilate. Children learn, however, that that they need to accommodate and change their schemas. A child has only one father, but there are many men in the </w:t>
      </w:r>
      <w:r w:rsidR="00BD0C54">
        <w:rPr>
          <w:sz w:val="24"/>
          <w:szCs w:val="24"/>
        </w:rPr>
        <w:t>world” (</w:t>
      </w:r>
      <w:r w:rsidR="00795239">
        <w:rPr>
          <w:sz w:val="24"/>
          <w:szCs w:val="24"/>
        </w:rPr>
        <w:t>Griggs</w:t>
      </w:r>
      <w:r w:rsidR="00BD0C54">
        <w:rPr>
          <w:sz w:val="24"/>
          <w:szCs w:val="24"/>
        </w:rPr>
        <w:t>,</w:t>
      </w:r>
      <w:r w:rsidR="00795239">
        <w:rPr>
          <w:sz w:val="24"/>
          <w:szCs w:val="24"/>
        </w:rPr>
        <w:t xml:space="preserve"> 2009)</w:t>
      </w:r>
      <w:r w:rsidR="00BD0C54">
        <w:rPr>
          <w:sz w:val="24"/>
          <w:szCs w:val="24"/>
        </w:rPr>
        <w:t>.</w:t>
      </w:r>
    </w:p>
    <w:p w14:paraId="16940EB7" w14:textId="0834425E" w:rsidR="006974A0" w:rsidRDefault="00795239" w:rsidP="00086377">
      <w:pPr>
        <w:spacing w:line="360" w:lineRule="auto"/>
        <w:jc w:val="both"/>
        <w:rPr>
          <w:sz w:val="24"/>
          <w:szCs w:val="24"/>
        </w:rPr>
      </w:pPr>
      <w:r>
        <w:rPr>
          <w:sz w:val="24"/>
          <w:szCs w:val="24"/>
        </w:rPr>
        <w:t>The c</w:t>
      </w:r>
      <w:r w:rsidR="003C157A">
        <w:rPr>
          <w:sz w:val="24"/>
          <w:szCs w:val="24"/>
        </w:rPr>
        <w:t>oncret</w:t>
      </w:r>
      <w:r w:rsidR="00FC2FB0">
        <w:rPr>
          <w:sz w:val="24"/>
          <w:szCs w:val="24"/>
        </w:rPr>
        <w:t>e operational stage means a child is able to use their own logic and can organise thoughts in a consistent framework. Whilst abstract reasoning is still too difficult, mathematical problems (addition</w:t>
      </w:r>
      <w:r w:rsidR="00A01EF8">
        <w:rPr>
          <w:sz w:val="24"/>
          <w:szCs w:val="24"/>
        </w:rPr>
        <w:t>,</w:t>
      </w:r>
      <w:r w:rsidR="00FC2FB0">
        <w:rPr>
          <w:sz w:val="24"/>
          <w:szCs w:val="24"/>
        </w:rPr>
        <w:t xml:space="preserve"> subtraction</w:t>
      </w:r>
      <w:r w:rsidR="00A01EF8">
        <w:rPr>
          <w:sz w:val="24"/>
          <w:szCs w:val="24"/>
        </w:rPr>
        <w:t xml:space="preserve">, </w:t>
      </w:r>
      <w:r w:rsidR="00FC2FB0">
        <w:rPr>
          <w:sz w:val="24"/>
          <w:szCs w:val="24"/>
        </w:rPr>
        <w:t>multiplication) and physical objects can be worked on.</w:t>
      </w:r>
    </w:p>
    <w:p w14:paraId="2D9A6699" w14:textId="6EF5D665" w:rsidR="00591156" w:rsidRDefault="00F5751B" w:rsidP="00591156">
      <w:pPr>
        <w:spacing w:line="360" w:lineRule="auto"/>
        <w:jc w:val="both"/>
        <w:rPr>
          <w:sz w:val="24"/>
          <w:szCs w:val="24"/>
        </w:rPr>
      </w:pPr>
      <w:r>
        <w:rPr>
          <w:sz w:val="24"/>
          <w:szCs w:val="24"/>
        </w:rPr>
        <w:t xml:space="preserve">Not all children move at the same speed or achieve the same end point; virtually all achieve pre-operational stage, the large majority concrete operations, but not all necessarily achieve formal operations. </w:t>
      </w:r>
      <w:r w:rsidR="00BD0C54">
        <w:rPr>
          <w:sz w:val="24"/>
          <w:szCs w:val="24"/>
        </w:rPr>
        <w:t>As (</w:t>
      </w:r>
      <w:r w:rsidR="006B5F83">
        <w:rPr>
          <w:sz w:val="24"/>
          <w:szCs w:val="24"/>
        </w:rPr>
        <w:t>Favell et al., 2002</w:t>
      </w:r>
      <w:r w:rsidR="006B5F83">
        <w:rPr>
          <w:sz w:val="24"/>
          <w:szCs w:val="24"/>
        </w:rPr>
        <w:t xml:space="preserve">, citied by </w:t>
      </w:r>
      <w:r>
        <w:rPr>
          <w:sz w:val="24"/>
          <w:szCs w:val="24"/>
        </w:rPr>
        <w:t>Sudbery</w:t>
      </w:r>
      <w:r w:rsidR="00BD0C54">
        <w:rPr>
          <w:sz w:val="24"/>
          <w:szCs w:val="24"/>
        </w:rPr>
        <w:t>,</w:t>
      </w:r>
      <w:r>
        <w:rPr>
          <w:sz w:val="24"/>
          <w:szCs w:val="24"/>
        </w:rPr>
        <w:t xml:space="preserve"> 2010</w:t>
      </w:r>
      <w:r w:rsidR="00BD0C54">
        <w:rPr>
          <w:sz w:val="24"/>
          <w:szCs w:val="24"/>
        </w:rPr>
        <w:t>)</w:t>
      </w:r>
      <w:r>
        <w:rPr>
          <w:sz w:val="24"/>
          <w:szCs w:val="24"/>
        </w:rPr>
        <w:t xml:space="preserve"> states “the universalist nature of Piaget’s theory means that there should either be definite ages at which the stages occur, or there should be a consistent order in which they take place. In fact, researchers have found th</w:t>
      </w:r>
      <w:r w:rsidR="00A01EF8">
        <w:rPr>
          <w:sz w:val="24"/>
          <w:szCs w:val="24"/>
        </w:rPr>
        <w:t>at</w:t>
      </w:r>
      <w:r>
        <w:rPr>
          <w:sz w:val="24"/>
          <w:szCs w:val="24"/>
        </w:rPr>
        <w:t xml:space="preserve"> young people may function at the level of ‘formal operations’ in some areas of their life but not in others. Hunter-gatherers show sophisticated formal reasoning in their </w:t>
      </w:r>
      <w:r w:rsidR="00BD0C54">
        <w:rPr>
          <w:sz w:val="24"/>
          <w:szCs w:val="24"/>
        </w:rPr>
        <w:t>hunting but</w:t>
      </w:r>
      <w:r>
        <w:rPr>
          <w:sz w:val="24"/>
          <w:szCs w:val="24"/>
        </w:rPr>
        <w:t xml:space="preserve"> failed the ‘formal operations’ problem devised by Piaget</w:t>
      </w:r>
      <w:r w:rsidR="006B5F83">
        <w:rPr>
          <w:sz w:val="24"/>
          <w:szCs w:val="24"/>
        </w:rPr>
        <w:t xml:space="preserve">. </w:t>
      </w:r>
      <w:r w:rsidR="00BD0C54">
        <w:rPr>
          <w:sz w:val="24"/>
          <w:szCs w:val="24"/>
        </w:rPr>
        <w:t>A</w:t>
      </w:r>
      <w:r>
        <w:rPr>
          <w:sz w:val="24"/>
          <w:szCs w:val="24"/>
        </w:rPr>
        <w:t xml:space="preserve">chieving this stage in </w:t>
      </w:r>
      <w:r>
        <w:rPr>
          <w:sz w:val="24"/>
          <w:szCs w:val="24"/>
        </w:rPr>
        <w:lastRenderedPageBreak/>
        <w:t xml:space="preserve">the way described by Piaget may in fact be gradual, haphazard and often limited to particular </w:t>
      </w:r>
      <w:r w:rsidR="00BD0C54">
        <w:rPr>
          <w:sz w:val="24"/>
          <w:szCs w:val="24"/>
        </w:rPr>
        <w:t>domains’</w:t>
      </w:r>
      <w:r>
        <w:rPr>
          <w:sz w:val="24"/>
          <w:szCs w:val="24"/>
        </w:rPr>
        <w:t>’</w:t>
      </w:r>
      <w:r w:rsidR="006B5F83">
        <w:rPr>
          <w:sz w:val="24"/>
          <w:szCs w:val="24"/>
        </w:rPr>
        <w:t xml:space="preserve">. </w:t>
      </w:r>
      <w:r>
        <w:rPr>
          <w:sz w:val="24"/>
          <w:szCs w:val="24"/>
        </w:rPr>
        <w:t>It is argued that the stage theory is arbitrary</w:t>
      </w:r>
      <w:r w:rsidR="00BD0C54">
        <w:rPr>
          <w:sz w:val="24"/>
          <w:szCs w:val="24"/>
        </w:rPr>
        <w:t>, Piaget</w:t>
      </w:r>
      <w:r>
        <w:rPr>
          <w:sz w:val="24"/>
          <w:szCs w:val="24"/>
        </w:rPr>
        <w:t xml:space="preserve"> underestimates the differences within the stages at the same time he overestimates the differences between the stages.</w:t>
      </w:r>
      <w:r w:rsidR="00162A2A">
        <w:rPr>
          <w:sz w:val="24"/>
          <w:szCs w:val="24"/>
        </w:rPr>
        <w:t xml:space="preserve"> </w:t>
      </w:r>
    </w:p>
    <w:p w14:paraId="3D7E9457" w14:textId="434BB911" w:rsidR="008C6BA8" w:rsidRDefault="00B746A8" w:rsidP="00E85414">
      <w:pPr>
        <w:spacing w:line="360" w:lineRule="auto"/>
        <w:jc w:val="both"/>
        <w:rPr>
          <w:sz w:val="24"/>
          <w:szCs w:val="24"/>
        </w:rPr>
      </w:pPr>
      <w:r>
        <w:rPr>
          <w:sz w:val="24"/>
          <w:szCs w:val="24"/>
        </w:rPr>
        <w:t>Erikson’s psychosocial considers biological perspectives</w:t>
      </w:r>
      <w:r w:rsidR="00D0298D">
        <w:rPr>
          <w:sz w:val="24"/>
          <w:szCs w:val="24"/>
        </w:rPr>
        <w:t>.</w:t>
      </w:r>
      <w:r>
        <w:rPr>
          <w:sz w:val="24"/>
          <w:szCs w:val="24"/>
        </w:rPr>
        <w:t xml:space="preserve"> </w:t>
      </w:r>
      <w:r w:rsidR="00D0298D">
        <w:rPr>
          <w:sz w:val="24"/>
          <w:szCs w:val="24"/>
        </w:rPr>
        <w:t>T</w:t>
      </w:r>
      <w:r>
        <w:rPr>
          <w:sz w:val="24"/>
          <w:szCs w:val="24"/>
        </w:rPr>
        <w:t>hese include</w:t>
      </w:r>
      <w:r w:rsidR="00BD0C54">
        <w:rPr>
          <w:sz w:val="24"/>
          <w:szCs w:val="24"/>
        </w:rPr>
        <w:t>,</w:t>
      </w:r>
      <w:r>
        <w:rPr>
          <w:sz w:val="24"/>
          <w:szCs w:val="24"/>
        </w:rPr>
        <w:t xml:space="preserve"> children’s growth and development</w:t>
      </w:r>
      <w:r w:rsidR="00BD0C54">
        <w:rPr>
          <w:sz w:val="24"/>
          <w:szCs w:val="24"/>
        </w:rPr>
        <w:t>,</w:t>
      </w:r>
      <w:r>
        <w:rPr>
          <w:sz w:val="24"/>
          <w:szCs w:val="24"/>
        </w:rPr>
        <w:t xml:space="preserve"> brain development, </w:t>
      </w:r>
      <w:r w:rsidR="00BD0C54">
        <w:rPr>
          <w:sz w:val="24"/>
          <w:szCs w:val="24"/>
        </w:rPr>
        <w:t>s</w:t>
      </w:r>
      <w:r>
        <w:rPr>
          <w:sz w:val="24"/>
          <w:szCs w:val="24"/>
        </w:rPr>
        <w:t>ociological perspectives including social and economic factors and psychological perspectives</w:t>
      </w:r>
      <w:r w:rsidR="00DD03D2">
        <w:rPr>
          <w:sz w:val="24"/>
          <w:szCs w:val="24"/>
        </w:rPr>
        <w:t xml:space="preserve"> such as </w:t>
      </w:r>
      <w:r>
        <w:rPr>
          <w:sz w:val="24"/>
          <w:szCs w:val="24"/>
        </w:rPr>
        <w:t xml:space="preserve">people’s personalities, emotions, relationships, and behaviours. </w:t>
      </w:r>
      <w:r w:rsidR="00D0298D">
        <w:rPr>
          <w:sz w:val="24"/>
          <w:szCs w:val="24"/>
        </w:rPr>
        <w:t xml:space="preserve">As Sudbery (2010) states </w:t>
      </w:r>
      <w:r>
        <w:rPr>
          <w:sz w:val="24"/>
          <w:szCs w:val="24"/>
        </w:rPr>
        <w:t>“</w:t>
      </w:r>
      <w:r w:rsidR="009406E0">
        <w:rPr>
          <w:sz w:val="24"/>
          <w:szCs w:val="24"/>
        </w:rPr>
        <w:t>Erikson’s stage of industry verses shame and doubt, at this stage the potential positive outcome should be the child gains confidence in skills that can be acquired and are effective. Erikson’s psychosocial</w:t>
      </w:r>
      <w:r w:rsidR="00086377">
        <w:rPr>
          <w:sz w:val="24"/>
          <w:szCs w:val="24"/>
        </w:rPr>
        <w:t xml:space="preserve"> model</w:t>
      </w:r>
      <w:r w:rsidR="009406E0">
        <w:rPr>
          <w:sz w:val="24"/>
          <w:szCs w:val="24"/>
        </w:rPr>
        <w:t xml:space="preserve"> takes account both of psychosocial development and of the influence of social and cultural factors</w:t>
      </w:r>
      <w:r>
        <w:rPr>
          <w:sz w:val="24"/>
          <w:szCs w:val="24"/>
        </w:rPr>
        <w:t>”</w:t>
      </w:r>
      <w:r w:rsidR="00D0298D">
        <w:rPr>
          <w:sz w:val="24"/>
          <w:szCs w:val="24"/>
        </w:rPr>
        <w:t>.</w:t>
      </w:r>
    </w:p>
    <w:p w14:paraId="4179AA3B" w14:textId="04CD8005" w:rsidR="00B5558E" w:rsidRDefault="00DE7631" w:rsidP="00E505AB">
      <w:pPr>
        <w:spacing w:line="360" w:lineRule="auto"/>
        <w:jc w:val="both"/>
        <w:rPr>
          <w:sz w:val="24"/>
          <w:szCs w:val="24"/>
        </w:rPr>
      </w:pPr>
      <w:r>
        <w:rPr>
          <w:sz w:val="24"/>
          <w:szCs w:val="24"/>
        </w:rPr>
        <w:t>Erikson’s</w:t>
      </w:r>
      <w:r w:rsidR="00B746A8">
        <w:rPr>
          <w:sz w:val="24"/>
          <w:szCs w:val="24"/>
        </w:rPr>
        <w:t xml:space="preserve"> theory focuses on how children perceive and understand the world around them. </w:t>
      </w:r>
      <w:r w:rsidR="005A3215" w:rsidRPr="0038647C">
        <w:rPr>
          <w:sz w:val="24"/>
          <w:szCs w:val="24"/>
        </w:rPr>
        <w:t xml:space="preserve">Between six and </w:t>
      </w:r>
      <w:r w:rsidR="00162A2A">
        <w:rPr>
          <w:sz w:val="24"/>
          <w:szCs w:val="24"/>
        </w:rPr>
        <w:t>twelve</w:t>
      </w:r>
      <w:r w:rsidR="0038647C" w:rsidRPr="0038647C">
        <w:rPr>
          <w:sz w:val="24"/>
          <w:szCs w:val="24"/>
        </w:rPr>
        <w:t xml:space="preserve"> years of age a </w:t>
      </w:r>
      <w:r w:rsidR="005A3215" w:rsidRPr="0038647C">
        <w:rPr>
          <w:sz w:val="24"/>
          <w:szCs w:val="24"/>
        </w:rPr>
        <w:t xml:space="preserve">child’s world expands </w:t>
      </w:r>
      <w:r w:rsidR="0038647C" w:rsidRPr="0038647C">
        <w:rPr>
          <w:sz w:val="24"/>
          <w:szCs w:val="24"/>
        </w:rPr>
        <w:t>outwards</w:t>
      </w:r>
      <w:r w:rsidR="005A3215" w:rsidRPr="0038647C">
        <w:rPr>
          <w:sz w:val="24"/>
          <w:szCs w:val="24"/>
        </w:rPr>
        <w:t xml:space="preserve"> from the family as relationships are </w:t>
      </w:r>
      <w:r w:rsidR="0038647C" w:rsidRPr="0038647C">
        <w:rPr>
          <w:sz w:val="24"/>
          <w:szCs w:val="24"/>
        </w:rPr>
        <w:t>established</w:t>
      </w:r>
      <w:r w:rsidR="005A3215" w:rsidRPr="0038647C">
        <w:rPr>
          <w:sz w:val="24"/>
          <w:szCs w:val="24"/>
        </w:rPr>
        <w:t xml:space="preserve"> with teachers,</w:t>
      </w:r>
      <w:r w:rsidR="0038647C" w:rsidRPr="0038647C">
        <w:rPr>
          <w:sz w:val="24"/>
          <w:szCs w:val="24"/>
        </w:rPr>
        <w:t xml:space="preserve"> friends, </w:t>
      </w:r>
      <w:r w:rsidR="005A3215" w:rsidRPr="0038647C">
        <w:rPr>
          <w:sz w:val="24"/>
          <w:szCs w:val="24"/>
        </w:rPr>
        <w:t>caregivers, and others. Because the</w:t>
      </w:r>
      <w:r w:rsidR="0038647C" w:rsidRPr="0038647C">
        <w:rPr>
          <w:sz w:val="24"/>
          <w:szCs w:val="24"/>
        </w:rPr>
        <w:t>y are now experiencing other influences</w:t>
      </w:r>
      <w:r w:rsidR="005A3215" w:rsidRPr="0038647C">
        <w:rPr>
          <w:sz w:val="24"/>
          <w:szCs w:val="24"/>
        </w:rPr>
        <w:t xml:space="preserve">, many </w:t>
      </w:r>
      <w:r w:rsidR="0038647C" w:rsidRPr="0038647C">
        <w:rPr>
          <w:sz w:val="24"/>
          <w:szCs w:val="24"/>
        </w:rPr>
        <w:t>aspects</w:t>
      </w:r>
      <w:r w:rsidR="005A3215" w:rsidRPr="0038647C">
        <w:rPr>
          <w:sz w:val="24"/>
          <w:szCs w:val="24"/>
        </w:rPr>
        <w:t xml:space="preserve"> can </w:t>
      </w:r>
      <w:r w:rsidR="0038647C" w:rsidRPr="0038647C">
        <w:rPr>
          <w:sz w:val="24"/>
          <w:szCs w:val="24"/>
        </w:rPr>
        <w:t>change</w:t>
      </w:r>
      <w:r w:rsidR="005A3215" w:rsidRPr="0038647C">
        <w:rPr>
          <w:sz w:val="24"/>
          <w:szCs w:val="24"/>
        </w:rPr>
        <w:t xml:space="preserve"> children’s actions and impact how they learn to get along</w:t>
      </w:r>
      <w:r w:rsidR="0038647C" w:rsidRPr="0038647C">
        <w:rPr>
          <w:sz w:val="24"/>
          <w:szCs w:val="24"/>
        </w:rPr>
        <w:t xml:space="preserve"> emotionally in life</w:t>
      </w:r>
      <w:r w:rsidR="005A3215" w:rsidRPr="0038647C">
        <w:rPr>
          <w:sz w:val="24"/>
          <w:szCs w:val="24"/>
        </w:rPr>
        <w:t>. Some situations can create stress</w:t>
      </w:r>
      <w:r w:rsidR="0038647C" w:rsidRPr="0038647C">
        <w:rPr>
          <w:sz w:val="24"/>
          <w:szCs w:val="24"/>
        </w:rPr>
        <w:t>, anxiety</w:t>
      </w:r>
      <w:r w:rsidR="005A3215" w:rsidRPr="0038647C">
        <w:rPr>
          <w:sz w:val="24"/>
          <w:szCs w:val="24"/>
        </w:rPr>
        <w:t xml:space="preserve"> and affect self-esteem.</w:t>
      </w:r>
      <w:r w:rsidR="00F5751B">
        <w:rPr>
          <w:sz w:val="24"/>
          <w:szCs w:val="24"/>
        </w:rPr>
        <w:t xml:space="preserve"> </w:t>
      </w:r>
      <w:r w:rsidR="00695D42">
        <w:rPr>
          <w:sz w:val="24"/>
          <w:szCs w:val="24"/>
        </w:rPr>
        <w:t xml:space="preserve">Maclean (2011) states that </w:t>
      </w:r>
      <w:r w:rsidR="00E36EC7">
        <w:rPr>
          <w:sz w:val="24"/>
          <w:szCs w:val="24"/>
        </w:rPr>
        <w:t>“Children need to be encouraged in their activities; such as painting, sewing or baking, the end product needs to be praised. It is in this sense that the child is industrious. However, if the child’s making activities are dismissed as ‘making a mess’ then this can instil a sense of inferiority in the child”</w:t>
      </w:r>
      <w:r w:rsidR="00695D42">
        <w:rPr>
          <w:sz w:val="24"/>
          <w:szCs w:val="24"/>
        </w:rPr>
        <w:t>.</w:t>
      </w:r>
    </w:p>
    <w:p w14:paraId="3ACBC224" w14:textId="67C75656" w:rsidR="009962B1" w:rsidRDefault="005A3215" w:rsidP="00E505AB">
      <w:pPr>
        <w:spacing w:line="360" w:lineRule="auto"/>
        <w:jc w:val="both"/>
        <w:rPr>
          <w:sz w:val="24"/>
          <w:szCs w:val="24"/>
        </w:rPr>
      </w:pPr>
      <w:r w:rsidRPr="0038647C">
        <w:rPr>
          <w:sz w:val="24"/>
          <w:szCs w:val="24"/>
        </w:rPr>
        <w:t>The middle childhood period is a time to prepare for adolescence</w:t>
      </w:r>
      <w:r>
        <w:rPr>
          <w:rFonts w:ascii="Arial" w:hAnsi="Arial" w:cs="Arial"/>
          <w:color w:val="2D2D2D"/>
          <w:shd w:val="clear" w:color="auto" w:fill="FFFFFF"/>
        </w:rPr>
        <w:t>.</w:t>
      </w:r>
      <w:r w:rsidR="00B746A8">
        <w:rPr>
          <w:sz w:val="24"/>
          <w:szCs w:val="24"/>
        </w:rPr>
        <w:t xml:space="preserve"> </w:t>
      </w:r>
      <w:r w:rsidR="002506D7">
        <w:rPr>
          <w:sz w:val="24"/>
          <w:szCs w:val="24"/>
        </w:rPr>
        <w:t xml:space="preserve">Within middle childhood increased emphasis on peer relationships appear to complement the parent-child relations. </w:t>
      </w:r>
      <w:r w:rsidR="002D1C95">
        <w:rPr>
          <w:sz w:val="24"/>
          <w:szCs w:val="24"/>
        </w:rPr>
        <w:t xml:space="preserve">As </w:t>
      </w:r>
      <w:r w:rsidR="009406E0">
        <w:rPr>
          <w:sz w:val="24"/>
          <w:szCs w:val="24"/>
        </w:rPr>
        <w:t>(</w:t>
      </w:r>
      <w:r w:rsidR="002506D7">
        <w:rPr>
          <w:sz w:val="24"/>
          <w:szCs w:val="24"/>
        </w:rPr>
        <w:t xml:space="preserve">Cole </w:t>
      </w:r>
      <w:r w:rsidR="009406E0">
        <w:rPr>
          <w:sz w:val="24"/>
          <w:szCs w:val="24"/>
        </w:rPr>
        <w:t xml:space="preserve">&amp; </w:t>
      </w:r>
      <w:r w:rsidR="002506D7">
        <w:rPr>
          <w:sz w:val="24"/>
          <w:szCs w:val="24"/>
        </w:rPr>
        <w:t>Cole</w:t>
      </w:r>
      <w:r w:rsidR="009406E0">
        <w:rPr>
          <w:sz w:val="24"/>
          <w:szCs w:val="24"/>
        </w:rPr>
        <w:t>,</w:t>
      </w:r>
      <w:r w:rsidR="002506D7">
        <w:rPr>
          <w:sz w:val="24"/>
          <w:szCs w:val="24"/>
        </w:rPr>
        <w:t xml:space="preserve"> 2001</w:t>
      </w:r>
      <w:r w:rsidR="00086377">
        <w:rPr>
          <w:sz w:val="24"/>
          <w:szCs w:val="24"/>
        </w:rPr>
        <w:t>,</w:t>
      </w:r>
      <w:r w:rsidR="009406E0">
        <w:rPr>
          <w:sz w:val="24"/>
          <w:szCs w:val="24"/>
        </w:rPr>
        <w:t xml:space="preserve"> cited by Harris &amp; Butterworth, 2002</w:t>
      </w:r>
      <w:r w:rsidR="002506D7">
        <w:rPr>
          <w:sz w:val="24"/>
          <w:szCs w:val="24"/>
        </w:rPr>
        <w:t xml:space="preserve">) estimates that 40% of the waking time of six to </w:t>
      </w:r>
      <w:r w:rsidR="00D30ABD">
        <w:rPr>
          <w:sz w:val="24"/>
          <w:szCs w:val="24"/>
        </w:rPr>
        <w:t>twelve-year-olds</w:t>
      </w:r>
      <w:r w:rsidR="002506D7">
        <w:rPr>
          <w:sz w:val="24"/>
          <w:szCs w:val="24"/>
        </w:rPr>
        <w:t xml:space="preserve"> is spent with peers. Middle childhood in most societies is the beginning of formal </w:t>
      </w:r>
      <w:r w:rsidR="0092313A">
        <w:rPr>
          <w:sz w:val="24"/>
          <w:szCs w:val="24"/>
        </w:rPr>
        <w:t>education and the start of being allowed a more unsupervised life, in a playground, classroom or whilst out riding a bicycle.</w:t>
      </w:r>
      <w:r w:rsidR="00877E9B">
        <w:rPr>
          <w:sz w:val="24"/>
          <w:szCs w:val="24"/>
        </w:rPr>
        <w:t xml:space="preserve"> Physical growth continues throughout this state with a height gain of two to three inches each year for both girls and boys. </w:t>
      </w:r>
      <w:r w:rsidR="00F54016">
        <w:rPr>
          <w:sz w:val="24"/>
          <w:szCs w:val="24"/>
        </w:rPr>
        <w:t xml:space="preserve">At age six </w:t>
      </w:r>
      <w:r w:rsidR="00877E9B">
        <w:rPr>
          <w:sz w:val="24"/>
          <w:szCs w:val="24"/>
        </w:rPr>
        <w:t xml:space="preserve">children are on average three and a half feet tall and weigh a fifty pounds; by thirteen they are around five feet tall and weigh a hundred pound. </w:t>
      </w:r>
      <w:r w:rsidR="00E505AB">
        <w:rPr>
          <w:sz w:val="24"/>
          <w:szCs w:val="24"/>
        </w:rPr>
        <w:t xml:space="preserve">It is not clear is there is a necessary psychological significance to the little noticed biological marker of milk teeth being replaced </w:t>
      </w:r>
      <w:r w:rsidR="00E505AB">
        <w:rPr>
          <w:sz w:val="24"/>
          <w:szCs w:val="24"/>
        </w:rPr>
        <w:lastRenderedPageBreak/>
        <w:t>by the eruption of the first adult teeth but as it is universal it presents an easily visible biological benchmark for a new stage in development</w:t>
      </w:r>
      <w:r w:rsidR="00D30ABD">
        <w:rPr>
          <w:sz w:val="24"/>
          <w:szCs w:val="24"/>
        </w:rPr>
        <w:t>.</w:t>
      </w:r>
    </w:p>
    <w:p w14:paraId="1718F38D" w14:textId="77777777" w:rsidR="000F721A" w:rsidRDefault="000F721A" w:rsidP="000F721A">
      <w:pPr>
        <w:spacing w:line="360" w:lineRule="auto"/>
        <w:ind w:left="567" w:right="567"/>
        <w:jc w:val="both"/>
        <w:rPr>
          <w:sz w:val="24"/>
          <w:szCs w:val="24"/>
        </w:rPr>
      </w:pPr>
      <w:r>
        <w:rPr>
          <w:sz w:val="24"/>
          <w:szCs w:val="24"/>
        </w:rPr>
        <w:t xml:space="preserve">Howard, Miles, Rees-Davies &amp; </w:t>
      </w:r>
      <w:proofErr w:type="spellStart"/>
      <w:r>
        <w:rPr>
          <w:sz w:val="24"/>
          <w:szCs w:val="24"/>
        </w:rPr>
        <w:t>Bertenshaw</w:t>
      </w:r>
      <w:proofErr w:type="spellEnd"/>
      <w:r>
        <w:rPr>
          <w:sz w:val="24"/>
          <w:szCs w:val="24"/>
        </w:rPr>
        <w:t xml:space="preserve"> states “Piaget suggests that play in middle childhood reflects the development of operational thought, enabling logical rule-based games. Both Parten and Erikson emphasise social skills and propose that in middle childhood, play promotes negotiation, socialisation and the adoption of cultural trends and rituals (Erikson, 1950, Parten, 1932). Progression in play from birth through to middle childhood has been linked to the development of specific regions of the brain in contemporary neurosequential theories of development (Perry et al., 2000) These theories however are more concerned with what children in middle childhood become able to do, rather than what they actually do. </w:t>
      </w:r>
    </w:p>
    <w:p w14:paraId="43898806" w14:textId="209BCACB" w:rsidR="00A10F42" w:rsidRDefault="005A3215" w:rsidP="00A10F42">
      <w:pPr>
        <w:spacing w:line="360" w:lineRule="auto"/>
        <w:jc w:val="both"/>
        <w:rPr>
          <w:sz w:val="24"/>
          <w:szCs w:val="24"/>
        </w:rPr>
      </w:pPr>
      <w:r>
        <w:rPr>
          <w:sz w:val="24"/>
          <w:szCs w:val="24"/>
        </w:rPr>
        <w:t xml:space="preserve">Between the ages of six to </w:t>
      </w:r>
      <w:r w:rsidR="007A09D3">
        <w:rPr>
          <w:sz w:val="24"/>
          <w:szCs w:val="24"/>
        </w:rPr>
        <w:t xml:space="preserve">twelve </w:t>
      </w:r>
      <w:r>
        <w:rPr>
          <w:sz w:val="24"/>
          <w:szCs w:val="24"/>
        </w:rPr>
        <w:t>years of age</w:t>
      </w:r>
      <w:r w:rsidR="00BD0C54">
        <w:rPr>
          <w:sz w:val="24"/>
          <w:szCs w:val="24"/>
        </w:rPr>
        <w:t xml:space="preserve"> Erikson psychosocial theory observes that</w:t>
      </w:r>
      <w:r>
        <w:rPr>
          <w:sz w:val="24"/>
          <w:szCs w:val="24"/>
        </w:rPr>
        <w:t xml:space="preserve"> children will have emotional changes</w:t>
      </w:r>
      <w:r w:rsidR="00B20B10">
        <w:rPr>
          <w:sz w:val="24"/>
          <w:szCs w:val="24"/>
        </w:rPr>
        <w:t xml:space="preserve">. </w:t>
      </w:r>
      <w:r w:rsidR="00476772">
        <w:rPr>
          <w:sz w:val="24"/>
          <w:szCs w:val="24"/>
        </w:rPr>
        <w:t xml:space="preserve">A clear sign of emotional sophistication is the capability to distinguish between inner emotional experience and the external expression of emotion. During school years, children gain a better understanding and conscious awareness of their own emotions. </w:t>
      </w:r>
      <w:r w:rsidR="009A6B89">
        <w:rPr>
          <w:sz w:val="24"/>
          <w:szCs w:val="24"/>
        </w:rPr>
        <w:t>Successful functioning in society involves children learning when to show their true emotions and when to conceal them. Girls seem to be able to mask negative emotions better than boys</w:t>
      </w:r>
      <w:r w:rsidR="009B553A">
        <w:rPr>
          <w:sz w:val="24"/>
          <w:szCs w:val="24"/>
        </w:rPr>
        <w:t xml:space="preserve"> (</w:t>
      </w:r>
      <w:r w:rsidR="00A55F0C">
        <w:rPr>
          <w:sz w:val="24"/>
          <w:szCs w:val="24"/>
        </w:rPr>
        <w:t>Harris &amp; Butterworth</w:t>
      </w:r>
      <w:r w:rsidR="009B553A">
        <w:rPr>
          <w:sz w:val="24"/>
          <w:szCs w:val="24"/>
        </w:rPr>
        <w:t xml:space="preserve">, </w:t>
      </w:r>
      <w:r w:rsidR="00A55F0C">
        <w:rPr>
          <w:sz w:val="24"/>
          <w:szCs w:val="24"/>
        </w:rPr>
        <w:t>2002)</w:t>
      </w:r>
      <w:r w:rsidR="009B553A">
        <w:rPr>
          <w:sz w:val="24"/>
          <w:szCs w:val="24"/>
        </w:rPr>
        <w:t>.</w:t>
      </w:r>
      <w:r w:rsidR="00086377">
        <w:rPr>
          <w:sz w:val="24"/>
          <w:szCs w:val="24"/>
        </w:rPr>
        <w:t xml:space="preserve"> </w:t>
      </w:r>
    </w:p>
    <w:p w14:paraId="28361688" w14:textId="7ACA7222" w:rsidR="00A10F42" w:rsidRDefault="00A10F42" w:rsidP="007A09D3">
      <w:pPr>
        <w:spacing w:line="360" w:lineRule="auto"/>
        <w:ind w:left="567" w:right="567"/>
        <w:jc w:val="both"/>
        <w:rPr>
          <w:sz w:val="24"/>
          <w:szCs w:val="24"/>
        </w:rPr>
      </w:pPr>
      <w:r>
        <w:rPr>
          <w:sz w:val="24"/>
          <w:szCs w:val="24"/>
        </w:rPr>
        <w:t>In a recent paper by Lapsley (2016) cites McAdams (2015), states “Morality is primary for our eusocial species because without morality we cannot be a eusocial species” (p. 206, emphasis in original). A shared understanding of what is right and wrong is as crucial as food and water. Our capacity for morality may have evolved from social instincts. Haidt’s moral foundation theory is discussed extensively are moral emotions. Learning “what is good” is a matter of socialization. To become socialized in human groups is to become moralized – to learn the rules and norms of the group; to learn how to control yourself so that you do not violate the rules and thereby disrupt the well-being of the group or members in it, and to learn how to be nice, play fair, help others share resources, respect authority and demonstrate loyalty to the group.”</w:t>
      </w:r>
    </w:p>
    <w:p w14:paraId="6D5B74BA" w14:textId="68CACB73" w:rsidR="005A3215" w:rsidRDefault="007A09D3" w:rsidP="00E505AB">
      <w:pPr>
        <w:spacing w:line="360" w:lineRule="auto"/>
        <w:jc w:val="both"/>
        <w:rPr>
          <w:sz w:val="24"/>
          <w:szCs w:val="24"/>
        </w:rPr>
      </w:pPr>
      <w:r>
        <w:rPr>
          <w:sz w:val="24"/>
          <w:szCs w:val="24"/>
        </w:rPr>
        <w:lastRenderedPageBreak/>
        <w:t>B</w:t>
      </w:r>
      <w:r w:rsidR="00A10F42">
        <w:rPr>
          <w:sz w:val="24"/>
          <w:szCs w:val="24"/>
        </w:rPr>
        <w:t xml:space="preserve">etween </w:t>
      </w:r>
      <w:r>
        <w:rPr>
          <w:sz w:val="24"/>
          <w:szCs w:val="24"/>
        </w:rPr>
        <w:t xml:space="preserve">the </w:t>
      </w:r>
      <w:r w:rsidR="00A10F42">
        <w:rPr>
          <w:sz w:val="24"/>
          <w:szCs w:val="24"/>
        </w:rPr>
        <w:t xml:space="preserve">ages </w:t>
      </w:r>
      <w:r>
        <w:rPr>
          <w:sz w:val="24"/>
          <w:szCs w:val="24"/>
        </w:rPr>
        <w:t xml:space="preserve">ten to fourteen puberty normally occurs </w:t>
      </w:r>
      <w:r w:rsidR="00A10F42">
        <w:rPr>
          <w:sz w:val="24"/>
          <w:szCs w:val="24"/>
        </w:rPr>
        <w:t xml:space="preserve">in girls and slightly later in boys which can be an emotional rollercoaster. </w:t>
      </w:r>
      <w:r w:rsidR="00B20B10">
        <w:rPr>
          <w:sz w:val="24"/>
          <w:szCs w:val="24"/>
        </w:rPr>
        <w:t>Puberty can cause unexplained mood swings, low self-esteem aggression and even depressio</w:t>
      </w:r>
      <w:r w:rsidR="00A10F42">
        <w:rPr>
          <w:sz w:val="24"/>
          <w:szCs w:val="24"/>
        </w:rPr>
        <w:t xml:space="preserve">n. </w:t>
      </w:r>
      <w:r w:rsidR="007607C7">
        <w:rPr>
          <w:sz w:val="24"/>
          <w:szCs w:val="24"/>
        </w:rPr>
        <w:t>Desire</w:t>
      </w:r>
      <w:r>
        <w:rPr>
          <w:sz w:val="24"/>
          <w:szCs w:val="24"/>
        </w:rPr>
        <w:t>,</w:t>
      </w:r>
      <w:r w:rsidR="007607C7">
        <w:rPr>
          <w:sz w:val="24"/>
          <w:szCs w:val="24"/>
        </w:rPr>
        <w:t xml:space="preserve"> confusion and fear can also arise</w:t>
      </w:r>
      <w:r w:rsidR="00B710EC">
        <w:rPr>
          <w:sz w:val="24"/>
          <w:szCs w:val="24"/>
        </w:rPr>
        <w:t xml:space="preserve"> </w:t>
      </w:r>
      <w:r w:rsidR="007607C7">
        <w:rPr>
          <w:sz w:val="24"/>
          <w:szCs w:val="24"/>
        </w:rPr>
        <w:t>i</w:t>
      </w:r>
      <w:r w:rsidR="00B710EC">
        <w:rPr>
          <w:sz w:val="24"/>
          <w:szCs w:val="24"/>
        </w:rPr>
        <w:t>n addition to the emotional changes</w:t>
      </w:r>
      <w:r w:rsidR="00625D15">
        <w:rPr>
          <w:sz w:val="24"/>
          <w:szCs w:val="24"/>
        </w:rPr>
        <w:t xml:space="preserve">. These </w:t>
      </w:r>
      <w:r w:rsidR="00B710EC">
        <w:rPr>
          <w:sz w:val="24"/>
          <w:szCs w:val="24"/>
        </w:rPr>
        <w:t>cognitive behavioural changes that Erikson formulated as a ‘crisis theory’</w:t>
      </w:r>
      <w:r w:rsidR="00625D15">
        <w:rPr>
          <w:sz w:val="24"/>
          <w:szCs w:val="24"/>
        </w:rPr>
        <w:t>.</w:t>
      </w:r>
    </w:p>
    <w:p w14:paraId="4638DD3E" w14:textId="77777777" w:rsidR="00591156" w:rsidRDefault="00B710EC" w:rsidP="00E505AB">
      <w:pPr>
        <w:spacing w:line="360" w:lineRule="auto"/>
        <w:jc w:val="both"/>
        <w:rPr>
          <w:sz w:val="24"/>
          <w:szCs w:val="24"/>
        </w:rPr>
      </w:pPr>
      <w:r>
        <w:rPr>
          <w:sz w:val="24"/>
          <w:szCs w:val="24"/>
        </w:rPr>
        <w:t xml:space="preserve">The cognitive behavioural changes that Erikson formulated as a crisis theory was based on his idea that not all ‘crises’ are a negative life occurrence but </w:t>
      </w:r>
      <w:r w:rsidR="00591156">
        <w:rPr>
          <w:sz w:val="24"/>
          <w:szCs w:val="24"/>
        </w:rPr>
        <w:t>rather</w:t>
      </w:r>
      <w:r>
        <w:rPr>
          <w:sz w:val="24"/>
          <w:szCs w:val="24"/>
        </w:rPr>
        <w:t xml:space="preserve"> they can serve as an area of growth which can enable an individual to grow in strength and </w:t>
      </w:r>
      <w:r w:rsidR="00591156">
        <w:rPr>
          <w:sz w:val="24"/>
          <w:szCs w:val="24"/>
        </w:rPr>
        <w:t xml:space="preserve">add </w:t>
      </w:r>
      <w:r>
        <w:rPr>
          <w:sz w:val="24"/>
          <w:szCs w:val="24"/>
        </w:rPr>
        <w:t xml:space="preserve">coping measures which enables them to succeed in every area of their lives. This “growth and development lead to the conceptualization of an idiosyncratic life view and its attendant behaviours, cognitions and emotions” </w:t>
      </w:r>
      <w:r w:rsidR="005E5ABD">
        <w:rPr>
          <w:sz w:val="24"/>
          <w:szCs w:val="24"/>
        </w:rPr>
        <w:t>(Dattilio &amp; Freeman, 2007</w:t>
      </w:r>
      <w:r>
        <w:rPr>
          <w:sz w:val="24"/>
          <w:szCs w:val="24"/>
        </w:rPr>
        <w:t>)</w:t>
      </w:r>
      <w:r w:rsidR="005E5ABD">
        <w:rPr>
          <w:sz w:val="24"/>
          <w:szCs w:val="24"/>
        </w:rPr>
        <w:t>.</w:t>
      </w:r>
      <w:r>
        <w:rPr>
          <w:sz w:val="24"/>
          <w:szCs w:val="24"/>
        </w:rPr>
        <w:t xml:space="preserve"> </w:t>
      </w:r>
    </w:p>
    <w:p w14:paraId="4041FDAB" w14:textId="3666DA48" w:rsidR="00B710EC" w:rsidRDefault="00B710EC" w:rsidP="00E505AB">
      <w:pPr>
        <w:spacing w:line="360" w:lineRule="auto"/>
        <w:jc w:val="both"/>
        <w:rPr>
          <w:sz w:val="24"/>
          <w:szCs w:val="24"/>
        </w:rPr>
      </w:pPr>
      <w:r>
        <w:rPr>
          <w:sz w:val="24"/>
          <w:szCs w:val="24"/>
        </w:rPr>
        <w:t>In relating th</w:t>
      </w:r>
      <w:r w:rsidR="00591156">
        <w:rPr>
          <w:sz w:val="24"/>
          <w:szCs w:val="24"/>
        </w:rPr>
        <w:t>ese theories</w:t>
      </w:r>
      <w:r>
        <w:rPr>
          <w:sz w:val="24"/>
          <w:szCs w:val="24"/>
        </w:rPr>
        <w:t xml:space="preserve"> to health and social care it is important to be able to have an understanding of particular behaviours that have emerged due to the ‘life crisis’ and the resolution or non-resolution of the ‘crisis’. By having an understanding of the clients schema, it then enables the professional to adapt interventions more effectively to help clients resolve or cope with their life crisis at present.</w:t>
      </w:r>
      <w:r w:rsidR="005E5ABD">
        <w:rPr>
          <w:sz w:val="24"/>
          <w:szCs w:val="24"/>
        </w:rPr>
        <w:t xml:space="preserve"> </w:t>
      </w:r>
      <w:r w:rsidR="00591156">
        <w:rPr>
          <w:sz w:val="24"/>
          <w:szCs w:val="24"/>
        </w:rPr>
        <w:t xml:space="preserve">In addition to this having an </w:t>
      </w:r>
      <w:r w:rsidR="000F721A">
        <w:rPr>
          <w:sz w:val="24"/>
          <w:szCs w:val="24"/>
        </w:rPr>
        <w:t>“</w:t>
      </w:r>
      <w:r w:rsidR="00591156">
        <w:rPr>
          <w:sz w:val="24"/>
          <w:szCs w:val="24"/>
        </w:rPr>
        <w:t>understanding how clients lives have been effected by specific experiences has impacted their emotional development, having an understanding of the id, ego and superego can be a useful tool in order to comprehend how past experiences may have had an impact on present behaviours</w:t>
      </w:r>
      <w:r w:rsidR="000F721A">
        <w:rPr>
          <w:sz w:val="24"/>
          <w:szCs w:val="24"/>
        </w:rPr>
        <w:t xml:space="preserve">” </w:t>
      </w:r>
      <w:r w:rsidR="00591156">
        <w:rPr>
          <w:sz w:val="24"/>
          <w:szCs w:val="24"/>
        </w:rPr>
        <w:t>(Deacon &amp; Macdonald, 2017).</w:t>
      </w:r>
    </w:p>
    <w:p w14:paraId="5438BD42" w14:textId="5CA9EA7D" w:rsidR="00C77921" w:rsidRDefault="00C77921" w:rsidP="000F721A">
      <w:pPr>
        <w:spacing w:line="360" w:lineRule="auto"/>
        <w:ind w:left="567" w:right="567"/>
        <w:jc w:val="both"/>
        <w:rPr>
          <w:sz w:val="24"/>
          <w:szCs w:val="24"/>
        </w:rPr>
      </w:pPr>
      <w:r>
        <w:rPr>
          <w:sz w:val="24"/>
          <w:szCs w:val="24"/>
        </w:rPr>
        <w:t>Arnett, 2016 proposes, For most of its first century, psychology was strongly influenced by life style theories Sigmund Freud (1915/1989), Jean Piaget (1936-1952), Lawrence Kohlberg (1958), and Erik Erikson (1950) all propose stage theories that generated a massive amount of research over many decades. These theories were challenged most notably by the behaviourists who denied any inherent life stage program of development. Throughout most of the 20</w:t>
      </w:r>
      <w:r w:rsidRPr="007231C5">
        <w:rPr>
          <w:sz w:val="24"/>
          <w:szCs w:val="24"/>
          <w:vertAlign w:val="superscript"/>
        </w:rPr>
        <w:t>th</w:t>
      </w:r>
      <w:r>
        <w:rPr>
          <w:sz w:val="24"/>
          <w:szCs w:val="24"/>
        </w:rPr>
        <w:t xml:space="preserve"> century stage theories stayed influential. Towards the end of the 20</w:t>
      </w:r>
      <w:r w:rsidRPr="007231C5">
        <w:rPr>
          <w:sz w:val="24"/>
          <w:szCs w:val="24"/>
          <w:vertAlign w:val="superscript"/>
        </w:rPr>
        <w:t>th</w:t>
      </w:r>
      <w:r>
        <w:rPr>
          <w:sz w:val="24"/>
          <w:szCs w:val="24"/>
        </w:rPr>
        <w:t xml:space="preserve"> century development theorists progressively questioned the validity of the stage theories (</w:t>
      </w:r>
      <w:proofErr w:type="spellStart"/>
      <w:r>
        <w:rPr>
          <w:sz w:val="24"/>
          <w:szCs w:val="24"/>
        </w:rPr>
        <w:t>Baltes</w:t>
      </w:r>
      <w:proofErr w:type="spellEnd"/>
      <w:r>
        <w:rPr>
          <w:sz w:val="24"/>
          <w:szCs w:val="24"/>
        </w:rPr>
        <w:t xml:space="preserve">, 1987, 1997; Lerner, </w:t>
      </w:r>
      <w:proofErr w:type="spellStart"/>
      <w:r>
        <w:rPr>
          <w:sz w:val="24"/>
          <w:szCs w:val="24"/>
        </w:rPr>
        <w:t>Hultsch</w:t>
      </w:r>
      <w:proofErr w:type="spellEnd"/>
      <w:r>
        <w:rPr>
          <w:sz w:val="24"/>
          <w:szCs w:val="24"/>
        </w:rPr>
        <w:t xml:space="preserve">, &amp; Dixon, 1983), Nevertheless life stage </w:t>
      </w:r>
      <w:r>
        <w:rPr>
          <w:sz w:val="24"/>
          <w:szCs w:val="24"/>
        </w:rPr>
        <w:lastRenderedPageBreak/>
        <w:t>concepts have still continued in psychology as a frameworks for studying specific fields, from early childhood though to adulthood (Lourenco, 2016)</w:t>
      </w:r>
      <w:r w:rsidR="00505C39">
        <w:rPr>
          <w:sz w:val="24"/>
          <w:szCs w:val="24"/>
        </w:rPr>
        <w:t>.</w:t>
      </w:r>
    </w:p>
    <w:p w14:paraId="4DD9286A" w14:textId="64D6B6FC" w:rsidR="009C41D3" w:rsidRPr="009C41D3" w:rsidRDefault="009C41D3" w:rsidP="009C41D3">
      <w:pPr>
        <w:spacing w:line="360" w:lineRule="auto"/>
        <w:jc w:val="both"/>
        <w:rPr>
          <w:sz w:val="24"/>
          <w:szCs w:val="24"/>
        </w:rPr>
      </w:pPr>
      <w:r w:rsidRPr="009C41D3">
        <w:rPr>
          <w:sz w:val="24"/>
          <w:szCs w:val="24"/>
        </w:rPr>
        <w:t>To conclude this essay, it is important for a professional who works within health and social care to have knowledge of human development. So that a professional is able to understand the clients behaviours due to their life crisis, so that they can adapt interventions for the client to be able to resolve or cope</w:t>
      </w:r>
      <w:r>
        <w:rPr>
          <w:sz w:val="24"/>
          <w:szCs w:val="24"/>
        </w:rPr>
        <w:t xml:space="preserve"> with</w:t>
      </w:r>
      <w:r w:rsidRPr="009C41D3">
        <w:rPr>
          <w:sz w:val="24"/>
          <w:szCs w:val="24"/>
        </w:rPr>
        <w:t xml:space="preserve"> these experiences.</w:t>
      </w:r>
      <w:r>
        <w:rPr>
          <w:sz w:val="24"/>
          <w:szCs w:val="24"/>
        </w:rPr>
        <w:t xml:space="preserve"> </w:t>
      </w:r>
      <w:r w:rsidRPr="009C41D3">
        <w:rPr>
          <w:sz w:val="24"/>
          <w:szCs w:val="24"/>
        </w:rPr>
        <w:t>Piaget’s theory shows how understanding grows. The term schema is used in Piaget’s theory for mental configuration that represent, organise and interpret experiences. Piaget’s concrete operational stage states that a child is able to think logically and see the world from multiple points of view.</w:t>
      </w:r>
      <w:r>
        <w:rPr>
          <w:sz w:val="24"/>
          <w:szCs w:val="24"/>
        </w:rPr>
        <w:t xml:space="preserve"> Erikson’s psychosocial theory investigates the lifespan as comprising of eight stages of which there are positive and negative outcomes depending on the experience and each of these experiences builds on the outcome of the previous experience.</w:t>
      </w:r>
    </w:p>
    <w:p w14:paraId="7D95A243" w14:textId="77777777" w:rsidR="009C41D3" w:rsidRPr="009C41D3" w:rsidRDefault="009C41D3" w:rsidP="009C41D3">
      <w:pPr>
        <w:spacing w:line="360" w:lineRule="auto"/>
        <w:jc w:val="both"/>
        <w:rPr>
          <w:sz w:val="24"/>
          <w:szCs w:val="24"/>
        </w:rPr>
      </w:pPr>
    </w:p>
    <w:p w14:paraId="3F65B24E" w14:textId="77777777" w:rsidR="00C77921" w:rsidRPr="009C41D3" w:rsidRDefault="00C77921" w:rsidP="00E505AB">
      <w:pPr>
        <w:spacing w:line="360" w:lineRule="auto"/>
        <w:jc w:val="both"/>
        <w:rPr>
          <w:sz w:val="24"/>
          <w:szCs w:val="24"/>
        </w:rPr>
      </w:pPr>
    </w:p>
    <w:p w14:paraId="1697B31B" w14:textId="77777777" w:rsidR="00965D1F" w:rsidRDefault="00965D1F" w:rsidP="00E505AB">
      <w:pPr>
        <w:spacing w:line="360" w:lineRule="auto"/>
        <w:jc w:val="both"/>
        <w:rPr>
          <w:sz w:val="24"/>
          <w:szCs w:val="24"/>
        </w:rPr>
      </w:pPr>
    </w:p>
    <w:p w14:paraId="0A176988" w14:textId="30AF00DB" w:rsidR="007607C7" w:rsidRDefault="007607C7" w:rsidP="00E505AB">
      <w:pPr>
        <w:spacing w:line="360" w:lineRule="auto"/>
        <w:jc w:val="both"/>
        <w:rPr>
          <w:sz w:val="24"/>
          <w:szCs w:val="24"/>
        </w:rPr>
      </w:pPr>
      <w:bookmarkStart w:id="0" w:name="_Hlk38912125"/>
    </w:p>
    <w:p w14:paraId="44C0A434" w14:textId="044C3121" w:rsidR="007607C7" w:rsidRDefault="007607C7" w:rsidP="00E505AB">
      <w:pPr>
        <w:spacing w:line="360" w:lineRule="auto"/>
        <w:jc w:val="both"/>
        <w:rPr>
          <w:sz w:val="24"/>
          <w:szCs w:val="24"/>
        </w:rPr>
      </w:pPr>
    </w:p>
    <w:p w14:paraId="7A05838B" w14:textId="55C79DE5" w:rsidR="007607C7" w:rsidRDefault="007607C7" w:rsidP="00E505AB">
      <w:pPr>
        <w:spacing w:line="360" w:lineRule="auto"/>
        <w:jc w:val="both"/>
        <w:rPr>
          <w:sz w:val="24"/>
          <w:szCs w:val="24"/>
        </w:rPr>
      </w:pPr>
    </w:p>
    <w:p w14:paraId="660146C3" w14:textId="3FF7D273" w:rsidR="007607C7" w:rsidRDefault="007607C7" w:rsidP="00E505AB">
      <w:pPr>
        <w:spacing w:line="360" w:lineRule="auto"/>
        <w:jc w:val="both"/>
        <w:rPr>
          <w:sz w:val="24"/>
          <w:szCs w:val="24"/>
        </w:rPr>
      </w:pPr>
    </w:p>
    <w:p w14:paraId="215153A1" w14:textId="36FF693F" w:rsidR="007607C7" w:rsidRDefault="007607C7" w:rsidP="00E505AB">
      <w:pPr>
        <w:spacing w:line="360" w:lineRule="auto"/>
        <w:jc w:val="both"/>
        <w:rPr>
          <w:sz w:val="24"/>
          <w:szCs w:val="24"/>
        </w:rPr>
      </w:pPr>
    </w:p>
    <w:p w14:paraId="7F7555A6" w14:textId="65587369" w:rsidR="007607C7" w:rsidRDefault="007607C7" w:rsidP="00E505AB">
      <w:pPr>
        <w:spacing w:line="360" w:lineRule="auto"/>
        <w:jc w:val="both"/>
        <w:rPr>
          <w:sz w:val="24"/>
          <w:szCs w:val="24"/>
        </w:rPr>
      </w:pPr>
    </w:p>
    <w:p w14:paraId="0D506AEC" w14:textId="3A8A323D" w:rsidR="007607C7" w:rsidRDefault="007607C7" w:rsidP="00E505AB">
      <w:pPr>
        <w:spacing w:line="360" w:lineRule="auto"/>
        <w:jc w:val="both"/>
        <w:rPr>
          <w:sz w:val="24"/>
          <w:szCs w:val="24"/>
        </w:rPr>
      </w:pPr>
    </w:p>
    <w:p w14:paraId="62B61710" w14:textId="219D35DA" w:rsidR="007607C7" w:rsidRDefault="007607C7" w:rsidP="00E505AB">
      <w:pPr>
        <w:spacing w:line="360" w:lineRule="auto"/>
        <w:jc w:val="both"/>
        <w:rPr>
          <w:sz w:val="24"/>
          <w:szCs w:val="24"/>
        </w:rPr>
      </w:pPr>
    </w:p>
    <w:p w14:paraId="2727B52D" w14:textId="7B0DFCAA" w:rsidR="007607C7" w:rsidRDefault="007607C7" w:rsidP="00E505AB">
      <w:pPr>
        <w:spacing w:line="360" w:lineRule="auto"/>
        <w:jc w:val="both"/>
        <w:rPr>
          <w:sz w:val="24"/>
          <w:szCs w:val="24"/>
        </w:rPr>
      </w:pPr>
    </w:p>
    <w:p w14:paraId="62A307AF" w14:textId="236A9D37" w:rsidR="000B561A" w:rsidRDefault="000B561A" w:rsidP="00E505AB">
      <w:pPr>
        <w:spacing w:line="360" w:lineRule="auto"/>
        <w:jc w:val="both"/>
        <w:rPr>
          <w:sz w:val="24"/>
          <w:szCs w:val="24"/>
        </w:rPr>
      </w:pPr>
    </w:p>
    <w:bookmarkEnd w:id="0"/>
    <w:p w14:paraId="3F451AB6" w14:textId="1240FFEF" w:rsidR="00E505AB" w:rsidRPr="00E5355D" w:rsidRDefault="00E505AB" w:rsidP="00E505AB">
      <w:pPr>
        <w:spacing w:line="360" w:lineRule="auto"/>
        <w:jc w:val="both"/>
        <w:rPr>
          <w:sz w:val="24"/>
          <w:szCs w:val="24"/>
          <w:u w:val="single"/>
        </w:rPr>
      </w:pPr>
      <w:r w:rsidRPr="00E5355D">
        <w:rPr>
          <w:sz w:val="24"/>
          <w:szCs w:val="24"/>
          <w:u w:val="single"/>
        </w:rPr>
        <w:lastRenderedPageBreak/>
        <w:t xml:space="preserve">References </w:t>
      </w:r>
    </w:p>
    <w:p w14:paraId="663A2F31" w14:textId="47FA5D8F" w:rsidR="007231C5" w:rsidRPr="007231C5" w:rsidRDefault="007231C5" w:rsidP="007231C5">
      <w:pPr>
        <w:shd w:val="clear" w:color="auto" w:fill="FFFFFF"/>
        <w:spacing w:after="0" w:line="240" w:lineRule="auto"/>
        <w:rPr>
          <w:rFonts w:eastAsia="Times New Roman" w:cstheme="minorHAnsi"/>
          <w:color w:val="333333"/>
          <w:sz w:val="24"/>
          <w:szCs w:val="24"/>
          <w:lang w:eastAsia="en-GB"/>
        </w:rPr>
      </w:pPr>
      <w:r w:rsidRPr="007231C5">
        <w:rPr>
          <w:rFonts w:eastAsia="Times New Roman" w:cstheme="minorHAnsi"/>
          <w:color w:val="333333"/>
          <w:sz w:val="24"/>
          <w:szCs w:val="24"/>
          <w:lang w:eastAsia="en-GB"/>
        </w:rPr>
        <w:t>Arnett, J. (2016). Life Stage Concepts across History and Cultures: Proposal for a New Field on Indigenous Life Stages. </w:t>
      </w:r>
      <w:r w:rsidRPr="007231C5">
        <w:rPr>
          <w:rFonts w:eastAsia="Times New Roman" w:cstheme="minorHAnsi"/>
          <w:i/>
          <w:iCs/>
          <w:color w:val="333333"/>
          <w:sz w:val="24"/>
          <w:szCs w:val="24"/>
          <w:lang w:eastAsia="en-GB"/>
        </w:rPr>
        <w:t>Human Development,</w:t>
      </w:r>
      <w:r w:rsidRPr="007231C5">
        <w:rPr>
          <w:rFonts w:eastAsia="Times New Roman" w:cstheme="minorHAnsi"/>
          <w:color w:val="333333"/>
          <w:sz w:val="24"/>
          <w:szCs w:val="24"/>
          <w:lang w:eastAsia="en-GB"/>
        </w:rPr>
        <w:t> </w:t>
      </w:r>
      <w:r w:rsidRPr="007231C5">
        <w:rPr>
          <w:rFonts w:eastAsia="Times New Roman" w:cstheme="minorHAnsi"/>
          <w:i/>
          <w:iCs/>
          <w:color w:val="333333"/>
          <w:sz w:val="24"/>
          <w:szCs w:val="24"/>
          <w:lang w:eastAsia="en-GB"/>
        </w:rPr>
        <w:t>59</w:t>
      </w:r>
      <w:r w:rsidRPr="007231C5">
        <w:rPr>
          <w:rFonts w:eastAsia="Times New Roman" w:cstheme="minorHAnsi"/>
          <w:color w:val="333333"/>
          <w:sz w:val="24"/>
          <w:szCs w:val="24"/>
          <w:lang w:eastAsia="en-GB"/>
        </w:rPr>
        <w:t>(5), 290-316. doi:10.2307/26765147</w:t>
      </w:r>
    </w:p>
    <w:p w14:paraId="6AE422C5" w14:textId="77777777" w:rsidR="007231C5" w:rsidRPr="007231C5" w:rsidRDefault="007231C5" w:rsidP="007231C5">
      <w:pPr>
        <w:shd w:val="clear" w:color="auto" w:fill="FFFFFF"/>
        <w:spacing w:after="0" w:line="240" w:lineRule="auto"/>
        <w:rPr>
          <w:rFonts w:eastAsia="Times New Roman" w:cstheme="minorHAnsi"/>
          <w:color w:val="333333"/>
          <w:sz w:val="24"/>
          <w:szCs w:val="24"/>
          <w:lang w:eastAsia="en-GB"/>
        </w:rPr>
      </w:pPr>
    </w:p>
    <w:p w14:paraId="14A48D2E" w14:textId="1AE5012C" w:rsidR="005E5ABD" w:rsidRPr="00F91F8B" w:rsidRDefault="005E5ABD" w:rsidP="00E505AB">
      <w:pPr>
        <w:spacing w:line="360" w:lineRule="auto"/>
        <w:jc w:val="both"/>
        <w:rPr>
          <w:sz w:val="24"/>
          <w:szCs w:val="24"/>
        </w:rPr>
      </w:pPr>
      <w:r>
        <w:rPr>
          <w:sz w:val="24"/>
          <w:szCs w:val="24"/>
        </w:rPr>
        <w:t xml:space="preserve">Dattilio, F, M., &amp; Freeman, A. (2007). </w:t>
      </w:r>
      <w:r w:rsidRPr="00F91F8B">
        <w:rPr>
          <w:i/>
          <w:iCs/>
          <w:sz w:val="24"/>
          <w:szCs w:val="24"/>
        </w:rPr>
        <w:t>Cognitive-Behavioural Stra</w:t>
      </w:r>
      <w:r w:rsidR="00F91F8B" w:rsidRPr="00F91F8B">
        <w:rPr>
          <w:i/>
          <w:iCs/>
          <w:sz w:val="24"/>
          <w:szCs w:val="24"/>
        </w:rPr>
        <w:t>tegies in Crisis Intervention</w:t>
      </w:r>
      <w:r w:rsidR="00F91F8B">
        <w:rPr>
          <w:i/>
          <w:iCs/>
          <w:sz w:val="24"/>
          <w:szCs w:val="24"/>
        </w:rPr>
        <w:t xml:space="preserve"> </w:t>
      </w:r>
      <w:r w:rsidR="00F91F8B">
        <w:rPr>
          <w:sz w:val="24"/>
          <w:szCs w:val="24"/>
        </w:rPr>
        <w:t>(3</w:t>
      </w:r>
      <w:r w:rsidR="00F91F8B" w:rsidRPr="00F91F8B">
        <w:rPr>
          <w:sz w:val="24"/>
          <w:szCs w:val="24"/>
          <w:vertAlign w:val="superscript"/>
        </w:rPr>
        <w:t>rd</w:t>
      </w:r>
      <w:r w:rsidR="00F91F8B">
        <w:rPr>
          <w:sz w:val="24"/>
          <w:szCs w:val="24"/>
        </w:rPr>
        <w:t xml:space="preserve"> ed.). New York: The Guilford Press.</w:t>
      </w:r>
    </w:p>
    <w:p w14:paraId="6C0DF978" w14:textId="157BE62B" w:rsidR="00E0750C" w:rsidRPr="00E0750C" w:rsidRDefault="00E0750C" w:rsidP="00E505AB">
      <w:pPr>
        <w:spacing w:line="360" w:lineRule="auto"/>
        <w:jc w:val="both"/>
        <w:rPr>
          <w:sz w:val="24"/>
          <w:szCs w:val="24"/>
        </w:rPr>
      </w:pPr>
      <w:r>
        <w:rPr>
          <w:sz w:val="24"/>
          <w:szCs w:val="24"/>
        </w:rPr>
        <w:t xml:space="preserve">Deacon, L., &amp; Macdonald, S. (2017). </w:t>
      </w:r>
      <w:r w:rsidRPr="00E0750C">
        <w:rPr>
          <w:i/>
          <w:iCs/>
          <w:sz w:val="24"/>
          <w:szCs w:val="24"/>
        </w:rPr>
        <w:t>Social Work Theory and Practice</w:t>
      </w:r>
      <w:r>
        <w:rPr>
          <w:i/>
          <w:iCs/>
          <w:sz w:val="24"/>
          <w:szCs w:val="24"/>
        </w:rPr>
        <w:t xml:space="preserve">. </w:t>
      </w:r>
      <w:r>
        <w:rPr>
          <w:sz w:val="24"/>
          <w:szCs w:val="24"/>
        </w:rPr>
        <w:t>London: Learning Matters.</w:t>
      </w:r>
    </w:p>
    <w:p w14:paraId="6BECF69C" w14:textId="4FD9AD3C" w:rsidR="00795239" w:rsidRDefault="00795239" w:rsidP="00E505AB">
      <w:pPr>
        <w:spacing w:line="360" w:lineRule="auto"/>
        <w:jc w:val="both"/>
        <w:rPr>
          <w:sz w:val="24"/>
          <w:szCs w:val="24"/>
        </w:rPr>
      </w:pPr>
      <w:r>
        <w:rPr>
          <w:sz w:val="24"/>
          <w:szCs w:val="24"/>
        </w:rPr>
        <w:t>Griggs, R.</w:t>
      </w:r>
      <w:r w:rsidR="00955B25">
        <w:rPr>
          <w:sz w:val="24"/>
          <w:szCs w:val="24"/>
        </w:rPr>
        <w:t xml:space="preserve"> </w:t>
      </w:r>
      <w:r>
        <w:rPr>
          <w:sz w:val="24"/>
          <w:szCs w:val="24"/>
        </w:rPr>
        <w:t>A.</w:t>
      </w:r>
      <w:r w:rsidR="00955B25">
        <w:rPr>
          <w:sz w:val="24"/>
          <w:szCs w:val="24"/>
        </w:rPr>
        <w:t>,</w:t>
      </w:r>
      <w:r>
        <w:rPr>
          <w:sz w:val="24"/>
          <w:szCs w:val="24"/>
        </w:rPr>
        <w:t xml:space="preserve"> (2009). </w:t>
      </w:r>
      <w:r w:rsidRPr="00795239">
        <w:rPr>
          <w:i/>
          <w:iCs/>
          <w:sz w:val="24"/>
          <w:szCs w:val="24"/>
        </w:rPr>
        <w:t>Psychology A Concise Introduction</w:t>
      </w:r>
      <w:r>
        <w:rPr>
          <w:i/>
          <w:iCs/>
          <w:sz w:val="24"/>
          <w:szCs w:val="24"/>
        </w:rPr>
        <w:t xml:space="preserve">. </w:t>
      </w:r>
      <w:r>
        <w:rPr>
          <w:sz w:val="24"/>
          <w:szCs w:val="24"/>
        </w:rPr>
        <w:t>United States of America</w:t>
      </w:r>
      <w:r w:rsidR="00955B25">
        <w:rPr>
          <w:sz w:val="24"/>
          <w:szCs w:val="24"/>
        </w:rPr>
        <w:t>:</w:t>
      </w:r>
      <w:r>
        <w:rPr>
          <w:sz w:val="24"/>
          <w:szCs w:val="24"/>
        </w:rPr>
        <w:t xml:space="preserve"> Worth Publishers.</w:t>
      </w:r>
      <w:r>
        <w:rPr>
          <w:i/>
          <w:iCs/>
          <w:sz w:val="24"/>
          <w:szCs w:val="24"/>
        </w:rPr>
        <w:t xml:space="preserve"> </w:t>
      </w:r>
    </w:p>
    <w:p w14:paraId="0DB2D027" w14:textId="6CD7A565" w:rsidR="00321262" w:rsidRDefault="00E505AB" w:rsidP="00321262">
      <w:pPr>
        <w:spacing w:line="360" w:lineRule="auto"/>
        <w:jc w:val="both"/>
        <w:rPr>
          <w:sz w:val="24"/>
          <w:szCs w:val="24"/>
        </w:rPr>
      </w:pPr>
      <w:r>
        <w:rPr>
          <w:sz w:val="24"/>
          <w:szCs w:val="24"/>
        </w:rPr>
        <w:t>Harris, M.</w:t>
      </w:r>
      <w:r w:rsidR="00955B25">
        <w:rPr>
          <w:sz w:val="24"/>
          <w:szCs w:val="24"/>
        </w:rPr>
        <w:t>,</w:t>
      </w:r>
      <w:r w:rsidR="00795D86">
        <w:rPr>
          <w:sz w:val="24"/>
          <w:szCs w:val="24"/>
        </w:rPr>
        <w:t xml:space="preserve"> &amp;</w:t>
      </w:r>
      <w:r>
        <w:rPr>
          <w:sz w:val="24"/>
          <w:szCs w:val="24"/>
        </w:rPr>
        <w:t xml:space="preserve"> </w:t>
      </w:r>
      <w:r w:rsidRPr="00E505AB">
        <w:rPr>
          <w:sz w:val="24"/>
          <w:szCs w:val="24"/>
        </w:rPr>
        <w:t>Butterworth</w:t>
      </w:r>
      <w:r>
        <w:rPr>
          <w:sz w:val="24"/>
          <w:szCs w:val="24"/>
        </w:rPr>
        <w:t>, G</w:t>
      </w:r>
      <w:r w:rsidR="00795239">
        <w:rPr>
          <w:sz w:val="24"/>
          <w:szCs w:val="24"/>
        </w:rPr>
        <w:t>.</w:t>
      </w:r>
      <w:r>
        <w:rPr>
          <w:sz w:val="24"/>
          <w:szCs w:val="24"/>
        </w:rPr>
        <w:t xml:space="preserve"> (2002). </w:t>
      </w:r>
      <w:r>
        <w:rPr>
          <w:i/>
          <w:iCs/>
          <w:sz w:val="24"/>
          <w:szCs w:val="24"/>
        </w:rPr>
        <w:t xml:space="preserve">Developmental Psychology. </w:t>
      </w:r>
      <w:r w:rsidR="00795D86">
        <w:rPr>
          <w:sz w:val="24"/>
          <w:szCs w:val="24"/>
        </w:rPr>
        <w:t xml:space="preserve">New York: </w:t>
      </w:r>
      <w:r>
        <w:rPr>
          <w:sz w:val="24"/>
          <w:szCs w:val="24"/>
        </w:rPr>
        <w:t>Psychology Press Ltd</w:t>
      </w:r>
      <w:r w:rsidR="00795D86">
        <w:rPr>
          <w:sz w:val="24"/>
          <w:szCs w:val="24"/>
        </w:rPr>
        <w:t>.</w:t>
      </w:r>
      <w:r w:rsidR="00890C38">
        <w:rPr>
          <w:sz w:val="24"/>
          <w:szCs w:val="24"/>
        </w:rPr>
        <w:t xml:space="preserve"> </w:t>
      </w:r>
    </w:p>
    <w:p w14:paraId="65882BF5" w14:textId="4874A550" w:rsidR="00BB32AF" w:rsidRDefault="00BB32AF" w:rsidP="00321262">
      <w:pPr>
        <w:spacing w:line="360" w:lineRule="auto"/>
        <w:jc w:val="both"/>
        <w:rPr>
          <w:sz w:val="24"/>
          <w:szCs w:val="24"/>
        </w:rPr>
      </w:pPr>
      <w:r>
        <w:rPr>
          <w:sz w:val="24"/>
          <w:szCs w:val="24"/>
        </w:rPr>
        <w:t>Howard, J.</w:t>
      </w:r>
      <w:r w:rsidR="00955B25">
        <w:rPr>
          <w:sz w:val="24"/>
          <w:szCs w:val="24"/>
        </w:rPr>
        <w:t>,</w:t>
      </w:r>
      <w:r>
        <w:rPr>
          <w:sz w:val="24"/>
          <w:szCs w:val="24"/>
        </w:rPr>
        <w:t xml:space="preserve"> Miles, G. E.</w:t>
      </w:r>
      <w:r w:rsidR="00955B25">
        <w:rPr>
          <w:sz w:val="24"/>
          <w:szCs w:val="24"/>
        </w:rPr>
        <w:t>,</w:t>
      </w:r>
      <w:r>
        <w:rPr>
          <w:sz w:val="24"/>
          <w:szCs w:val="24"/>
        </w:rPr>
        <w:t xml:space="preserve"> </w:t>
      </w:r>
      <w:proofErr w:type="spellStart"/>
      <w:r>
        <w:rPr>
          <w:sz w:val="24"/>
          <w:szCs w:val="24"/>
        </w:rPr>
        <w:t>Ree</w:t>
      </w:r>
      <w:proofErr w:type="spellEnd"/>
      <w:r>
        <w:rPr>
          <w:sz w:val="24"/>
          <w:szCs w:val="24"/>
        </w:rPr>
        <w:t>-Davies, L.</w:t>
      </w:r>
      <w:r w:rsidR="00955B25">
        <w:rPr>
          <w:sz w:val="24"/>
          <w:szCs w:val="24"/>
        </w:rPr>
        <w:t>, &amp;</w:t>
      </w:r>
      <w:r>
        <w:rPr>
          <w:sz w:val="24"/>
          <w:szCs w:val="24"/>
        </w:rPr>
        <w:t xml:space="preserve"> </w:t>
      </w:r>
      <w:proofErr w:type="spellStart"/>
      <w:r>
        <w:rPr>
          <w:sz w:val="24"/>
          <w:szCs w:val="24"/>
        </w:rPr>
        <w:t>Bertenshaw</w:t>
      </w:r>
      <w:proofErr w:type="spellEnd"/>
      <w:r>
        <w:rPr>
          <w:sz w:val="24"/>
          <w:szCs w:val="24"/>
        </w:rPr>
        <w:t>, E. J. (2017). Play in Middle Childhood: Everyday Play Behaviour and Association Emotions.</w:t>
      </w:r>
      <w:r w:rsidR="00A76BE9">
        <w:rPr>
          <w:sz w:val="24"/>
          <w:szCs w:val="24"/>
        </w:rPr>
        <w:t xml:space="preserve"> 31(5), 378-389.</w:t>
      </w:r>
    </w:p>
    <w:p w14:paraId="0409AD4B" w14:textId="5F3A76C0" w:rsidR="00321262" w:rsidRDefault="00321262" w:rsidP="00E505AB">
      <w:pPr>
        <w:spacing w:line="360" w:lineRule="auto"/>
        <w:jc w:val="both"/>
        <w:rPr>
          <w:sz w:val="24"/>
          <w:szCs w:val="24"/>
        </w:rPr>
      </w:pPr>
      <w:proofErr w:type="spellStart"/>
      <w:r>
        <w:rPr>
          <w:sz w:val="24"/>
          <w:szCs w:val="24"/>
        </w:rPr>
        <w:t>Huitt</w:t>
      </w:r>
      <w:proofErr w:type="spellEnd"/>
      <w:r>
        <w:rPr>
          <w:sz w:val="24"/>
          <w:szCs w:val="24"/>
        </w:rPr>
        <w:t>, W., &amp; Hummel, J. (2003). Piaget’s theory of cognitive development.</w:t>
      </w:r>
      <w:r>
        <w:rPr>
          <w:i/>
          <w:iCs/>
          <w:sz w:val="24"/>
          <w:szCs w:val="24"/>
        </w:rPr>
        <w:t xml:space="preserve"> Educational Psychology Interactive. </w:t>
      </w:r>
      <w:r>
        <w:rPr>
          <w:sz w:val="24"/>
          <w:szCs w:val="24"/>
        </w:rPr>
        <w:t xml:space="preserve"> Valdosta, GA: Valdosta State University.</w:t>
      </w:r>
    </w:p>
    <w:p w14:paraId="60EA7C04" w14:textId="337AED3A" w:rsidR="009B553A" w:rsidRDefault="009B553A" w:rsidP="009B553A">
      <w:pPr>
        <w:rPr>
          <w:sz w:val="24"/>
          <w:szCs w:val="24"/>
        </w:rPr>
      </w:pPr>
      <w:r w:rsidRPr="008D55D9">
        <w:rPr>
          <w:sz w:val="24"/>
          <w:szCs w:val="24"/>
          <w:shd w:val="clear" w:color="auto" w:fill="FFFFFF"/>
        </w:rPr>
        <w:t>Lapsley, D. (2016). The Plot Thickens: Personality and Its Development. </w:t>
      </w:r>
      <w:r w:rsidRPr="008D55D9">
        <w:rPr>
          <w:i/>
          <w:iCs/>
          <w:sz w:val="24"/>
          <w:szCs w:val="24"/>
          <w:shd w:val="clear" w:color="auto" w:fill="FFFFFF"/>
        </w:rPr>
        <w:t>Human Development,</w:t>
      </w:r>
      <w:r w:rsidRPr="008D55D9">
        <w:rPr>
          <w:sz w:val="24"/>
          <w:szCs w:val="24"/>
          <w:shd w:val="clear" w:color="auto" w:fill="FFFFFF"/>
        </w:rPr>
        <w:t> </w:t>
      </w:r>
      <w:r w:rsidRPr="008D55D9">
        <w:rPr>
          <w:i/>
          <w:iCs/>
          <w:sz w:val="24"/>
          <w:szCs w:val="24"/>
          <w:shd w:val="clear" w:color="auto" w:fill="FFFFFF"/>
        </w:rPr>
        <w:t>59</w:t>
      </w:r>
      <w:r w:rsidRPr="008D55D9">
        <w:rPr>
          <w:sz w:val="24"/>
          <w:szCs w:val="24"/>
          <w:shd w:val="clear" w:color="auto" w:fill="FFFFFF"/>
        </w:rPr>
        <w:t>(1), 37-48. doi:10.2307/26765134</w:t>
      </w:r>
    </w:p>
    <w:p w14:paraId="668AEFE8" w14:textId="113C875F" w:rsidR="00E36EC7" w:rsidRPr="00665A6A" w:rsidRDefault="00E36EC7" w:rsidP="00E505AB">
      <w:pPr>
        <w:spacing w:line="360" w:lineRule="auto"/>
        <w:jc w:val="both"/>
        <w:rPr>
          <w:sz w:val="24"/>
          <w:szCs w:val="24"/>
        </w:rPr>
      </w:pPr>
      <w:r>
        <w:rPr>
          <w:sz w:val="24"/>
          <w:szCs w:val="24"/>
        </w:rPr>
        <w:t xml:space="preserve">Maclean, S., &amp; Harrison, R. (2011). </w:t>
      </w:r>
      <w:r w:rsidR="00665A6A" w:rsidRPr="00665A6A">
        <w:rPr>
          <w:i/>
          <w:iCs/>
          <w:sz w:val="24"/>
          <w:szCs w:val="24"/>
        </w:rPr>
        <w:t>Theory and Practice A Straightforward Guide for Social Work Students</w:t>
      </w:r>
      <w:r w:rsidR="00665A6A">
        <w:rPr>
          <w:i/>
          <w:iCs/>
          <w:sz w:val="24"/>
          <w:szCs w:val="24"/>
        </w:rPr>
        <w:t xml:space="preserve">. </w:t>
      </w:r>
      <w:proofErr w:type="spellStart"/>
      <w:r w:rsidR="00665A6A">
        <w:rPr>
          <w:sz w:val="24"/>
          <w:szCs w:val="24"/>
        </w:rPr>
        <w:t>Stafffs</w:t>
      </w:r>
      <w:proofErr w:type="spellEnd"/>
      <w:r w:rsidR="00665A6A">
        <w:rPr>
          <w:sz w:val="24"/>
          <w:szCs w:val="24"/>
        </w:rPr>
        <w:t xml:space="preserve">: </w:t>
      </w:r>
      <w:proofErr w:type="spellStart"/>
      <w:r w:rsidR="00665A6A">
        <w:rPr>
          <w:sz w:val="24"/>
          <w:szCs w:val="24"/>
        </w:rPr>
        <w:t>Kirwin</w:t>
      </w:r>
      <w:proofErr w:type="spellEnd"/>
      <w:r w:rsidR="00665A6A">
        <w:rPr>
          <w:sz w:val="24"/>
          <w:szCs w:val="24"/>
        </w:rPr>
        <w:t xml:space="preserve"> Maclean Associates Ltd.</w:t>
      </w:r>
    </w:p>
    <w:p w14:paraId="7CAB2FFE" w14:textId="1A03C014" w:rsidR="003C157A" w:rsidRDefault="003C157A" w:rsidP="00E505AB">
      <w:pPr>
        <w:spacing w:line="360" w:lineRule="auto"/>
        <w:jc w:val="both"/>
        <w:rPr>
          <w:sz w:val="24"/>
          <w:szCs w:val="24"/>
        </w:rPr>
      </w:pPr>
      <w:r>
        <w:rPr>
          <w:sz w:val="24"/>
          <w:szCs w:val="24"/>
        </w:rPr>
        <w:t xml:space="preserve">Sudbery, J. (2010). </w:t>
      </w:r>
      <w:r w:rsidRPr="00B870E6">
        <w:rPr>
          <w:i/>
          <w:iCs/>
          <w:sz w:val="24"/>
          <w:szCs w:val="24"/>
        </w:rPr>
        <w:t>Human Growth and Development</w:t>
      </w:r>
      <w:r>
        <w:rPr>
          <w:sz w:val="24"/>
          <w:szCs w:val="24"/>
        </w:rPr>
        <w:t>. New York: Routledge.</w:t>
      </w:r>
    </w:p>
    <w:p w14:paraId="1CEC7C56" w14:textId="6C63FCE3" w:rsidR="00B870E6" w:rsidRPr="00B870E6" w:rsidRDefault="00B870E6" w:rsidP="00E505AB">
      <w:pPr>
        <w:spacing w:line="360" w:lineRule="auto"/>
        <w:jc w:val="both"/>
        <w:rPr>
          <w:sz w:val="24"/>
          <w:szCs w:val="24"/>
        </w:rPr>
      </w:pPr>
      <w:r>
        <w:rPr>
          <w:sz w:val="24"/>
          <w:szCs w:val="24"/>
        </w:rPr>
        <w:t>Wilson, K.</w:t>
      </w:r>
      <w:r w:rsidR="00955B25">
        <w:rPr>
          <w:sz w:val="24"/>
          <w:szCs w:val="24"/>
        </w:rPr>
        <w:t>,</w:t>
      </w:r>
      <w:r>
        <w:rPr>
          <w:sz w:val="24"/>
          <w:szCs w:val="24"/>
        </w:rPr>
        <w:t xml:space="preserve"> Ruch, G.</w:t>
      </w:r>
      <w:r w:rsidR="00955B25">
        <w:rPr>
          <w:sz w:val="24"/>
          <w:szCs w:val="24"/>
        </w:rPr>
        <w:t>,</w:t>
      </w:r>
      <w:r>
        <w:rPr>
          <w:sz w:val="24"/>
          <w:szCs w:val="24"/>
        </w:rPr>
        <w:t xml:space="preserve"> </w:t>
      </w:r>
      <w:proofErr w:type="spellStart"/>
      <w:r>
        <w:rPr>
          <w:sz w:val="24"/>
          <w:szCs w:val="24"/>
        </w:rPr>
        <w:t>Lymbery</w:t>
      </w:r>
      <w:proofErr w:type="spellEnd"/>
      <w:r>
        <w:rPr>
          <w:sz w:val="24"/>
          <w:szCs w:val="24"/>
        </w:rPr>
        <w:t>, M.</w:t>
      </w:r>
      <w:r w:rsidR="00955B25">
        <w:rPr>
          <w:sz w:val="24"/>
          <w:szCs w:val="24"/>
        </w:rPr>
        <w:t>, &amp;</w:t>
      </w:r>
      <w:r>
        <w:rPr>
          <w:sz w:val="24"/>
          <w:szCs w:val="24"/>
        </w:rPr>
        <w:t xml:space="preserve"> Cooper, A. (2011). </w:t>
      </w:r>
      <w:r>
        <w:rPr>
          <w:i/>
          <w:iCs/>
          <w:sz w:val="24"/>
          <w:szCs w:val="24"/>
        </w:rPr>
        <w:t xml:space="preserve">Social Work An introduction to contemporary practice. </w:t>
      </w:r>
      <w:r>
        <w:rPr>
          <w:sz w:val="24"/>
          <w:szCs w:val="24"/>
        </w:rPr>
        <w:t>Essex: Pearson Education Limited.</w:t>
      </w:r>
    </w:p>
    <w:p w14:paraId="3EA851E2" w14:textId="77777777" w:rsidR="00A34AF7" w:rsidRPr="00E505AB" w:rsidRDefault="00A34AF7" w:rsidP="00E505AB">
      <w:pPr>
        <w:spacing w:line="360" w:lineRule="auto"/>
        <w:jc w:val="both"/>
        <w:rPr>
          <w:sz w:val="24"/>
          <w:szCs w:val="24"/>
        </w:rPr>
      </w:pPr>
    </w:p>
    <w:sectPr w:rsidR="00A34AF7" w:rsidRPr="00E505AB">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52EA40" w14:textId="77777777" w:rsidR="003216FC" w:rsidRDefault="003216FC" w:rsidP="00A14E21">
      <w:pPr>
        <w:spacing w:after="0" w:line="240" w:lineRule="auto"/>
      </w:pPr>
      <w:r>
        <w:separator/>
      </w:r>
    </w:p>
  </w:endnote>
  <w:endnote w:type="continuationSeparator" w:id="0">
    <w:p w14:paraId="6F8605CC" w14:textId="77777777" w:rsidR="003216FC" w:rsidRDefault="003216FC" w:rsidP="00A14E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Segoe UI">
    <w:altName w:val="Sylfaen"/>
    <w:panose1 w:val="020B0604020202020204"/>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24877012"/>
      <w:docPartObj>
        <w:docPartGallery w:val="Page Numbers (Bottom of Page)"/>
        <w:docPartUnique/>
      </w:docPartObj>
    </w:sdtPr>
    <w:sdtEndPr>
      <w:rPr>
        <w:rStyle w:val="PageNumber"/>
      </w:rPr>
    </w:sdtEndPr>
    <w:sdtContent>
      <w:p w14:paraId="05420B86" w14:textId="696360B1" w:rsidR="00A14E21" w:rsidRDefault="00A14E21" w:rsidP="0069603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1A72BA5" w14:textId="77777777" w:rsidR="00A14E21" w:rsidRDefault="00A14E21" w:rsidP="00A14E2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37269473"/>
      <w:docPartObj>
        <w:docPartGallery w:val="Page Numbers (Bottom of Page)"/>
        <w:docPartUnique/>
      </w:docPartObj>
    </w:sdtPr>
    <w:sdtContent>
      <w:p w14:paraId="71E084CD" w14:textId="39456040" w:rsidR="0069603B" w:rsidRDefault="0069603B" w:rsidP="00E8179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63B39B97" w14:textId="77777777" w:rsidR="0069603B" w:rsidRDefault="0069603B" w:rsidP="0069603B">
    <w:pPr>
      <w:pStyle w:val="Footer"/>
      <w:ind w:right="360"/>
    </w:pPr>
    <w:r>
      <w:t>Michelle Young                                        Psychology for Health</w:t>
    </w:r>
  </w:p>
  <w:p w14:paraId="22B91827" w14:textId="77777777" w:rsidR="0069603B" w:rsidRDefault="0069603B">
    <w:pPr>
      <w:pStyle w:val="Footer"/>
    </w:pPr>
    <w:r>
      <w:t xml:space="preserve">                                                                          and Social Care          </w:t>
    </w:r>
  </w:p>
  <w:p w14:paraId="24990960" w14:textId="185D3169" w:rsidR="0069603B" w:rsidRDefault="0069603B">
    <w:pPr>
      <w:pStyle w:val="Footer"/>
    </w:pPr>
    <w:r>
      <w:t xml:space="preserve">                                                                         BMSW4003_LON        </w:t>
    </w:r>
  </w:p>
  <w:p w14:paraId="1E0A1B96" w14:textId="77777777" w:rsidR="00A14E21" w:rsidRDefault="00A14E21" w:rsidP="00A14E2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654D90" w14:textId="77777777" w:rsidR="003216FC" w:rsidRDefault="003216FC" w:rsidP="00A14E21">
      <w:pPr>
        <w:spacing w:after="0" w:line="240" w:lineRule="auto"/>
      </w:pPr>
      <w:r>
        <w:separator/>
      </w:r>
    </w:p>
  </w:footnote>
  <w:footnote w:type="continuationSeparator" w:id="0">
    <w:p w14:paraId="4855E65B" w14:textId="77777777" w:rsidR="003216FC" w:rsidRDefault="003216FC" w:rsidP="00A14E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CB1EB8"/>
    <w:multiLevelType w:val="multilevel"/>
    <w:tmpl w:val="84AA1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8A6B3D"/>
    <w:multiLevelType w:val="hybridMultilevel"/>
    <w:tmpl w:val="A1DE501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44AA7FDE"/>
    <w:multiLevelType w:val="hybridMultilevel"/>
    <w:tmpl w:val="810E867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6E7B"/>
    <w:rsid w:val="000320AB"/>
    <w:rsid w:val="00035387"/>
    <w:rsid w:val="00086377"/>
    <w:rsid w:val="000B561A"/>
    <w:rsid w:val="000D73FB"/>
    <w:rsid w:val="000E1C04"/>
    <w:rsid w:val="000E563C"/>
    <w:rsid w:val="000F721A"/>
    <w:rsid w:val="00162A2A"/>
    <w:rsid w:val="001928AD"/>
    <w:rsid w:val="001A009D"/>
    <w:rsid w:val="001D2F01"/>
    <w:rsid w:val="001E49DA"/>
    <w:rsid w:val="001F5C9C"/>
    <w:rsid w:val="00211F4E"/>
    <w:rsid w:val="00212F45"/>
    <w:rsid w:val="002506D7"/>
    <w:rsid w:val="002A3F3D"/>
    <w:rsid w:val="002D1C95"/>
    <w:rsid w:val="002E51BA"/>
    <w:rsid w:val="002F6E7B"/>
    <w:rsid w:val="00321262"/>
    <w:rsid w:val="003216FC"/>
    <w:rsid w:val="003254AF"/>
    <w:rsid w:val="00332268"/>
    <w:rsid w:val="0038647C"/>
    <w:rsid w:val="003C157A"/>
    <w:rsid w:val="003D4528"/>
    <w:rsid w:val="003D7859"/>
    <w:rsid w:val="00402163"/>
    <w:rsid w:val="00476772"/>
    <w:rsid w:val="00493BC6"/>
    <w:rsid w:val="00505C39"/>
    <w:rsid w:val="0051623C"/>
    <w:rsid w:val="0056159F"/>
    <w:rsid w:val="00591156"/>
    <w:rsid w:val="005A3215"/>
    <w:rsid w:val="005E2AC7"/>
    <w:rsid w:val="005E5ABD"/>
    <w:rsid w:val="005F4ABE"/>
    <w:rsid w:val="00625D15"/>
    <w:rsid w:val="006421CC"/>
    <w:rsid w:val="00665A6A"/>
    <w:rsid w:val="00693F99"/>
    <w:rsid w:val="00695D42"/>
    <w:rsid w:val="0069603B"/>
    <w:rsid w:val="006974A0"/>
    <w:rsid w:val="006B5F83"/>
    <w:rsid w:val="007231C5"/>
    <w:rsid w:val="007607C7"/>
    <w:rsid w:val="00795239"/>
    <w:rsid w:val="00795D86"/>
    <w:rsid w:val="007A09D3"/>
    <w:rsid w:val="007B7185"/>
    <w:rsid w:val="007E1EFB"/>
    <w:rsid w:val="0084030A"/>
    <w:rsid w:val="00877E9B"/>
    <w:rsid w:val="00890C38"/>
    <w:rsid w:val="008B1681"/>
    <w:rsid w:val="008C6BA8"/>
    <w:rsid w:val="008D254A"/>
    <w:rsid w:val="008D7095"/>
    <w:rsid w:val="0090229B"/>
    <w:rsid w:val="0092313A"/>
    <w:rsid w:val="009406E0"/>
    <w:rsid w:val="00955B25"/>
    <w:rsid w:val="00965D1F"/>
    <w:rsid w:val="009962B1"/>
    <w:rsid w:val="009A6B89"/>
    <w:rsid w:val="009B553A"/>
    <w:rsid w:val="009C41D3"/>
    <w:rsid w:val="00A01EF8"/>
    <w:rsid w:val="00A10F42"/>
    <w:rsid w:val="00A14E21"/>
    <w:rsid w:val="00A24C84"/>
    <w:rsid w:val="00A25822"/>
    <w:rsid w:val="00A30269"/>
    <w:rsid w:val="00A34AF7"/>
    <w:rsid w:val="00A55F0C"/>
    <w:rsid w:val="00A76BE9"/>
    <w:rsid w:val="00AA7C66"/>
    <w:rsid w:val="00AC2038"/>
    <w:rsid w:val="00B20B10"/>
    <w:rsid w:val="00B26895"/>
    <w:rsid w:val="00B5558E"/>
    <w:rsid w:val="00B710EC"/>
    <w:rsid w:val="00B746A8"/>
    <w:rsid w:val="00B82837"/>
    <w:rsid w:val="00B870E6"/>
    <w:rsid w:val="00BB0DF3"/>
    <w:rsid w:val="00BB32AF"/>
    <w:rsid w:val="00BD0C54"/>
    <w:rsid w:val="00BF642A"/>
    <w:rsid w:val="00C77921"/>
    <w:rsid w:val="00CD428A"/>
    <w:rsid w:val="00D0298D"/>
    <w:rsid w:val="00D30ABD"/>
    <w:rsid w:val="00DA4844"/>
    <w:rsid w:val="00DA55CA"/>
    <w:rsid w:val="00DD03D2"/>
    <w:rsid w:val="00DE661F"/>
    <w:rsid w:val="00DE7631"/>
    <w:rsid w:val="00DF5906"/>
    <w:rsid w:val="00E0750C"/>
    <w:rsid w:val="00E36EC7"/>
    <w:rsid w:val="00E505AB"/>
    <w:rsid w:val="00E5355D"/>
    <w:rsid w:val="00E77F45"/>
    <w:rsid w:val="00E84A5F"/>
    <w:rsid w:val="00E85414"/>
    <w:rsid w:val="00E973AD"/>
    <w:rsid w:val="00EC12D3"/>
    <w:rsid w:val="00EE03DA"/>
    <w:rsid w:val="00F26DB5"/>
    <w:rsid w:val="00F54016"/>
    <w:rsid w:val="00F5751B"/>
    <w:rsid w:val="00F7010E"/>
    <w:rsid w:val="00F73A2A"/>
    <w:rsid w:val="00F91F8B"/>
    <w:rsid w:val="00FA556B"/>
    <w:rsid w:val="00FC2FB0"/>
    <w:rsid w:val="00FD65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E13BA"/>
  <w15:chartTrackingRefBased/>
  <w15:docId w15:val="{4017B9EC-5030-4693-AA02-25ED177C6B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E85414"/>
    <w:rPr>
      <w:i/>
      <w:iCs/>
    </w:rPr>
  </w:style>
  <w:style w:type="character" w:styleId="Hyperlink">
    <w:name w:val="Hyperlink"/>
    <w:basedOn w:val="DefaultParagraphFont"/>
    <w:uiPriority w:val="99"/>
    <w:unhideWhenUsed/>
    <w:rsid w:val="00E85414"/>
    <w:rPr>
      <w:color w:val="0000FF"/>
      <w:u w:val="single"/>
    </w:rPr>
  </w:style>
  <w:style w:type="table" w:styleId="TableGrid">
    <w:name w:val="Table Grid"/>
    <w:basedOn w:val="TableNormal"/>
    <w:uiPriority w:val="59"/>
    <w:rsid w:val="00A25822"/>
    <w:pPr>
      <w:spacing w:after="0" w:line="240" w:lineRule="auto"/>
    </w:pPr>
    <w:rPr>
      <w:rFonts w:eastAsiaTheme="minorEastAsia"/>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8C6BA8"/>
    <w:rPr>
      <w:color w:val="605E5C"/>
      <w:shd w:val="clear" w:color="auto" w:fill="E1DFDD"/>
    </w:rPr>
  </w:style>
  <w:style w:type="paragraph" w:styleId="BalloonText">
    <w:name w:val="Balloon Text"/>
    <w:basedOn w:val="Normal"/>
    <w:link w:val="BalloonTextChar"/>
    <w:uiPriority w:val="99"/>
    <w:semiHidden/>
    <w:unhideWhenUsed/>
    <w:rsid w:val="009406E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406E0"/>
    <w:rPr>
      <w:rFonts w:ascii="Segoe UI" w:hAnsi="Segoe UI" w:cs="Segoe UI"/>
      <w:sz w:val="18"/>
      <w:szCs w:val="18"/>
    </w:rPr>
  </w:style>
  <w:style w:type="paragraph" w:styleId="NormalWeb">
    <w:name w:val="Normal (Web)"/>
    <w:basedOn w:val="Normal"/>
    <w:uiPriority w:val="99"/>
    <w:semiHidden/>
    <w:unhideWhenUsed/>
    <w:rsid w:val="00493BC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93BC6"/>
    <w:pPr>
      <w:ind w:left="720"/>
      <w:contextualSpacing/>
    </w:pPr>
  </w:style>
  <w:style w:type="paragraph" w:styleId="Footer">
    <w:name w:val="footer"/>
    <w:basedOn w:val="Normal"/>
    <w:link w:val="FooterChar"/>
    <w:uiPriority w:val="99"/>
    <w:unhideWhenUsed/>
    <w:rsid w:val="00A14E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4E21"/>
  </w:style>
  <w:style w:type="character" w:styleId="PageNumber">
    <w:name w:val="page number"/>
    <w:basedOn w:val="DefaultParagraphFont"/>
    <w:uiPriority w:val="99"/>
    <w:semiHidden/>
    <w:unhideWhenUsed/>
    <w:rsid w:val="00A14E21"/>
  </w:style>
  <w:style w:type="paragraph" w:styleId="Header">
    <w:name w:val="header"/>
    <w:basedOn w:val="Normal"/>
    <w:link w:val="HeaderChar"/>
    <w:uiPriority w:val="99"/>
    <w:unhideWhenUsed/>
    <w:rsid w:val="006960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60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31184842">
      <w:bodyDiv w:val="1"/>
      <w:marLeft w:val="0"/>
      <w:marRight w:val="0"/>
      <w:marTop w:val="0"/>
      <w:marBottom w:val="0"/>
      <w:divBdr>
        <w:top w:val="none" w:sz="0" w:space="0" w:color="auto"/>
        <w:left w:val="none" w:sz="0" w:space="0" w:color="auto"/>
        <w:bottom w:val="none" w:sz="0" w:space="0" w:color="auto"/>
        <w:right w:val="none" w:sz="0" w:space="0" w:color="auto"/>
      </w:divBdr>
      <w:divsChild>
        <w:div w:id="1220173014">
          <w:marLeft w:val="0"/>
          <w:marRight w:val="0"/>
          <w:marTop w:val="0"/>
          <w:marBottom w:val="0"/>
          <w:divBdr>
            <w:top w:val="none" w:sz="0" w:space="0" w:color="auto"/>
            <w:left w:val="none" w:sz="0" w:space="0" w:color="auto"/>
            <w:bottom w:val="none" w:sz="0" w:space="0" w:color="auto"/>
            <w:right w:val="none" w:sz="0" w:space="0" w:color="auto"/>
          </w:divBdr>
          <w:divsChild>
            <w:div w:id="1165127176">
              <w:marLeft w:val="0"/>
              <w:marRight w:val="0"/>
              <w:marTop w:val="0"/>
              <w:marBottom w:val="0"/>
              <w:divBdr>
                <w:top w:val="none" w:sz="0" w:space="0" w:color="auto"/>
                <w:left w:val="none" w:sz="0" w:space="0" w:color="auto"/>
                <w:bottom w:val="none" w:sz="0" w:space="0" w:color="auto"/>
                <w:right w:val="none" w:sz="0" w:space="0" w:color="auto"/>
              </w:divBdr>
              <w:divsChild>
                <w:div w:id="1809742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4424490">
      <w:bodyDiv w:val="1"/>
      <w:marLeft w:val="0"/>
      <w:marRight w:val="0"/>
      <w:marTop w:val="0"/>
      <w:marBottom w:val="0"/>
      <w:divBdr>
        <w:top w:val="none" w:sz="0" w:space="0" w:color="auto"/>
        <w:left w:val="none" w:sz="0" w:space="0" w:color="auto"/>
        <w:bottom w:val="none" w:sz="0" w:space="0" w:color="auto"/>
        <w:right w:val="none" w:sz="0" w:space="0" w:color="auto"/>
      </w:divBdr>
      <w:divsChild>
        <w:div w:id="437333767">
          <w:marLeft w:val="0"/>
          <w:marRight w:val="0"/>
          <w:marTop w:val="0"/>
          <w:marBottom w:val="0"/>
          <w:divBdr>
            <w:top w:val="single" w:sz="6" w:space="0" w:color="CCCCCC"/>
            <w:left w:val="single" w:sz="6" w:space="0" w:color="CCCCCC"/>
            <w:bottom w:val="single" w:sz="6" w:space="0" w:color="CCCCCC"/>
            <w:right w:val="single" w:sz="6" w:space="0" w:color="CCCCCC"/>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7BAACA-2501-3B4E-8D5E-C26997F932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2333</Words>
  <Characters>13301</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Young (1817010)</dc:creator>
  <cp:keywords/>
  <dc:description/>
  <cp:lastModifiedBy>markadams159@yahoo.co.uk</cp:lastModifiedBy>
  <cp:revision>2</cp:revision>
  <dcterms:created xsi:type="dcterms:W3CDTF">2020-04-28T16:27:00Z</dcterms:created>
  <dcterms:modified xsi:type="dcterms:W3CDTF">2020-04-28T16:27:00Z</dcterms:modified>
</cp:coreProperties>
</file>