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7AFAB" w14:textId="2D23BE8F" w:rsidR="001A0AD4" w:rsidRPr="001A0AD4" w:rsidRDefault="001A0AD4" w:rsidP="001A0AD4">
      <w:pPr>
        <w:jc w:val="center"/>
        <w:rPr>
          <w:u w:val="single"/>
        </w:rPr>
      </w:pPr>
      <w:r>
        <w:rPr>
          <w:u w:val="single"/>
        </w:rPr>
        <w:t xml:space="preserve">Analysis Of </w:t>
      </w:r>
      <w:proofErr w:type="gramStart"/>
      <w:r>
        <w:rPr>
          <w:u w:val="single"/>
        </w:rPr>
        <w:t>The</w:t>
      </w:r>
      <w:proofErr w:type="gramEnd"/>
      <w:r>
        <w:rPr>
          <w:u w:val="single"/>
        </w:rPr>
        <w:t xml:space="preserve"> Good Friday Agreement</w:t>
      </w:r>
    </w:p>
    <w:p w14:paraId="2C2E1EC1" w14:textId="77777777" w:rsidR="001A0AD4" w:rsidRDefault="001A0AD4" w:rsidP="00ED521A"/>
    <w:p w14:paraId="4193A246" w14:textId="1E26A654" w:rsidR="00ED521A" w:rsidRDefault="00ED521A" w:rsidP="00ED521A">
      <w:r w:rsidRPr="00ED521A">
        <w:t xml:space="preserve">The Good Friday Agreement (GFA), executed on April 10, 1998, represented a significant milestone in the historical context of Ireland and the United Kingdom. Following </w:t>
      </w:r>
      <w:proofErr w:type="gramStart"/>
      <w:r w:rsidRPr="00ED521A">
        <w:t>nearly thirty</w:t>
      </w:r>
      <w:proofErr w:type="gramEnd"/>
      <w:r w:rsidRPr="00ED521A">
        <w:t xml:space="preserve"> years of conflict termed the Troubles, which resulted in over 3,500 fatalities and deepened sectarian divisions within Northern Irish society, the Good Friday Agreement established the groundwork for enduring peace. The agreement was a multi-party accord facilitated by the British and Irish governments, alongside key political entities in Northern Ireland, such as the Ulster Unionist Party (UUP), the Social Democratic and Labour Party (SDLP), and Sinn Féin. The Agreement's key accomplishments included the creation of a devolved Northern Ireland Assembly founded on power-sharing principles, the decommissioning of paramilitary weapons, and the acknowledgement that the constitutional status of Northern Ireland would be determined solely by the consent of its p</w:t>
      </w:r>
      <w:r>
        <w:t>eople</w:t>
      </w:r>
      <w:r w:rsidRPr="00ED521A">
        <w:t>.</w:t>
      </w:r>
      <w:r>
        <w:rPr>
          <w:rStyle w:val="FootnoteReference"/>
        </w:rPr>
        <w:footnoteReference w:id="1"/>
      </w:r>
      <w:r w:rsidRPr="00ED521A">
        <w:t xml:space="preserve"> The GFA represented the culmination of extensive negotiations and was significantly shaped by external influences, including U.S. involvement. Senator George Mitchell served as a mediator. The geopolitical context of the late 20th century, characterised by the European Union's endorsement of cross-border cooperation, significantly influenced the formulation of the Agreement. The GFA, while achieving immediate success in terminating large-scale violence, encountered criticism from both hardline Unionists and Republicans, who perceived it as a compromise that weakened their respective objectives.</w:t>
      </w:r>
      <w:r>
        <w:rPr>
          <w:rStyle w:val="FootnoteReference"/>
        </w:rPr>
        <w:footnoteReference w:id="2"/>
      </w:r>
      <w:r w:rsidRPr="00ED521A">
        <w:t xml:space="preserve"> This analysis will examine the key provisions and political dynamics of the time to highlight the enduring significance of the GFA in shaping contemporary Northern Irish politics. </w:t>
      </w:r>
    </w:p>
    <w:p w14:paraId="42FA60DF" w14:textId="489260A1" w:rsidR="00B455A2" w:rsidRDefault="00ED521A" w:rsidP="00ED521A">
      <w:r w:rsidRPr="00ED521A">
        <w:br/>
        <w:t xml:space="preserve">The Good Friday Agreement </w:t>
      </w:r>
      <w:r w:rsidR="00795110" w:rsidRPr="00ED521A">
        <w:t>is</w:t>
      </w:r>
      <w:r w:rsidRPr="00ED521A">
        <w:t xml:space="preserve"> a significant document in Irish history, as </w:t>
      </w:r>
      <w:proofErr w:type="gramStart"/>
      <w:r w:rsidRPr="00ED521A">
        <w:t>it was collaboratively authored by various parties</w:t>
      </w:r>
      <w:proofErr w:type="gramEnd"/>
      <w:r w:rsidRPr="00ED521A">
        <w:t xml:space="preserve">, each possessing unique motivations and political objectives. The key signatories comprised the British and Irish governments, represented by UK Prime Minister Tony Blair and Irish Taoiseach Bertie Ahern, alongside delegates from Northern Ireland’s political factions, including David Trimble of the UUP, Gerry Adams of Sinn Féin, and John Hume of the SDLP. The Agreement </w:t>
      </w:r>
      <w:proofErr w:type="gramStart"/>
      <w:r w:rsidRPr="00ED521A">
        <w:t>was facilitated</w:t>
      </w:r>
      <w:proofErr w:type="gramEnd"/>
      <w:r w:rsidRPr="00ED521A">
        <w:t xml:space="preserve"> through U.S. mediation. Senator George Mitchell's involvement highlighted the international importance of the peace process (Mitchell, 1999). </w:t>
      </w:r>
      <w:r w:rsidRPr="00ED521A">
        <w:br/>
      </w:r>
      <w:r w:rsidRPr="00ED521A">
        <w:br/>
        <w:t xml:space="preserve">The British government’s involvement </w:t>
      </w:r>
      <w:proofErr w:type="gramStart"/>
      <w:r w:rsidRPr="00ED521A">
        <w:t>was primarily motivated</w:t>
      </w:r>
      <w:proofErr w:type="gramEnd"/>
      <w:r w:rsidRPr="00ED521A">
        <w:t xml:space="preserve"> by the objective of resolving the prolonged conflict that had severely impacted Northern Ireland's political, economic, and social structures. Tony Blair's Labour government, which came to power in 1997, aimed to leverage changing political dynamics to establish a sustainable peace. Blair viewed the GFA </w:t>
      </w:r>
      <w:r w:rsidR="007E1F7C" w:rsidRPr="00ED521A">
        <w:t>to</w:t>
      </w:r>
      <w:r w:rsidRPr="00ED521A">
        <w:t xml:space="preserve"> stabilise Northern Ireland, decrease military and security expenditures, and improve relations between the UK and Ireland (Bew, 2007). The government's approach emphasised inclusivity, which was crucial for incorporating previously excluded parties, such as Sinn Féin, into the negotiation process. The Irish government, under the leadership of Bertie Ahern, had a significant interest in achieving peace, albeit from a distinct perspective. The conflict in Northern Ireland presented both domestic and diplomatic challenges for the Republic of Ireland. Ahern’s government aimed to safeguard the interests of Irish nationalists in the North while promoting cross-border cooperation to enhance relations between the two regions of Ireland. The Agreement's provisions for an all-island approach to specific issues, including trade and human rights, </w:t>
      </w:r>
      <w:r w:rsidR="007E1F7C" w:rsidRPr="00ED521A">
        <w:lastRenderedPageBreak/>
        <w:t>proved</w:t>
      </w:r>
      <w:r w:rsidRPr="00ED521A">
        <w:t xml:space="preserve"> Dublin's enduring objective of promoting closer relations without overtly advocating for immediate Irish reunification.</w:t>
      </w:r>
      <w:r>
        <w:rPr>
          <w:rStyle w:val="FootnoteReference"/>
        </w:rPr>
        <w:footnoteReference w:id="3"/>
      </w:r>
      <w:r w:rsidRPr="00ED521A">
        <w:t xml:space="preserve"> The political parties in Northern Ireland exhibited varied and frequently opposing motivations in their support for the Agreement. The UUP, under the leadership of David Trimble, regarded the GFA as a mechanism to preserve Northern Ireland's union with the United Kingdom while ensuring political stability. The UUP, which represents the predominant Protestant Unionist faction, sought to obstruct a unilateral nationalist initiative for reunification while protecting Unionist interests via power-sharing arrangements.</w:t>
      </w:r>
      <w:r>
        <w:rPr>
          <w:rStyle w:val="FootnoteReference"/>
        </w:rPr>
        <w:footnoteReference w:id="4"/>
      </w:r>
      <w:r w:rsidRPr="00ED521A">
        <w:br/>
      </w:r>
      <w:r w:rsidRPr="00ED521A">
        <w:br/>
      </w:r>
      <w:r w:rsidRPr="00ED521A">
        <w:br/>
      </w:r>
      <w:r w:rsidRPr="00ED521A">
        <w:br/>
        <w:t xml:space="preserve">Sinn Féin, the political arm of the Irish Republican Army (IRA) under Gerry Adams, endorsed the GFA as a pragmatic measure to enhance political influence for nationalists. Sinn Féin did not </w:t>
      </w:r>
      <w:r w:rsidR="007E1F7C" w:rsidRPr="00ED521A">
        <w:t>reach</w:t>
      </w:r>
      <w:r w:rsidRPr="00ED521A">
        <w:t xml:space="preserve"> its objective of a united Ireland; however, the Good Friday Agreement facilitated its participation in mainstream politics, enabling the representation of the nationalist community's interests in the newly established Assembly. The decommissioning of weapons and the principle of consent represent significant compromises, illustrating the party's strategy of gradual advancement towards long-term </w:t>
      </w:r>
      <w:r w:rsidR="007E1F7C" w:rsidRPr="00ED521A">
        <w:t>goals</w:t>
      </w:r>
      <w:r w:rsidRPr="00ED521A">
        <w:t>.</w:t>
      </w:r>
      <w:r>
        <w:rPr>
          <w:rStyle w:val="FootnoteReference"/>
        </w:rPr>
        <w:footnoteReference w:id="5"/>
      </w:r>
      <w:r w:rsidRPr="00ED521A">
        <w:t xml:space="preserve"> John Hume's SDLP, characterised as a moderate nationalist entity, regarded the Agreement as the apex of its enduring commitment to peaceful constitutional politics. Hume advocated for dialogue and reconciliation during the Troubles, perceiving the Good Friday Agreement as the actualisation of his vision for a peaceful Northern Ireland, wherein both communities could coexist through democratic processes.</w:t>
      </w:r>
      <w:r>
        <w:rPr>
          <w:rStyle w:val="FootnoteReference"/>
        </w:rPr>
        <w:footnoteReference w:id="6"/>
      </w:r>
      <w:r w:rsidRPr="00ED521A">
        <w:t xml:space="preserve"> The involvement of external actors, especially the United States. Senator George Mitchell played a critical role in the success of the Agreement. Mitchell's function as an impartial mediator </w:t>
      </w:r>
      <w:r w:rsidR="007E1F7C" w:rsidRPr="00ED521A">
        <w:t>eased</w:t>
      </w:r>
      <w:r w:rsidRPr="00ED521A">
        <w:t xml:space="preserve"> the establishment of trust among historically adversarial parties. His patience and diplomatic skills were crucial for sustaining momentum throughout the </w:t>
      </w:r>
      <w:r w:rsidR="00795110" w:rsidRPr="00ED521A">
        <w:t>often-tense</w:t>
      </w:r>
      <w:r w:rsidRPr="00ED521A">
        <w:t xml:space="preserve"> negotiations (Mitchell, 1999). The authorship of the GFA illustrates the varied and occasionally conflicting motivations of its signatories. Although each party pursued distinct objectives, from preserving the union to fulfilling nationalist ambitions, all acknowledged that peace and political stability necessitated compromise. The shared recognition was fundamental to the success of the Agreement, establishing it as a significant milestone in Irish, British, and international politics. </w:t>
      </w:r>
      <w:r w:rsidRPr="00ED521A">
        <w:br/>
      </w:r>
      <w:r w:rsidRPr="00ED521A">
        <w:br/>
        <w:t xml:space="preserve">The GFA </w:t>
      </w:r>
      <w:proofErr w:type="gramStart"/>
      <w:r w:rsidRPr="00ED521A">
        <w:t>was signed</w:t>
      </w:r>
      <w:proofErr w:type="gramEnd"/>
      <w:r w:rsidRPr="00ED521A">
        <w:t xml:space="preserve"> on April 10, 1998, following multi-party negotiations involving the British and Irish governments and significant Northern Irish political groups. The Belfast Agreement </w:t>
      </w:r>
      <w:proofErr w:type="gramStart"/>
      <w:r w:rsidRPr="00ED521A">
        <w:t>was intentionally designed</w:t>
      </w:r>
      <w:proofErr w:type="gramEnd"/>
      <w:r w:rsidRPr="00ED521A">
        <w:t xml:space="preserve"> to resonate with a wide range of political and social factions, encompassing Unionists, Nationalists, and international stakeholders. The Agreement </w:t>
      </w:r>
      <w:proofErr w:type="gramStart"/>
      <w:r w:rsidRPr="00ED521A">
        <w:t>was officially published</w:t>
      </w:r>
      <w:proofErr w:type="gramEnd"/>
      <w:r w:rsidRPr="00ED521A">
        <w:t xml:space="preserve"> and widely distributed prior to the referenda in Northern Ireland and the Republic of Ireland, conducted on May 22, 1998.</w:t>
      </w:r>
      <w:r>
        <w:rPr>
          <w:rStyle w:val="FootnoteReference"/>
        </w:rPr>
        <w:footnoteReference w:id="7"/>
      </w:r>
      <w:r w:rsidRPr="00ED521A">
        <w:t xml:space="preserve"> It was distributed via official channels, such as government websites, pamphlets, and media coverage. This extensive distribution aimed to inform the public about its contents prior to the referenda. In Northern Ireland, 71.1% of voters supported the Agreement, whereas in the Republic of Ireland, 94.4% approved the </w:t>
      </w:r>
      <w:r w:rsidRPr="00ED521A">
        <w:lastRenderedPageBreak/>
        <w:t>constitutional amendment to enable the Agreement.</w:t>
      </w:r>
      <w:r>
        <w:rPr>
          <w:rStyle w:val="FootnoteReference"/>
        </w:rPr>
        <w:footnoteReference w:id="8"/>
      </w:r>
      <w:r w:rsidRPr="00ED521A">
        <w:t xml:space="preserve"> The strong endorsement from both sides of the border indicated widespread public support; however, notable opposition remained, especially from hardline Unionists and Republicans. </w:t>
      </w:r>
      <w:r w:rsidRPr="00ED521A">
        <w:br/>
      </w:r>
      <w:r w:rsidRPr="00ED521A">
        <w:br/>
        <w:t>The primary audience of the Agreement was the population of Northern Ireland, whose endorsement was essential for its success. The sectarian nature of the conflict necessitated that the Agreement meticulously consider the concerns of both Unionist and Nationalist communities. Unionists advocate for the principle of consent, which stipulates that Northern Ireland will remain part of the United Kingdom unless a majority votes to change this status. This assurance was crucial for the recognition of their British identity. Nationalists were satisfied by the establishment of cross-border institutions and enhanced cooperation between Northern Ireland and the Republic of Ireland, which corresponded with their enduring goals for stronger connections with the South.</w:t>
      </w:r>
      <w:r w:rsidR="00B455A2">
        <w:rPr>
          <w:rStyle w:val="FootnoteReference"/>
        </w:rPr>
        <w:footnoteReference w:id="9"/>
      </w:r>
      <w:r w:rsidRPr="00ED521A">
        <w:t xml:space="preserve"> The GFA attracted an international audience. The British and Irish governments </w:t>
      </w:r>
      <w:r w:rsidR="007E1F7C" w:rsidRPr="00ED521A">
        <w:t>had</w:t>
      </w:r>
      <w:r w:rsidRPr="00ED521A">
        <w:t xml:space="preserve"> to exhibit that they had achieved a fair and balanced compromise capable of fostering enduring peace. The involvement of the United States was critical. Senator George Mitchell's mediation facilitated the successful conclusion of the talks.</w:t>
      </w:r>
      <w:r w:rsidR="00B455A2">
        <w:rPr>
          <w:rStyle w:val="FootnoteReference"/>
        </w:rPr>
        <w:footnoteReference w:id="10"/>
      </w:r>
      <w:r w:rsidRPr="00ED521A">
        <w:t xml:space="preserve"> The GFA had implications for the European Union, as its provisions for cross-border cooperation aligned with EU initiatives that promoted regional economic collaboration, including INTERREG programs.</w:t>
      </w:r>
      <w:r w:rsidR="00B455A2">
        <w:rPr>
          <w:rStyle w:val="FootnoteReference"/>
        </w:rPr>
        <w:footnoteReference w:id="11"/>
      </w:r>
      <w:r w:rsidRPr="00ED521A">
        <w:t xml:space="preserve"> </w:t>
      </w:r>
      <w:r w:rsidRPr="00ED521A">
        <w:br/>
      </w:r>
      <w:r w:rsidRPr="00ED521A">
        <w:br/>
        <w:t xml:space="preserve">Comparative analysis of the GFA and earlier agreements, including the Sunningdale Agreement of 1973, indicates notable distinctions. Sunningdale proposed the concept of power-sharing; however, it did not achieve broad support, especially from Unionist factions concerned that the Agreement conferred excessive influence </w:t>
      </w:r>
      <w:r w:rsidR="00B455A2" w:rsidRPr="00ED521A">
        <w:t>on</w:t>
      </w:r>
      <w:r w:rsidRPr="00ED521A">
        <w:t xml:space="preserve"> Nationalists. In contrast, the GFA encompassed wider political representation and directly tackled issues related to sovereignty, identity, and the decommissioning of paramilitary weapons.</w:t>
      </w:r>
      <w:r w:rsidR="00B455A2">
        <w:rPr>
          <w:rStyle w:val="FootnoteReference"/>
        </w:rPr>
        <w:footnoteReference w:id="12"/>
      </w:r>
      <w:r w:rsidRPr="00ED521A">
        <w:t xml:space="preserve"> The GFA achieved success by incorporating a broader array of stakeholders and </w:t>
      </w:r>
      <w:r w:rsidR="007E1F7C" w:rsidRPr="00ED521A">
        <w:t>showing</w:t>
      </w:r>
      <w:r w:rsidRPr="00ED521A">
        <w:t xml:space="preserve"> explicit avenues for political and social collaboration, in contrast to the shortcomings of Sunningdale. The GFA’s publication aimed to engage a broad and diverse audience. The agreement addressed the concerns of Unionists and Nationalists while involving international stakeholders, achieving a balance that established a foundation for enduring peace, despite resistance from more extreme factions. </w:t>
      </w:r>
      <w:r w:rsidRPr="00ED521A">
        <w:br/>
      </w:r>
      <w:r w:rsidRPr="00ED521A">
        <w:br/>
        <w:t xml:space="preserve">The GFA </w:t>
      </w:r>
      <w:proofErr w:type="gramStart"/>
      <w:r w:rsidRPr="00ED521A">
        <w:t>was signed</w:t>
      </w:r>
      <w:proofErr w:type="gramEnd"/>
      <w:r w:rsidRPr="00ED521A">
        <w:t xml:space="preserve"> during a period marked by substantial political, social, and economic changes in Northern Ireland and globally. The Agreement </w:t>
      </w:r>
      <w:r w:rsidR="007E1F7C" w:rsidRPr="00ED521A">
        <w:t>appeared</w:t>
      </w:r>
      <w:r w:rsidRPr="00ED521A">
        <w:t xml:space="preserve"> as a resolution to decades of violence and unrest referred to as the Troubles, occurring at a time when the political landscape had transitioned towards dialogue and compromise following </w:t>
      </w:r>
      <w:proofErr w:type="gramStart"/>
      <w:r w:rsidRPr="00ED521A">
        <w:t>nearly 30</w:t>
      </w:r>
      <w:proofErr w:type="gramEnd"/>
      <w:r w:rsidRPr="00ED521A">
        <w:t xml:space="preserve"> years of conflict. The Troubles commenced in the late 1960s and were characterised by significant divisions between the Protestant Unionist community, advocating for continued association with the United Kingdom, and the Catholic Nationalist community, pursuing either enhanced political autonomy or reunification with the Republic of Ireland.</w:t>
      </w:r>
      <w:r w:rsidR="00B455A2">
        <w:rPr>
          <w:rStyle w:val="FootnoteReference"/>
        </w:rPr>
        <w:footnoteReference w:id="13"/>
      </w:r>
      <w:r w:rsidRPr="00ED521A">
        <w:br/>
      </w:r>
      <w:r w:rsidRPr="00ED521A">
        <w:br/>
        <w:t xml:space="preserve">By the mid-1990s, various factors had established conditions favourable for a peace process. A significant factor was war fatigue. Following decades of conflict, the populations of Northern </w:t>
      </w:r>
      <w:r w:rsidRPr="00ED521A">
        <w:lastRenderedPageBreak/>
        <w:t xml:space="preserve">Ireland, encompassing both Unionist and Nationalist groups, experienced significant fatigue from the violence and became more receptive to political resolutions. The ceasefires declared by the IRA and loyalist paramilitary groups in 1994 represented a significant turning point in the conflict. The ceasefires, despite their fragility, </w:t>
      </w:r>
      <w:r w:rsidR="00795110" w:rsidRPr="00ED521A">
        <w:t>eased</w:t>
      </w:r>
      <w:r w:rsidRPr="00ED521A">
        <w:t xml:space="preserve"> opportunities for political leaders to participate in meaningful negotiations.</w:t>
      </w:r>
      <w:r w:rsidR="00B455A2">
        <w:rPr>
          <w:rStyle w:val="FootnoteReference"/>
        </w:rPr>
        <w:footnoteReference w:id="14"/>
      </w:r>
      <w:r w:rsidRPr="00ED521A">
        <w:t xml:space="preserve"> A further factor was the change in leadership in both the United Kingdom and the Republic of Ireland. In Britain, Prime Minister Tony Blair, who assumed office in 1997, was committed to advancing peace in Northern Ireland. The government viewed the GFA as an opportunity to address a longstanding conflict in British political history. Blair's focus on inclusivity, particularly by involving previously marginalised groups such as Sinn Féin in negotiations, played a crucial role in advancing the peace process.</w:t>
      </w:r>
      <w:r w:rsidR="00B455A2">
        <w:rPr>
          <w:rStyle w:val="FootnoteReference"/>
        </w:rPr>
        <w:footnoteReference w:id="15"/>
      </w:r>
      <w:r w:rsidRPr="00ED521A">
        <w:t xml:space="preserve"> Bertie Ahern, the Taoiseach of the Republic of Ireland, pursued peace by acknowledging the significance of cross-border cooperation. The government's participation in the negotiations demonstrated Ireland's commitment to supporting the Nationalist community in the North, while simultaneously </w:t>
      </w:r>
      <w:r w:rsidR="00795110" w:rsidRPr="00ED521A">
        <w:t>looking</w:t>
      </w:r>
      <w:r w:rsidRPr="00ED521A">
        <w:t xml:space="preserve"> to avoid alienating Unionists.</w:t>
      </w:r>
      <w:r w:rsidR="00B455A2">
        <w:rPr>
          <w:rStyle w:val="FootnoteReference"/>
        </w:rPr>
        <w:footnoteReference w:id="16"/>
      </w:r>
      <w:r w:rsidRPr="00ED521A">
        <w:br/>
      </w:r>
      <w:r w:rsidRPr="00ED521A">
        <w:br/>
        <w:t xml:space="preserve">The timing of the Agreement was influenced by broader geopolitical factors. The participation of the United States, especially via U.S. mediation. Senator George Mitchell exerted further international pressure on the parties to achieve a settlement. Mitchell's report, known as the Mitchell Principles, </w:t>
      </w:r>
      <w:r w:rsidR="00795110" w:rsidRPr="00ED521A">
        <w:t>set up</w:t>
      </w:r>
      <w:r w:rsidRPr="00ED521A">
        <w:t xml:space="preserve"> non-violence and democratic decision-making as foundational elements for discussions, thereby creating a constructive framework for negotiations (Mitchell, 1999). The internationalisation of the conflict via American involvement highlighted the increasing significance of transatlantic diplomacy and third-party mediation in the resolution of internal conflicts.</w:t>
      </w:r>
      <w:r w:rsidR="00B455A2">
        <w:rPr>
          <w:rStyle w:val="FootnoteReference"/>
        </w:rPr>
        <w:footnoteReference w:id="17"/>
      </w:r>
      <w:r w:rsidRPr="00ED521A">
        <w:t xml:space="preserve"> The European Union significantly </w:t>
      </w:r>
      <w:r w:rsidR="00795110" w:rsidRPr="00ED521A">
        <w:t>helped</w:t>
      </w:r>
      <w:r w:rsidRPr="00ED521A">
        <w:t xml:space="preserve"> cooperation via programs designed for cross-border collaboration, exemplified by the EU-funded INTERREG initiatives. The Agreement's stipulations regarding North-South cooperation between Northern Ireland and the Republic were partially contextualised within European integration and the wider peace-building initiatives endorsed by the EU.</w:t>
      </w:r>
      <w:r w:rsidR="00B455A2">
        <w:rPr>
          <w:rStyle w:val="FootnoteReference"/>
        </w:rPr>
        <w:footnoteReference w:id="18"/>
      </w:r>
      <w:r w:rsidRPr="00ED521A">
        <w:br/>
      </w:r>
      <w:r w:rsidRPr="00ED521A">
        <w:br/>
        <w:t xml:space="preserve">The timing of the Good Friday Agreement was more advantageous than earlier instances in the Troubles, like the unsuccessful Sunningdale Agreement of 1973, owing to shifts in public opinion and enhanced political will. Sunningdale established a power-sharing executive; however, it was unsuccessful due to opposition from Unionists and the prevalence of paramilitary violence. The 1998 Agreement received more robust support from a diverse range of political actors and </w:t>
      </w:r>
      <w:proofErr w:type="gramStart"/>
      <w:r w:rsidRPr="00ED521A">
        <w:t>was enhanced</w:t>
      </w:r>
      <w:proofErr w:type="gramEnd"/>
      <w:r w:rsidRPr="00ED521A">
        <w:t xml:space="preserve"> by ceasefires, external mediation, and evolving public sentiments regarding peace.</w:t>
      </w:r>
      <w:r w:rsidR="00B455A2">
        <w:rPr>
          <w:rStyle w:val="FootnoteReference"/>
        </w:rPr>
        <w:footnoteReference w:id="19"/>
      </w:r>
      <w:r w:rsidRPr="00ED521A">
        <w:t xml:space="preserve"> The timing of the GFA was crucial. The timing coincided with a period when primary political figures and the broader populace favoured peace, while external entities, including the U.S. and the EU, significantly influenced the negotiation process. The factors contributed to the Agreement's success, marking a historical moment when peace appeared attainable. </w:t>
      </w:r>
      <w:r w:rsidRPr="00ED521A">
        <w:br/>
      </w:r>
      <w:r w:rsidRPr="00ED521A">
        <w:br/>
      </w:r>
      <w:r w:rsidRPr="00ED521A">
        <w:br/>
      </w:r>
      <w:r w:rsidRPr="00ED521A">
        <w:br/>
      </w:r>
      <w:r w:rsidRPr="00ED521A">
        <w:lastRenderedPageBreak/>
        <w:t xml:space="preserve">The GFA is a detailed peace agreement that tackles the political, constitutional, and social issues essential for resolving the conflict in Northern Ireland. The document's main provisions illustrate a balance between Unionist and Nationalist aspirations, grounded in democratic consent, equality, and non-violence. The principle of consent is a fundamental aspect of the GFA, ensuring that Northern Ireland remains part of the United Kingdom unless </w:t>
      </w:r>
      <w:proofErr w:type="gramStart"/>
      <w:r w:rsidRPr="00ED521A">
        <w:t>a majority of</w:t>
      </w:r>
      <w:proofErr w:type="gramEnd"/>
      <w:r w:rsidRPr="00ED521A">
        <w:t xml:space="preserve"> its citizens opt for reunification with the Republic of Ireland through a vote. This provision guaranteed Unionists that Northern Ireland's constitutional status would not change without majority consent, while also offering Nationalists the prospect of peaceful reunification in the future.</w:t>
      </w:r>
      <w:r w:rsidR="00B455A2">
        <w:rPr>
          <w:rStyle w:val="FootnoteReference"/>
        </w:rPr>
        <w:footnoteReference w:id="20"/>
      </w:r>
      <w:r w:rsidRPr="00ED521A">
        <w:br/>
      </w:r>
      <w:r w:rsidRPr="00ED521A">
        <w:br/>
        <w:t>The formation of the Northern Ireland Assembly, endowed with devolved powers and a power-sharing executive, represented a critical component of the Agreement. This aimed to ensure shared governance between Unionist and Nationalist communities, requiring cross-community support for major decisions. The consociationalism model of power-sharing seeks to enhance stability by preventing any one group from dominating others.</w:t>
      </w:r>
      <w:r w:rsidR="00B455A2">
        <w:rPr>
          <w:rStyle w:val="FootnoteReference"/>
        </w:rPr>
        <w:footnoteReference w:id="21"/>
      </w:r>
      <w:r w:rsidRPr="00ED521A">
        <w:t xml:space="preserve"> The Agreement established North-South bodies to </w:t>
      </w:r>
      <w:r w:rsidR="00795110" w:rsidRPr="00ED521A">
        <w:t>help</w:t>
      </w:r>
      <w:r w:rsidRPr="00ED521A">
        <w:t xml:space="preserve"> collaboration between Northern Ireland and the Republic of Ireland. These bodies aimed to address issues of mutual interest, particularly agriculture and trade, which were significant for Nationalists in reinforcing ties to the Republic. Unionists initially raised concerns about these bodies, fearing they might jeopardise Northern Ireland's status within the UK; however, measures </w:t>
      </w:r>
      <w:proofErr w:type="gramStart"/>
      <w:r w:rsidRPr="00ED521A">
        <w:t>were implemented</w:t>
      </w:r>
      <w:proofErr w:type="gramEnd"/>
      <w:r w:rsidRPr="00ED521A">
        <w:t xml:space="preserve"> to ensure Assembly approval for significant changes.</w:t>
      </w:r>
      <w:r w:rsidR="00B455A2">
        <w:rPr>
          <w:rStyle w:val="FootnoteReference"/>
        </w:rPr>
        <w:footnoteReference w:id="22"/>
      </w:r>
      <w:r w:rsidRPr="00ED521A">
        <w:br/>
      </w:r>
      <w:r w:rsidRPr="00ED521A">
        <w:br/>
        <w:t xml:space="preserve">The GFA included provisions for the decommissioning of paramilitary weapons. Paramilitary groups associated with both loyalist and republican factions </w:t>
      </w:r>
      <w:r w:rsidR="00795110" w:rsidRPr="00ED521A">
        <w:t>had</w:t>
      </w:r>
      <w:r w:rsidRPr="00ED521A">
        <w:t xml:space="preserve"> to disarm as part of the peace process. The need to reduce violence was clear; however, the gradual decommissioning process resulted in political tensions, particularly among Unionists who questioned the compliance of republicans.</w:t>
      </w:r>
      <w:r w:rsidR="007E1F7C">
        <w:rPr>
          <w:rStyle w:val="FootnoteReference"/>
        </w:rPr>
        <w:footnoteReference w:id="23"/>
      </w:r>
      <w:r w:rsidRPr="00ED521A">
        <w:t xml:space="preserve"> The language in the Agreement </w:t>
      </w:r>
      <w:proofErr w:type="gramStart"/>
      <w:r w:rsidRPr="00ED521A">
        <w:t>was carefully crafted</w:t>
      </w:r>
      <w:proofErr w:type="gramEnd"/>
      <w:r w:rsidRPr="00ED521A">
        <w:t xml:space="preserve"> to promote inclusivity and avoid the alienation of either party. The text consistently emphasises concepts such as "consent," "partnership," and "mutual respect," underscoring the importance of equality and collaboration. The GFA recognises the right of individuals in Northern Ireland to identify as Irish, British, or both, reflecting the region's diverse identities (Hennessey, 2000). The neutral and diplomatic tone aimed to make the Agreement acceptable to both Unionists and Nationalists. </w:t>
      </w:r>
      <w:r w:rsidR="007E1F7C" w:rsidRPr="00ED521A">
        <w:t>H</w:t>
      </w:r>
      <w:r w:rsidRPr="00ED521A">
        <w:t xml:space="preserve">owever, it left certain key points ambiguous, particularly </w:t>
      </w:r>
      <w:r w:rsidR="00795110" w:rsidRPr="00ED521A">
        <w:t>about</w:t>
      </w:r>
      <w:r w:rsidRPr="00ED521A">
        <w:t xml:space="preserve"> the long-term constitutional future of Northern Ireland. The principle of consent allowed both parties to interpret the Agreement </w:t>
      </w:r>
      <w:r w:rsidR="00795110" w:rsidRPr="00ED521A">
        <w:t>following</w:t>
      </w:r>
      <w:r w:rsidRPr="00ED521A">
        <w:t xml:space="preserve"> their objectives: Unionists viewed it as preserving their link to the UK, while Nationalists saw it as a step towards reunification. The ambiguity garnered extensive support but led to ongoing unresolved tensions, especially within the context of post-Brexit politics.</w:t>
      </w:r>
      <w:r w:rsidR="007E1F7C">
        <w:rPr>
          <w:rStyle w:val="FootnoteReference"/>
        </w:rPr>
        <w:footnoteReference w:id="24"/>
      </w:r>
    </w:p>
    <w:p w14:paraId="3A0AF522" w14:textId="77777777" w:rsidR="007E1F7C" w:rsidRDefault="007E1F7C" w:rsidP="00ED521A"/>
    <w:p w14:paraId="46F5ABAF" w14:textId="1F5DA69B" w:rsidR="007E1F7C" w:rsidRPr="007E1F7C" w:rsidRDefault="007E1F7C" w:rsidP="007E1F7C">
      <w:r>
        <w:t xml:space="preserve">To conclude, </w:t>
      </w:r>
      <w:r w:rsidR="00795110">
        <w:t>the</w:t>
      </w:r>
      <w:r>
        <w:t xml:space="preserve"> y</w:t>
      </w:r>
      <w:r w:rsidRPr="007E1F7C">
        <w:t xml:space="preserve">ears of conflict settlement and political discussion culminated in the 1998 Good Friday Agreement, a watershed in Northern Ireland history. Power-sharing, consent, </w:t>
      </w:r>
      <w:r w:rsidRPr="007E1F7C">
        <w:lastRenderedPageBreak/>
        <w:t>decommissioning armaments, and North-South collaboration were carefully balanced Unionist and Nationalist goals. The GFA protected both populations and promoted political collaboration by requiring majority assent to change Northern Ireland's constitutional status.</w:t>
      </w:r>
      <w:r>
        <w:t xml:space="preserve"> </w:t>
      </w:r>
      <w:r w:rsidRPr="007E1F7C">
        <w:t>In the 1998 referenda, the Agreement's comprehensive language and inclusion of external parties like the U.S. and EU won public support. The Sunningdale Agreement failed owing to political resistance and paramilitary violence, but the GFA succeeded by learning from past failures and implementing stronger enforcement and collaboration procedures.</w:t>
      </w:r>
      <w:r>
        <w:t xml:space="preserve"> </w:t>
      </w:r>
      <w:r w:rsidRPr="007E1F7C">
        <w:t>The Agreement left Northern Ireland's long-term future unsettled, allowing both populations to interpret it to suit their political aims. Due to post-Brexit tensions, these ambiguities continue to affect Northern Irish politics. Although it ended large-scale violence and established dialogue and stability in Northern Ireland, the Good Friday Agreement remains essential.</w:t>
      </w:r>
      <w:r w:rsidRPr="007E1F7C">
        <w:br/>
      </w:r>
    </w:p>
    <w:p w14:paraId="0FAA08D8" w14:textId="59C845D2" w:rsidR="007E1F7C" w:rsidRDefault="007E1F7C" w:rsidP="00ED521A"/>
    <w:p w14:paraId="6855D331" w14:textId="77777777" w:rsidR="00B455A2" w:rsidRDefault="00B455A2" w:rsidP="00ED521A"/>
    <w:p w14:paraId="2B37A036" w14:textId="77777777" w:rsidR="00B455A2" w:rsidRDefault="00B455A2" w:rsidP="00ED521A"/>
    <w:p w14:paraId="69307682" w14:textId="77777777" w:rsidR="00B455A2" w:rsidRDefault="00B455A2" w:rsidP="00ED521A"/>
    <w:p w14:paraId="6C360BC6" w14:textId="77777777" w:rsidR="00795110" w:rsidRDefault="00795110" w:rsidP="00B455A2"/>
    <w:p w14:paraId="5D77ADD3" w14:textId="77777777" w:rsidR="00795110" w:rsidRDefault="00795110" w:rsidP="00B455A2"/>
    <w:p w14:paraId="68AF7370" w14:textId="77777777" w:rsidR="00795110" w:rsidRDefault="00795110" w:rsidP="00B455A2"/>
    <w:p w14:paraId="6514499F" w14:textId="77777777" w:rsidR="00795110" w:rsidRDefault="00795110" w:rsidP="00B455A2"/>
    <w:p w14:paraId="3AEAE218" w14:textId="77777777" w:rsidR="00795110" w:rsidRDefault="00795110" w:rsidP="00B455A2"/>
    <w:p w14:paraId="2B4FCFFC" w14:textId="77777777" w:rsidR="00795110" w:rsidRDefault="00795110" w:rsidP="00B455A2"/>
    <w:p w14:paraId="5A60E4A4" w14:textId="77777777" w:rsidR="00795110" w:rsidRDefault="00795110" w:rsidP="00B455A2"/>
    <w:p w14:paraId="226C9EF9" w14:textId="77777777" w:rsidR="00795110" w:rsidRDefault="00795110" w:rsidP="00B455A2"/>
    <w:p w14:paraId="060EA138" w14:textId="77777777" w:rsidR="00795110" w:rsidRDefault="00795110" w:rsidP="00B455A2"/>
    <w:p w14:paraId="41B2C14A" w14:textId="77777777" w:rsidR="00795110" w:rsidRDefault="00795110" w:rsidP="00B455A2"/>
    <w:p w14:paraId="0A37E794" w14:textId="77777777" w:rsidR="00795110" w:rsidRDefault="00795110" w:rsidP="00B455A2"/>
    <w:p w14:paraId="4680A73E" w14:textId="77777777" w:rsidR="00795110" w:rsidRDefault="00795110" w:rsidP="00B455A2"/>
    <w:p w14:paraId="2CB8EE51" w14:textId="77777777" w:rsidR="00795110" w:rsidRDefault="00795110" w:rsidP="00B455A2"/>
    <w:p w14:paraId="5DA7E023" w14:textId="77777777" w:rsidR="00795110" w:rsidRDefault="00795110" w:rsidP="00B455A2"/>
    <w:p w14:paraId="38D8783E" w14:textId="77777777" w:rsidR="00795110" w:rsidRDefault="00795110" w:rsidP="00B455A2"/>
    <w:p w14:paraId="34D59B6D" w14:textId="77777777" w:rsidR="00795110" w:rsidRDefault="00795110" w:rsidP="00B455A2"/>
    <w:p w14:paraId="1B7BBB85" w14:textId="77777777" w:rsidR="00795110" w:rsidRDefault="00795110" w:rsidP="00B455A2"/>
    <w:p w14:paraId="43458036" w14:textId="77777777" w:rsidR="00795110" w:rsidRDefault="00795110" w:rsidP="00B455A2"/>
    <w:p w14:paraId="2CB43CA5" w14:textId="77777777" w:rsidR="00795110" w:rsidRDefault="00795110" w:rsidP="00B455A2"/>
    <w:p w14:paraId="7869D939" w14:textId="77777777" w:rsidR="00795110" w:rsidRDefault="00795110" w:rsidP="00B455A2"/>
    <w:p w14:paraId="3B1187ED" w14:textId="77777777" w:rsidR="00795110" w:rsidRDefault="00795110" w:rsidP="00B455A2"/>
    <w:p w14:paraId="033F3EC2" w14:textId="60701C39" w:rsidR="00B455A2" w:rsidRPr="00795110" w:rsidRDefault="00B455A2" w:rsidP="00B455A2">
      <w:pPr>
        <w:rPr>
          <w:u w:val="single"/>
        </w:rPr>
      </w:pPr>
      <w:r w:rsidRPr="00795110">
        <w:rPr>
          <w:u w:val="single"/>
        </w:rPr>
        <w:t>Ref</w:t>
      </w:r>
      <w:r w:rsidR="00795110" w:rsidRPr="00795110">
        <w:rPr>
          <w:u w:val="single"/>
        </w:rPr>
        <w:t>erences</w:t>
      </w:r>
      <w:r w:rsidRPr="00795110">
        <w:rPr>
          <w:u w:val="single"/>
        </w:rPr>
        <w:t xml:space="preserve"> List</w:t>
      </w:r>
    </w:p>
    <w:p w14:paraId="2C5750AD" w14:textId="77777777" w:rsidR="00B455A2" w:rsidRDefault="00B455A2" w:rsidP="00B455A2"/>
    <w:p w14:paraId="2CBEB92B" w14:textId="77777777" w:rsidR="00B455A2" w:rsidRDefault="00B455A2" w:rsidP="00B455A2">
      <w:pPr>
        <w:pStyle w:val="ListParagraph"/>
        <w:numPr>
          <w:ilvl w:val="0"/>
          <w:numId w:val="1"/>
        </w:numPr>
      </w:pPr>
      <w:r w:rsidRPr="00547240">
        <w:t xml:space="preserve">Mitchell, George. </w:t>
      </w:r>
      <w:r w:rsidRPr="00547240">
        <w:rPr>
          <w:i/>
          <w:iCs/>
        </w:rPr>
        <w:t>Making Peace</w:t>
      </w:r>
      <w:r w:rsidRPr="00547240">
        <w:t>. University of California Press, 1999.</w:t>
      </w:r>
    </w:p>
    <w:p w14:paraId="2BD27991" w14:textId="77777777" w:rsidR="00B455A2" w:rsidRDefault="00B455A2" w:rsidP="00B455A2">
      <w:pPr>
        <w:pStyle w:val="ListParagraph"/>
        <w:numPr>
          <w:ilvl w:val="0"/>
          <w:numId w:val="1"/>
        </w:numPr>
      </w:pPr>
      <w:r w:rsidRPr="00547240">
        <w:t xml:space="preserve">Bew, Paul. </w:t>
      </w:r>
      <w:r w:rsidRPr="00547240">
        <w:rPr>
          <w:i/>
          <w:iCs/>
        </w:rPr>
        <w:t>The Making and Remaking of the Good Friday Agreement</w:t>
      </w:r>
      <w:r w:rsidRPr="00547240">
        <w:t>. Liffey Press, 2007.</w:t>
      </w:r>
    </w:p>
    <w:p w14:paraId="448E8C70" w14:textId="77777777" w:rsidR="00B455A2" w:rsidRPr="0049397F" w:rsidRDefault="00B455A2" w:rsidP="00B455A2">
      <w:pPr>
        <w:pStyle w:val="ListParagraph"/>
        <w:numPr>
          <w:ilvl w:val="0"/>
          <w:numId w:val="1"/>
        </w:numPr>
      </w:pPr>
      <w:r w:rsidRPr="0049397F">
        <w:t>Cochrane</w:t>
      </w:r>
      <w:r w:rsidRPr="0049397F">
        <w:rPr>
          <w:sz w:val="20"/>
          <w:szCs w:val="20"/>
        </w:rPr>
        <w:t xml:space="preserve">, Feargal. </w:t>
      </w:r>
      <w:r w:rsidRPr="0049397F">
        <w:rPr>
          <w:i/>
          <w:iCs/>
          <w:sz w:val="20"/>
          <w:szCs w:val="20"/>
        </w:rPr>
        <w:t>Breaking Peace: Brexit and Northern Ireland</w:t>
      </w:r>
      <w:r w:rsidRPr="0049397F">
        <w:rPr>
          <w:sz w:val="20"/>
          <w:szCs w:val="20"/>
        </w:rPr>
        <w:t>.</w:t>
      </w:r>
      <w:r>
        <w:rPr>
          <w:sz w:val="20"/>
          <w:szCs w:val="20"/>
        </w:rPr>
        <w:t xml:space="preserve"> </w:t>
      </w:r>
      <w:r w:rsidRPr="0049397F">
        <w:rPr>
          <w:sz w:val="20"/>
          <w:szCs w:val="20"/>
        </w:rPr>
        <w:t>Manchester University Press, 2013.</w:t>
      </w:r>
    </w:p>
    <w:p w14:paraId="2BAE7995" w14:textId="77777777" w:rsidR="00B455A2" w:rsidRDefault="00B455A2" w:rsidP="00B455A2">
      <w:pPr>
        <w:pStyle w:val="ListParagraph"/>
        <w:numPr>
          <w:ilvl w:val="0"/>
          <w:numId w:val="1"/>
        </w:numPr>
      </w:pPr>
      <w:r w:rsidRPr="0049397F">
        <w:t xml:space="preserve">Todd, Jennifer. </w:t>
      </w:r>
      <w:r w:rsidRPr="0049397F">
        <w:rPr>
          <w:i/>
          <w:iCs/>
        </w:rPr>
        <w:t>Identity Change after Conflict: Ethnicity, Boundaries, and Belonging in the Two Irelands</w:t>
      </w:r>
      <w:r w:rsidRPr="0049397F">
        <w:t>. Palgrave Macmillan, 2018.</w:t>
      </w:r>
    </w:p>
    <w:p w14:paraId="5F7B1B40" w14:textId="77777777" w:rsidR="00B455A2" w:rsidRDefault="00B455A2" w:rsidP="00B455A2">
      <w:pPr>
        <w:pStyle w:val="ListParagraph"/>
        <w:numPr>
          <w:ilvl w:val="0"/>
          <w:numId w:val="1"/>
        </w:numPr>
      </w:pPr>
      <w:r w:rsidRPr="0049397F">
        <w:t xml:space="preserve">McKittrick, David, and McVea, David. </w:t>
      </w:r>
      <w:r w:rsidRPr="0049397F">
        <w:rPr>
          <w:i/>
          <w:iCs/>
        </w:rPr>
        <w:t>Making Sense of the Troubles</w:t>
      </w:r>
      <w:r w:rsidRPr="0049397F">
        <w:t>. Penguin, 2000</w:t>
      </w:r>
    </w:p>
    <w:p w14:paraId="10D14317" w14:textId="77777777" w:rsidR="00B455A2" w:rsidRDefault="00B455A2" w:rsidP="00B455A2">
      <w:pPr>
        <w:pStyle w:val="ListParagraph"/>
        <w:numPr>
          <w:ilvl w:val="0"/>
          <w:numId w:val="1"/>
        </w:numPr>
      </w:pPr>
      <w:r w:rsidRPr="00832BBD">
        <w:t xml:space="preserve">Hennessey, Thomas. </w:t>
      </w:r>
      <w:r w:rsidRPr="00832BBD">
        <w:rPr>
          <w:i/>
          <w:iCs/>
        </w:rPr>
        <w:t>The Northern Ireland Peace Process: Ending the Troubles?</w:t>
      </w:r>
      <w:r w:rsidRPr="00832BBD">
        <w:t xml:space="preserve"> Gill &amp; Macmillan, 2000.</w:t>
      </w:r>
    </w:p>
    <w:p w14:paraId="47077EDB" w14:textId="77777777" w:rsidR="00B455A2" w:rsidRDefault="00B455A2" w:rsidP="00B455A2">
      <w:pPr>
        <w:pStyle w:val="ListParagraph"/>
        <w:numPr>
          <w:ilvl w:val="0"/>
          <w:numId w:val="1"/>
        </w:numPr>
      </w:pPr>
      <w:r w:rsidRPr="00832BBD">
        <w:t xml:space="preserve">Ruane, Joseph, and Jennifer Todd. </w:t>
      </w:r>
      <w:r w:rsidRPr="00832BBD">
        <w:rPr>
          <w:i/>
          <w:iCs/>
        </w:rPr>
        <w:t>The Dynamics of Conflict in Northern Ireland: Power, Conflict, and Emancipation</w:t>
      </w:r>
      <w:r w:rsidRPr="00832BBD">
        <w:t>. Cambridge University Press, 2003.</w:t>
      </w:r>
    </w:p>
    <w:p w14:paraId="059A6590" w14:textId="77777777" w:rsidR="00B455A2" w:rsidRDefault="00B455A2" w:rsidP="00B455A2">
      <w:pPr>
        <w:pStyle w:val="ListParagraph"/>
        <w:numPr>
          <w:ilvl w:val="0"/>
          <w:numId w:val="1"/>
        </w:numPr>
      </w:pPr>
      <w:r w:rsidRPr="00832BBD">
        <w:t xml:space="preserve">Tonge, Jonathan. </w:t>
      </w:r>
      <w:r w:rsidRPr="00832BBD">
        <w:rPr>
          <w:i/>
          <w:iCs/>
        </w:rPr>
        <w:t>Northern Ireland: Conflict and Change</w:t>
      </w:r>
      <w:r w:rsidRPr="00832BBD">
        <w:t>. Pearson Education, 2002.</w:t>
      </w:r>
    </w:p>
    <w:p w14:paraId="0F36FC2A" w14:textId="77777777" w:rsidR="00B455A2" w:rsidRDefault="00B455A2" w:rsidP="00B455A2">
      <w:pPr>
        <w:pStyle w:val="ListParagraph"/>
        <w:numPr>
          <w:ilvl w:val="0"/>
          <w:numId w:val="1"/>
        </w:numPr>
      </w:pPr>
      <w:r w:rsidRPr="00832BBD">
        <w:t xml:space="preserve">Farrington, Christopher. </w:t>
      </w:r>
      <w:r w:rsidRPr="00832BBD">
        <w:rPr>
          <w:i/>
          <w:iCs/>
        </w:rPr>
        <w:t>Ulster Unionism and the Peace Process in Northern Ireland</w:t>
      </w:r>
      <w:r w:rsidRPr="00832BBD">
        <w:t>. Palgrave Macmillan, 2006.</w:t>
      </w:r>
    </w:p>
    <w:p w14:paraId="4B74893C" w14:textId="77777777" w:rsidR="00B455A2" w:rsidRDefault="00B455A2" w:rsidP="00B455A2">
      <w:pPr>
        <w:pStyle w:val="ListParagraph"/>
        <w:numPr>
          <w:ilvl w:val="0"/>
          <w:numId w:val="1"/>
        </w:numPr>
      </w:pPr>
      <w:r w:rsidRPr="00490B2E">
        <w:t xml:space="preserve">Arthur, Paul. </w:t>
      </w:r>
      <w:r w:rsidRPr="00490B2E">
        <w:rPr>
          <w:i/>
          <w:iCs/>
        </w:rPr>
        <w:t>Special Relationships: Britain, Ireland and the Northern Ireland Problem</w:t>
      </w:r>
      <w:r w:rsidRPr="00490B2E">
        <w:t>. Blackstaff Press, 2000.</w:t>
      </w:r>
    </w:p>
    <w:p w14:paraId="50C1A28E" w14:textId="77777777" w:rsidR="00B455A2" w:rsidRDefault="00B455A2" w:rsidP="00B455A2">
      <w:pPr>
        <w:pStyle w:val="ListParagraph"/>
        <w:numPr>
          <w:ilvl w:val="0"/>
          <w:numId w:val="1"/>
        </w:numPr>
      </w:pPr>
      <w:r w:rsidRPr="00490B2E">
        <w:t xml:space="preserve">McGarry, John, and Brendan O’Leary. </w:t>
      </w:r>
      <w:r w:rsidRPr="00490B2E">
        <w:rPr>
          <w:i/>
          <w:iCs/>
        </w:rPr>
        <w:t>The Northern Ireland Conflict: Consociational Engagements</w:t>
      </w:r>
      <w:r w:rsidRPr="00490B2E">
        <w:t>. Oxford University Press, 2004.</w:t>
      </w:r>
    </w:p>
    <w:p w14:paraId="2F8600AC" w14:textId="77777777" w:rsidR="00B455A2" w:rsidRDefault="00B455A2" w:rsidP="00B455A2">
      <w:pPr>
        <w:pStyle w:val="ListParagraph"/>
        <w:numPr>
          <w:ilvl w:val="0"/>
          <w:numId w:val="1"/>
        </w:numPr>
      </w:pPr>
      <w:r w:rsidRPr="00490B2E">
        <w:t xml:space="preserve">Cunningham, Michael. </w:t>
      </w:r>
      <w:r w:rsidRPr="00490B2E">
        <w:rPr>
          <w:i/>
          <w:iCs/>
        </w:rPr>
        <w:t>British Government Policy in Northern Ireland, 1969-2000</w:t>
      </w:r>
      <w:r w:rsidRPr="00490B2E">
        <w:t>. Manchester University Press, 2001.</w:t>
      </w:r>
    </w:p>
    <w:p w14:paraId="42D48D38" w14:textId="77777777" w:rsidR="00B455A2" w:rsidRDefault="00B455A2" w:rsidP="00B455A2">
      <w:pPr>
        <w:pStyle w:val="ListParagraph"/>
        <w:numPr>
          <w:ilvl w:val="0"/>
          <w:numId w:val="1"/>
        </w:numPr>
      </w:pPr>
      <w:r w:rsidRPr="00490B2E">
        <w:t xml:space="preserve">English, Richard. </w:t>
      </w:r>
      <w:r w:rsidRPr="00490B2E">
        <w:rPr>
          <w:i/>
          <w:iCs/>
        </w:rPr>
        <w:t>Armed Struggle: The History of the IRA</w:t>
      </w:r>
      <w:r w:rsidRPr="00490B2E">
        <w:t>. Pan Macmillan, 2003.</w:t>
      </w:r>
    </w:p>
    <w:p w14:paraId="6F3A62CD" w14:textId="77777777" w:rsidR="00B455A2" w:rsidRDefault="00B455A2" w:rsidP="00B455A2">
      <w:pPr>
        <w:pStyle w:val="ListParagraph"/>
        <w:numPr>
          <w:ilvl w:val="0"/>
          <w:numId w:val="1"/>
        </w:numPr>
      </w:pPr>
      <w:r w:rsidRPr="00CA5BE3">
        <w:t xml:space="preserve">Dixon, Paul. </w:t>
      </w:r>
      <w:r w:rsidRPr="00CA5BE3">
        <w:rPr>
          <w:i/>
          <w:iCs/>
        </w:rPr>
        <w:t>Northern Ireland: The Politics of War and Peace</w:t>
      </w:r>
      <w:r w:rsidRPr="00CA5BE3">
        <w:t>. Palgrave Macmillan, 2008.</w:t>
      </w:r>
    </w:p>
    <w:p w14:paraId="2DED3AED" w14:textId="77777777" w:rsidR="00B455A2" w:rsidRDefault="00B455A2" w:rsidP="00B455A2">
      <w:pPr>
        <w:pStyle w:val="ListParagraph"/>
        <w:numPr>
          <w:ilvl w:val="0"/>
          <w:numId w:val="1"/>
        </w:numPr>
      </w:pPr>
      <w:r w:rsidRPr="00CA5BE3">
        <w:t xml:space="preserve">Powell, Jonathan. </w:t>
      </w:r>
      <w:r w:rsidRPr="00CA5BE3">
        <w:rPr>
          <w:i/>
          <w:iCs/>
        </w:rPr>
        <w:t>Great Hatred, Little Room: Making Peace in Northern Ireland</w:t>
      </w:r>
      <w:r w:rsidRPr="00CA5BE3">
        <w:t>. Bodley Head, 2008.</w:t>
      </w:r>
    </w:p>
    <w:p w14:paraId="00FA51AB" w14:textId="77777777" w:rsidR="00B455A2" w:rsidRDefault="00B455A2" w:rsidP="00B455A2">
      <w:pPr>
        <w:pStyle w:val="ListParagraph"/>
        <w:numPr>
          <w:ilvl w:val="0"/>
          <w:numId w:val="1"/>
        </w:numPr>
      </w:pPr>
      <w:r w:rsidRPr="00CA5BE3">
        <w:t xml:space="preserve">Mansergh, Martin. </w:t>
      </w:r>
      <w:r w:rsidRPr="00CA5BE3">
        <w:rPr>
          <w:i/>
          <w:iCs/>
        </w:rPr>
        <w:t>The Legacy of History: For Making Peace in Ireland</w:t>
      </w:r>
      <w:r w:rsidRPr="00CA5BE3">
        <w:t>. Mercier Press, 2003.</w:t>
      </w:r>
    </w:p>
    <w:p w14:paraId="1E1BD01C" w14:textId="77777777" w:rsidR="00B455A2" w:rsidRDefault="00B455A2" w:rsidP="00B455A2">
      <w:pPr>
        <w:pStyle w:val="ListParagraph"/>
        <w:numPr>
          <w:ilvl w:val="0"/>
          <w:numId w:val="1"/>
        </w:numPr>
      </w:pPr>
      <w:r w:rsidRPr="00CA5BE3">
        <w:t xml:space="preserve">Owen, Robert. </w:t>
      </w:r>
      <w:r w:rsidRPr="00CA5BE3">
        <w:rPr>
          <w:i/>
          <w:iCs/>
        </w:rPr>
        <w:t>International Mediation in Northern Ireland's Peace Process</w:t>
      </w:r>
      <w:r w:rsidRPr="00CA5BE3">
        <w:t>. Routledge, 2019.</w:t>
      </w:r>
    </w:p>
    <w:p w14:paraId="2C0B847C" w14:textId="77777777" w:rsidR="00B455A2" w:rsidRDefault="00B455A2" w:rsidP="00B455A2">
      <w:pPr>
        <w:pStyle w:val="ListParagraph"/>
        <w:numPr>
          <w:ilvl w:val="0"/>
          <w:numId w:val="1"/>
        </w:numPr>
      </w:pPr>
      <w:r w:rsidRPr="00CA5BE3">
        <w:t xml:space="preserve">Guelke, Adrian. </w:t>
      </w:r>
      <w:r w:rsidRPr="00CA5BE3">
        <w:rPr>
          <w:i/>
          <w:iCs/>
        </w:rPr>
        <w:t>Politics in Deeply Divided Societies</w:t>
      </w:r>
      <w:r w:rsidRPr="00CA5BE3">
        <w:t>. Polity, 2003.</w:t>
      </w:r>
    </w:p>
    <w:p w14:paraId="50E664DF" w14:textId="77777777" w:rsidR="00B455A2" w:rsidRDefault="00B455A2" w:rsidP="00B455A2">
      <w:pPr>
        <w:pStyle w:val="ListParagraph"/>
        <w:numPr>
          <w:ilvl w:val="0"/>
          <w:numId w:val="1"/>
        </w:numPr>
      </w:pPr>
      <w:r w:rsidRPr="00CA5BE3">
        <w:t xml:space="preserve">O'Leary, Brendan, and John McGarry. </w:t>
      </w:r>
      <w:r w:rsidRPr="00CA5BE3">
        <w:rPr>
          <w:i/>
          <w:iCs/>
        </w:rPr>
        <w:t>The Politics of Antagonism: Understanding Northern Ireland</w:t>
      </w:r>
      <w:r w:rsidRPr="00CA5BE3">
        <w:t>. Athlone Press, 1996.</w:t>
      </w:r>
    </w:p>
    <w:p w14:paraId="481F3BC1" w14:textId="3123F2EB" w:rsidR="00B455A2" w:rsidRDefault="00B455A2" w:rsidP="00B455A2">
      <w:pPr>
        <w:pStyle w:val="ListParagraph"/>
        <w:numPr>
          <w:ilvl w:val="0"/>
          <w:numId w:val="1"/>
        </w:numPr>
      </w:pPr>
      <w:r w:rsidRPr="00B455A2">
        <w:t xml:space="preserve">McGarry, John, and Brendan O'Leary. </w:t>
      </w:r>
      <w:r w:rsidRPr="00B455A2">
        <w:rPr>
          <w:i/>
          <w:iCs/>
        </w:rPr>
        <w:t>Explaining Northern Ireland: Broken Images</w:t>
      </w:r>
      <w:r w:rsidRPr="00B455A2">
        <w:t>. Blackwell, 2004.</w:t>
      </w:r>
    </w:p>
    <w:p w14:paraId="126FD57E" w14:textId="00043AEF" w:rsidR="00B455A2" w:rsidRDefault="00B455A2" w:rsidP="00B455A2">
      <w:pPr>
        <w:pStyle w:val="ListParagraph"/>
        <w:numPr>
          <w:ilvl w:val="0"/>
          <w:numId w:val="1"/>
        </w:numPr>
      </w:pPr>
      <w:r w:rsidRPr="00B455A2">
        <w:t xml:space="preserve">Taylor, Rupert. </w:t>
      </w:r>
      <w:r w:rsidRPr="00B455A2">
        <w:rPr>
          <w:i/>
          <w:iCs/>
        </w:rPr>
        <w:t>Consociational Theory: McGarry and O'Leary and the Northern Ireland Conflict</w:t>
      </w:r>
      <w:r w:rsidRPr="00B455A2">
        <w:t>. Routledge, 2009.</w:t>
      </w:r>
    </w:p>
    <w:p w14:paraId="441DB9A6" w14:textId="6F467D7C" w:rsidR="00B455A2" w:rsidRDefault="00B455A2" w:rsidP="00B455A2">
      <w:pPr>
        <w:pStyle w:val="ListParagraph"/>
        <w:numPr>
          <w:ilvl w:val="0"/>
          <w:numId w:val="1"/>
        </w:numPr>
      </w:pPr>
      <w:r w:rsidRPr="00B455A2">
        <w:t xml:space="preserve">Cunningham, Michael. </w:t>
      </w:r>
      <w:r w:rsidRPr="00B455A2">
        <w:rPr>
          <w:i/>
          <w:iCs/>
        </w:rPr>
        <w:t>British Government Policy in Northern Ireland, 1969-2000</w:t>
      </w:r>
      <w:r w:rsidRPr="00B455A2">
        <w:t>. Manchester University Press, 2001.</w:t>
      </w:r>
    </w:p>
    <w:p w14:paraId="7C92530A" w14:textId="35697407" w:rsidR="007E1F7C" w:rsidRDefault="007E1F7C" w:rsidP="00B455A2">
      <w:pPr>
        <w:pStyle w:val="ListParagraph"/>
        <w:numPr>
          <w:ilvl w:val="0"/>
          <w:numId w:val="1"/>
        </w:numPr>
      </w:pPr>
      <w:r w:rsidRPr="007E1F7C">
        <w:t xml:space="preserve">Mallie, Eamonn, and David McKittrick. </w:t>
      </w:r>
      <w:r w:rsidRPr="007E1F7C">
        <w:rPr>
          <w:i/>
          <w:iCs/>
        </w:rPr>
        <w:t>The Fight for Peace: The Secret Story Behind the Irish Peace Process</w:t>
      </w:r>
      <w:r w:rsidRPr="007E1F7C">
        <w:t>. Heinemann, 2001.</w:t>
      </w:r>
    </w:p>
    <w:p w14:paraId="05B96D2C" w14:textId="0F0E041E" w:rsidR="00ED521A" w:rsidRPr="00ED521A" w:rsidRDefault="007E1F7C" w:rsidP="00ED521A">
      <w:pPr>
        <w:pStyle w:val="ListParagraph"/>
        <w:numPr>
          <w:ilvl w:val="0"/>
          <w:numId w:val="1"/>
        </w:numPr>
      </w:pPr>
      <w:r w:rsidRPr="007E1F7C">
        <w:t xml:space="preserve">Phinnemore, David, and Katy Hayward. </w:t>
      </w:r>
      <w:r w:rsidRPr="007E1F7C">
        <w:rPr>
          <w:i/>
          <w:iCs/>
        </w:rPr>
        <w:t>UK-Ireland Relations and Northern Ireland After Brexit</w:t>
      </w:r>
      <w:r w:rsidRPr="007E1F7C">
        <w:t>. Oxford University Press, 2020.</w:t>
      </w:r>
    </w:p>
    <w:p w14:paraId="305AF0A4" w14:textId="77777777" w:rsidR="00E33468" w:rsidRDefault="00E33468"/>
    <w:sectPr w:rsidR="00E334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645CD0" w14:textId="77777777" w:rsidR="00ED521A" w:rsidRDefault="00ED521A" w:rsidP="00ED521A">
      <w:pPr>
        <w:spacing w:after="0" w:line="240" w:lineRule="auto"/>
      </w:pPr>
      <w:r>
        <w:separator/>
      </w:r>
    </w:p>
  </w:endnote>
  <w:endnote w:type="continuationSeparator" w:id="0">
    <w:p w14:paraId="1222175B" w14:textId="77777777" w:rsidR="00ED521A" w:rsidRDefault="00ED521A" w:rsidP="00ED5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CBB24" w14:textId="77777777" w:rsidR="00ED521A" w:rsidRDefault="00ED521A" w:rsidP="00ED521A">
      <w:pPr>
        <w:spacing w:after="0" w:line="240" w:lineRule="auto"/>
      </w:pPr>
      <w:r>
        <w:separator/>
      </w:r>
    </w:p>
  </w:footnote>
  <w:footnote w:type="continuationSeparator" w:id="0">
    <w:p w14:paraId="6E85FD3E" w14:textId="77777777" w:rsidR="00ED521A" w:rsidRDefault="00ED521A" w:rsidP="00ED521A">
      <w:pPr>
        <w:spacing w:after="0" w:line="240" w:lineRule="auto"/>
      </w:pPr>
      <w:r>
        <w:continuationSeparator/>
      </w:r>
    </w:p>
  </w:footnote>
  <w:footnote w:id="1">
    <w:p w14:paraId="5FAC417D" w14:textId="2D16E6A0" w:rsidR="00ED521A" w:rsidRDefault="00ED521A">
      <w:pPr>
        <w:pStyle w:val="FootnoteText"/>
      </w:pPr>
      <w:r>
        <w:rPr>
          <w:rStyle w:val="FootnoteReference"/>
        </w:rPr>
        <w:footnoteRef/>
      </w:r>
      <w:r>
        <w:t xml:space="preserve"> </w:t>
      </w:r>
      <w:r w:rsidRPr="00547240">
        <w:t xml:space="preserve">Mitchell, George. </w:t>
      </w:r>
      <w:r w:rsidRPr="00547240">
        <w:rPr>
          <w:i/>
          <w:iCs/>
        </w:rPr>
        <w:t>Making Peace</w:t>
      </w:r>
      <w:r w:rsidRPr="00547240">
        <w:t>.</w:t>
      </w:r>
    </w:p>
  </w:footnote>
  <w:footnote w:id="2">
    <w:p w14:paraId="05FC714B" w14:textId="5648A270" w:rsidR="00ED521A" w:rsidRDefault="00ED521A">
      <w:pPr>
        <w:pStyle w:val="FootnoteText"/>
      </w:pPr>
      <w:r>
        <w:rPr>
          <w:rStyle w:val="FootnoteReference"/>
        </w:rPr>
        <w:footnoteRef/>
      </w:r>
      <w:r>
        <w:t xml:space="preserve"> </w:t>
      </w:r>
      <w:r w:rsidRPr="00547240">
        <w:t xml:space="preserve">Bew, Paul. </w:t>
      </w:r>
      <w:r w:rsidRPr="00547240">
        <w:rPr>
          <w:i/>
          <w:iCs/>
        </w:rPr>
        <w:t>The Making and Remaking of the Good Friday Agreement</w:t>
      </w:r>
    </w:p>
  </w:footnote>
  <w:footnote w:id="3">
    <w:p w14:paraId="4E6B138B" w14:textId="77777777" w:rsidR="00ED521A" w:rsidRDefault="00ED521A" w:rsidP="00ED521A">
      <w:pPr>
        <w:pStyle w:val="FootnoteText"/>
      </w:pPr>
      <w:r>
        <w:rPr>
          <w:rStyle w:val="FootnoteReference"/>
        </w:rPr>
        <w:footnoteRef/>
      </w:r>
      <w:r>
        <w:t xml:space="preserve"> </w:t>
      </w:r>
      <w:r w:rsidRPr="0049397F">
        <w:t xml:space="preserve">Cochrane, Feargal. </w:t>
      </w:r>
      <w:r w:rsidRPr="0049397F">
        <w:rPr>
          <w:i/>
          <w:iCs/>
        </w:rPr>
        <w:t>Breaking Peace: Brexit and Northern Ireland</w:t>
      </w:r>
      <w:r w:rsidRPr="0049397F">
        <w:t xml:space="preserve">. </w:t>
      </w:r>
    </w:p>
    <w:p w14:paraId="0889B914" w14:textId="7CD9934F" w:rsidR="00ED521A" w:rsidRDefault="00ED521A">
      <w:pPr>
        <w:pStyle w:val="FootnoteText"/>
      </w:pPr>
    </w:p>
  </w:footnote>
  <w:footnote w:id="4">
    <w:p w14:paraId="73735F17" w14:textId="7D47ED30" w:rsidR="00ED521A" w:rsidRDefault="00ED521A">
      <w:pPr>
        <w:pStyle w:val="FootnoteText"/>
      </w:pPr>
      <w:r>
        <w:rPr>
          <w:rStyle w:val="FootnoteReference"/>
        </w:rPr>
        <w:footnoteRef/>
      </w:r>
      <w:r>
        <w:t xml:space="preserve"> </w:t>
      </w:r>
      <w:r w:rsidRPr="0049397F">
        <w:t xml:space="preserve">Todd, Jennifer. </w:t>
      </w:r>
      <w:r w:rsidRPr="0049397F">
        <w:rPr>
          <w:i/>
          <w:iCs/>
        </w:rPr>
        <w:t>Identity Change after Conflict: Ethnicity, Boundaries, and Belonging in the Two Irelands</w:t>
      </w:r>
      <w:r w:rsidRPr="0049397F">
        <w:t>.</w:t>
      </w:r>
    </w:p>
  </w:footnote>
  <w:footnote w:id="5">
    <w:p w14:paraId="768CA9F8" w14:textId="6448B966" w:rsidR="00ED521A" w:rsidRDefault="00ED521A">
      <w:pPr>
        <w:pStyle w:val="FootnoteText"/>
      </w:pPr>
      <w:r>
        <w:rPr>
          <w:rStyle w:val="FootnoteReference"/>
        </w:rPr>
        <w:footnoteRef/>
      </w:r>
      <w:r>
        <w:t xml:space="preserve"> </w:t>
      </w:r>
      <w:r w:rsidRPr="0049397F">
        <w:t xml:space="preserve">McKittrick, David, and McVea, David. </w:t>
      </w:r>
      <w:r w:rsidRPr="0049397F">
        <w:rPr>
          <w:i/>
          <w:iCs/>
        </w:rPr>
        <w:t>Making Sense of the Troubles</w:t>
      </w:r>
    </w:p>
  </w:footnote>
  <w:footnote w:id="6">
    <w:p w14:paraId="67B1A1F7" w14:textId="1D412579" w:rsidR="00ED521A" w:rsidRDefault="00ED521A">
      <w:pPr>
        <w:pStyle w:val="FootnoteText"/>
      </w:pPr>
      <w:r>
        <w:rPr>
          <w:rStyle w:val="FootnoteReference"/>
        </w:rPr>
        <w:footnoteRef/>
      </w:r>
      <w:r>
        <w:t xml:space="preserve"> </w:t>
      </w:r>
      <w:r w:rsidRPr="00832BBD">
        <w:t xml:space="preserve">Hennessey, Thomas. </w:t>
      </w:r>
      <w:r w:rsidRPr="00832BBD">
        <w:rPr>
          <w:i/>
          <w:iCs/>
        </w:rPr>
        <w:t>The Northern Ireland Peace Process: Ending the Troubles?</w:t>
      </w:r>
    </w:p>
  </w:footnote>
  <w:footnote w:id="7">
    <w:p w14:paraId="66EB2620" w14:textId="77777777" w:rsidR="00ED521A" w:rsidRDefault="00ED521A" w:rsidP="00ED521A">
      <w:pPr>
        <w:pStyle w:val="FootnoteText"/>
      </w:pPr>
      <w:r>
        <w:rPr>
          <w:rStyle w:val="FootnoteReference"/>
        </w:rPr>
        <w:footnoteRef/>
      </w:r>
      <w:r>
        <w:t xml:space="preserve"> </w:t>
      </w:r>
      <w:r w:rsidRPr="00832BBD">
        <w:t xml:space="preserve">Ruane, Joseph, and Jennifer Todd. </w:t>
      </w:r>
      <w:r w:rsidRPr="00832BBD">
        <w:rPr>
          <w:i/>
          <w:iCs/>
        </w:rPr>
        <w:t>The Dynamics of Conflict in Northern Ireland: Power, Conflict, and Emancipation</w:t>
      </w:r>
      <w:r w:rsidRPr="00832BBD">
        <w:t>.</w:t>
      </w:r>
    </w:p>
    <w:p w14:paraId="34BEFDFD" w14:textId="66228BF7" w:rsidR="00ED521A" w:rsidRDefault="00ED521A">
      <w:pPr>
        <w:pStyle w:val="FootnoteText"/>
      </w:pPr>
    </w:p>
  </w:footnote>
  <w:footnote w:id="8">
    <w:p w14:paraId="28BC8D83" w14:textId="672A5227" w:rsidR="00ED521A" w:rsidRDefault="00ED521A">
      <w:pPr>
        <w:pStyle w:val="FootnoteText"/>
      </w:pPr>
      <w:r>
        <w:rPr>
          <w:rStyle w:val="FootnoteReference"/>
        </w:rPr>
        <w:footnoteRef/>
      </w:r>
      <w:r>
        <w:t xml:space="preserve"> </w:t>
      </w:r>
      <w:r w:rsidRPr="00832BBD">
        <w:t xml:space="preserve">Tonge, Jonathan. </w:t>
      </w:r>
      <w:r w:rsidRPr="00832BBD">
        <w:rPr>
          <w:i/>
          <w:iCs/>
        </w:rPr>
        <w:t>Northern Ireland: Conflict and Change</w:t>
      </w:r>
    </w:p>
  </w:footnote>
  <w:footnote w:id="9">
    <w:p w14:paraId="33D9CCEB" w14:textId="18EF62F6" w:rsidR="00B455A2" w:rsidRDefault="00B455A2">
      <w:pPr>
        <w:pStyle w:val="FootnoteText"/>
      </w:pPr>
      <w:r>
        <w:rPr>
          <w:rStyle w:val="FootnoteReference"/>
        </w:rPr>
        <w:footnoteRef/>
      </w:r>
      <w:r>
        <w:t xml:space="preserve"> </w:t>
      </w:r>
      <w:r w:rsidRPr="00832BBD">
        <w:t xml:space="preserve">Farrington, Christopher. </w:t>
      </w:r>
      <w:r w:rsidRPr="00832BBD">
        <w:rPr>
          <w:i/>
          <w:iCs/>
        </w:rPr>
        <w:t>Ulster Unionism and the Peace Process in Northern Ireland</w:t>
      </w:r>
      <w:r w:rsidRPr="00832BBD">
        <w:t>.</w:t>
      </w:r>
    </w:p>
  </w:footnote>
  <w:footnote w:id="10">
    <w:p w14:paraId="5A278685" w14:textId="1C466FAD" w:rsidR="00B455A2" w:rsidRDefault="00B455A2">
      <w:pPr>
        <w:pStyle w:val="FootnoteText"/>
      </w:pPr>
      <w:r>
        <w:rPr>
          <w:rStyle w:val="FootnoteReference"/>
        </w:rPr>
        <w:footnoteRef/>
      </w:r>
      <w:r>
        <w:t xml:space="preserve"> </w:t>
      </w:r>
      <w:r w:rsidRPr="00490B2E">
        <w:t>Arthur, Paul. Special Relationships: Britain, Ireland and the Northern Ireland Problem</w:t>
      </w:r>
    </w:p>
  </w:footnote>
  <w:footnote w:id="11">
    <w:p w14:paraId="2E92E7C3" w14:textId="14CDF244" w:rsidR="00B455A2" w:rsidRDefault="00B455A2">
      <w:pPr>
        <w:pStyle w:val="FootnoteText"/>
      </w:pPr>
      <w:r>
        <w:rPr>
          <w:rStyle w:val="FootnoteReference"/>
        </w:rPr>
        <w:footnoteRef/>
      </w:r>
      <w:r>
        <w:t xml:space="preserve"> </w:t>
      </w:r>
      <w:r w:rsidRPr="00490B2E">
        <w:t xml:space="preserve">McGarry, John, and Brendan O’Leary. </w:t>
      </w:r>
      <w:r w:rsidRPr="00490B2E">
        <w:rPr>
          <w:i/>
          <w:iCs/>
        </w:rPr>
        <w:t>The Northern Ireland Conflict: Consociational Engagements</w:t>
      </w:r>
      <w:r w:rsidRPr="00490B2E">
        <w:t>.</w:t>
      </w:r>
    </w:p>
  </w:footnote>
  <w:footnote w:id="12">
    <w:p w14:paraId="3E6EB4F3" w14:textId="5340D1DF" w:rsidR="00B455A2" w:rsidRDefault="00B455A2">
      <w:pPr>
        <w:pStyle w:val="FootnoteText"/>
      </w:pPr>
      <w:r>
        <w:rPr>
          <w:rStyle w:val="FootnoteReference"/>
        </w:rPr>
        <w:footnoteRef/>
      </w:r>
      <w:r>
        <w:t xml:space="preserve"> </w:t>
      </w:r>
      <w:r w:rsidRPr="00490B2E">
        <w:t>Cunningham, Michael. British Government Policy in Northern Ireland, 1969-2000.</w:t>
      </w:r>
    </w:p>
  </w:footnote>
  <w:footnote w:id="13">
    <w:p w14:paraId="0B1B7119" w14:textId="7801DC85" w:rsidR="00B455A2" w:rsidRDefault="00B455A2">
      <w:pPr>
        <w:pStyle w:val="FootnoteText"/>
      </w:pPr>
      <w:r>
        <w:rPr>
          <w:rStyle w:val="FootnoteReference"/>
        </w:rPr>
        <w:footnoteRef/>
      </w:r>
      <w:r>
        <w:t xml:space="preserve"> </w:t>
      </w:r>
      <w:r w:rsidRPr="00490B2E">
        <w:t xml:space="preserve">English, Richard. </w:t>
      </w:r>
      <w:r w:rsidRPr="00490B2E">
        <w:rPr>
          <w:i/>
          <w:iCs/>
        </w:rPr>
        <w:t>Armed Struggle: The History of the IRA</w:t>
      </w:r>
      <w:r w:rsidRPr="00490B2E">
        <w:t>.</w:t>
      </w:r>
    </w:p>
  </w:footnote>
  <w:footnote w:id="14">
    <w:p w14:paraId="15EB3677" w14:textId="167D858B" w:rsidR="00B455A2" w:rsidRDefault="00B455A2">
      <w:pPr>
        <w:pStyle w:val="FootnoteText"/>
      </w:pPr>
      <w:r>
        <w:rPr>
          <w:rStyle w:val="FootnoteReference"/>
        </w:rPr>
        <w:footnoteRef/>
      </w:r>
      <w:r>
        <w:t xml:space="preserve"> </w:t>
      </w:r>
      <w:r w:rsidRPr="00CA5BE3">
        <w:t xml:space="preserve">Dixon, Paul. </w:t>
      </w:r>
      <w:r w:rsidRPr="00CA5BE3">
        <w:rPr>
          <w:i/>
          <w:iCs/>
        </w:rPr>
        <w:t>Northern Ireland: The Politics of War and Peace</w:t>
      </w:r>
      <w:r w:rsidRPr="00CA5BE3">
        <w:t>.</w:t>
      </w:r>
    </w:p>
  </w:footnote>
  <w:footnote w:id="15">
    <w:p w14:paraId="00AF32E4" w14:textId="6C828B33" w:rsidR="00B455A2" w:rsidRDefault="00B455A2">
      <w:pPr>
        <w:pStyle w:val="FootnoteText"/>
      </w:pPr>
      <w:r>
        <w:rPr>
          <w:rStyle w:val="FootnoteReference"/>
        </w:rPr>
        <w:footnoteRef/>
      </w:r>
      <w:r>
        <w:t xml:space="preserve"> </w:t>
      </w:r>
      <w:r w:rsidRPr="00CA5BE3">
        <w:t xml:space="preserve">Powell, Jonathan. </w:t>
      </w:r>
      <w:r w:rsidRPr="00CA5BE3">
        <w:rPr>
          <w:i/>
          <w:iCs/>
        </w:rPr>
        <w:t>Great Hatred, Little Room: Making Peace in Northern Ireland</w:t>
      </w:r>
      <w:r w:rsidRPr="00CA5BE3">
        <w:t xml:space="preserve">. </w:t>
      </w:r>
    </w:p>
  </w:footnote>
  <w:footnote w:id="16">
    <w:p w14:paraId="36DA53CD" w14:textId="6893951B" w:rsidR="00B455A2" w:rsidRDefault="00B455A2">
      <w:pPr>
        <w:pStyle w:val="FootnoteText"/>
      </w:pPr>
      <w:r>
        <w:rPr>
          <w:rStyle w:val="FootnoteReference"/>
        </w:rPr>
        <w:footnoteRef/>
      </w:r>
      <w:r>
        <w:t xml:space="preserve"> </w:t>
      </w:r>
      <w:r w:rsidRPr="00CA5BE3">
        <w:t xml:space="preserve">Mansergh, Martin. </w:t>
      </w:r>
      <w:r w:rsidRPr="00CA5BE3">
        <w:rPr>
          <w:i/>
          <w:iCs/>
        </w:rPr>
        <w:t>The Legacy of History: For Making Peace in Ireland</w:t>
      </w:r>
      <w:r w:rsidRPr="00CA5BE3">
        <w:t>.</w:t>
      </w:r>
    </w:p>
  </w:footnote>
  <w:footnote w:id="17">
    <w:p w14:paraId="7988978C" w14:textId="676FBF56" w:rsidR="00B455A2" w:rsidRDefault="00B455A2">
      <w:pPr>
        <w:pStyle w:val="FootnoteText"/>
      </w:pPr>
      <w:r>
        <w:rPr>
          <w:rStyle w:val="FootnoteReference"/>
        </w:rPr>
        <w:footnoteRef/>
      </w:r>
      <w:r>
        <w:t xml:space="preserve"> </w:t>
      </w:r>
      <w:r w:rsidRPr="00CA5BE3">
        <w:t xml:space="preserve">Owen, Robert. </w:t>
      </w:r>
      <w:r w:rsidRPr="00CA5BE3">
        <w:rPr>
          <w:i/>
          <w:iCs/>
        </w:rPr>
        <w:t>International Mediation in Northern Ireland's Peace Process</w:t>
      </w:r>
      <w:r w:rsidRPr="00CA5BE3">
        <w:t>.</w:t>
      </w:r>
    </w:p>
  </w:footnote>
  <w:footnote w:id="18">
    <w:p w14:paraId="4BE15BA4" w14:textId="00A16FFD" w:rsidR="00B455A2" w:rsidRDefault="00B455A2">
      <w:pPr>
        <w:pStyle w:val="FootnoteText"/>
      </w:pPr>
      <w:r>
        <w:rPr>
          <w:rStyle w:val="FootnoteReference"/>
        </w:rPr>
        <w:footnoteRef/>
      </w:r>
      <w:r>
        <w:t xml:space="preserve"> </w:t>
      </w:r>
      <w:r w:rsidRPr="00CA5BE3">
        <w:t xml:space="preserve">Guelke, Adrian. </w:t>
      </w:r>
      <w:r w:rsidRPr="00CA5BE3">
        <w:rPr>
          <w:i/>
          <w:iCs/>
        </w:rPr>
        <w:t>Politics in Deeply Divided Societies</w:t>
      </w:r>
      <w:r w:rsidRPr="00CA5BE3">
        <w:t>.</w:t>
      </w:r>
    </w:p>
  </w:footnote>
  <w:footnote w:id="19">
    <w:p w14:paraId="4F925438" w14:textId="558A72CC" w:rsidR="00B455A2" w:rsidRDefault="00B455A2">
      <w:pPr>
        <w:pStyle w:val="FootnoteText"/>
      </w:pPr>
      <w:r>
        <w:rPr>
          <w:rStyle w:val="FootnoteReference"/>
        </w:rPr>
        <w:footnoteRef/>
      </w:r>
      <w:r>
        <w:t xml:space="preserve"> </w:t>
      </w:r>
      <w:r w:rsidRPr="00CA5BE3">
        <w:t xml:space="preserve">O'Leary, Brendan, and John McGarry. </w:t>
      </w:r>
      <w:r w:rsidRPr="00CA5BE3">
        <w:rPr>
          <w:i/>
          <w:iCs/>
        </w:rPr>
        <w:t>The Politics of Antagonism: Understanding Northern Ireland</w:t>
      </w:r>
      <w:r w:rsidRPr="00CA5BE3">
        <w:t>.</w:t>
      </w:r>
    </w:p>
  </w:footnote>
  <w:footnote w:id="20">
    <w:p w14:paraId="63CE1C6A" w14:textId="60110657" w:rsidR="00B455A2" w:rsidRDefault="00B455A2">
      <w:pPr>
        <w:pStyle w:val="FootnoteText"/>
      </w:pPr>
      <w:r>
        <w:rPr>
          <w:rStyle w:val="FootnoteReference"/>
        </w:rPr>
        <w:footnoteRef/>
      </w:r>
      <w:r>
        <w:t xml:space="preserve"> </w:t>
      </w:r>
      <w:r w:rsidRPr="00B455A2">
        <w:t xml:space="preserve">McGarry, John, and Brendan O'Leary. </w:t>
      </w:r>
      <w:r w:rsidRPr="00B455A2">
        <w:rPr>
          <w:i/>
          <w:iCs/>
        </w:rPr>
        <w:t>Explaining Northern Ireland: Broken Images</w:t>
      </w:r>
      <w:r w:rsidRPr="00B455A2">
        <w:t>.</w:t>
      </w:r>
    </w:p>
  </w:footnote>
  <w:footnote w:id="21">
    <w:p w14:paraId="41D05F74" w14:textId="31AA70E3" w:rsidR="00B455A2" w:rsidRDefault="00B455A2">
      <w:pPr>
        <w:pStyle w:val="FootnoteText"/>
      </w:pPr>
      <w:r>
        <w:rPr>
          <w:rStyle w:val="FootnoteReference"/>
        </w:rPr>
        <w:footnoteRef/>
      </w:r>
      <w:r>
        <w:t xml:space="preserve"> </w:t>
      </w:r>
      <w:r w:rsidRPr="00B455A2">
        <w:t xml:space="preserve">Taylor, Rupert. </w:t>
      </w:r>
      <w:r w:rsidRPr="00B455A2">
        <w:rPr>
          <w:i/>
          <w:iCs/>
        </w:rPr>
        <w:t>Consociational Theory: McGarry and O'Leary and the Northern Ireland Conflict</w:t>
      </w:r>
      <w:r w:rsidRPr="00B455A2">
        <w:t>.</w:t>
      </w:r>
    </w:p>
  </w:footnote>
  <w:footnote w:id="22">
    <w:p w14:paraId="2B80744D" w14:textId="33779903" w:rsidR="00B455A2" w:rsidRDefault="00B455A2">
      <w:pPr>
        <w:pStyle w:val="FootnoteText"/>
      </w:pPr>
      <w:r>
        <w:rPr>
          <w:rStyle w:val="FootnoteReference"/>
        </w:rPr>
        <w:footnoteRef/>
      </w:r>
      <w:r>
        <w:t xml:space="preserve"> </w:t>
      </w:r>
      <w:r w:rsidRPr="00B455A2">
        <w:t xml:space="preserve">Cunningham, Michael. </w:t>
      </w:r>
      <w:r w:rsidRPr="00B455A2">
        <w:rPr>
          <w:i/>
          <w:iCs/>
        </w:rPr>
        <w:t>British Government Policy in Northern Ireland, 1969-2000</w:t>
      </w:r>
      <w:r w:rsidRPr="00B455A2">
        <w:t>.</w:t>
      </w:r>
    </w:p>
  </w:footnote>
  <w:footnote w:id="23">
    <w:p w14:paraId="6BA1B2BB" w14:textId="005CCE8D" w:rsidR="007E1F7C" w:rsidRDefault="007E1F7C">
      <w:pPr>
        <w:pStyle w:val="FootnoteText"/>
      </w:pPr>
      <w:r>
        <w:rPr>
          <w:rStyle w:val="FootnoteReference"/>
        </w:rPr>
        <w:footnoteRef/>
      </w:r>
      <w:r>
        <w:t xml:space="preserve"> </w:t>
      </w:r>
      <w:r w:rsidRPr="007E1F7C">
        <w:t xml:space="preserve">Mallie, Eamonn, and David McKittrick. </w:t>
      </w:r>
      <w:r w:rsidRPr="007E1F7C">
        <w:rPr>
          <w:i/>
          <w:iCs/>
        </w:rPr>
        <w:t>The Fight for Peace: The Secret Story Behind the Irish Peace Process</w:t>
      </w:r>
      <w:r w:rsidRPr="007E1F7C">
        <w:t>.</w:t>
      </w:r>
    </w:p>
  </w:footnote>
  <w:footnote w:id="24">
    <w:p w14:paraId="0A4309B1" w14:textId="66FC8B4E" w:rsidR="007E1F7C" w:rsidRDefault="007E1F7C">
      <w:pPr>
        <w:pStyle w:val="FootnoteText"/>
      </w:pPr>
      <w:r>
        <w:rPr>
          <w:rStyle w:val="FootnoteReference"/>
        </w:rPr>
        <w:footnoteRef/>
      </w:r>
      <w:r>
        <w:t xml:space="preserve"> </w:t>
      </w:r>
      <w:r w:rsidRPr="007E1F7C">
        <w:t xml:space="preserve">Phinnemore, David, and Katy Hayward. </w:t>
      </w:r>
      <w:r w:rsidRPr="007E1F7C">
        <w:rPr>
          <w:i/>
          <w:iCs/>
        </w:rPr>
        <w:t>UK-Ireland Relations and Northern Ireland After Brexit</w:t>
      </w:r>
      <w:r w:rsidRPr="007E1F7C">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EB61FA"/>
    <w:multiLevelType w:val="hybridMultilevel"/>
    <w:tmpl w:val="88CCA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645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21A"/>
    <w:rsid w:val="001A0AD4"/>
    <w:rsid w:val="002A3EA5"/>
    <w:rsid w:val="00795110"/>
    <w:rsid w:val="007E1F7C"/>
    <w:rsid w:val="009A2F60"/>
    <w:rsid w:val="00B455A2"/>
    <w:rsid w:val="00E33468"/>
    <w:rsid w:val="00ED521A"/>
    <w:rsid w:val="00EE4B9C"/>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9C7D2"/>
  <w15:chartTrackingRefBased/>
  <w15:docId w15:val="{68D080A6-BE34-4A60-B67A-FC8D34EF8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2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52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2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2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2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2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2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2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2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2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52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52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2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2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2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2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2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21A"/>
    <w:rPr>
      <w:rFonts w:eastAsiaTheme="majorEastAsia" w:cstheme="majorBidi"/>
      <w:color w:val="272727" w:themeColor="text1" w:themeTint="D8"/>
    </w:rPr>
  </w:style>
  <w:style w:type="paragraph" w:styleId="Title">
    <w:name w:val="Title"/>
    <w:basedOn w:val="Normal"/>
    <w:next w:val="Normal"/>
    <w:link w:val="TitleChar"/>
    <w:uiPriority w:val="10"/>
    <w:qFormat/>
    <w:rsid w:val="00ED52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2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2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2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21A"/>
    <w:pPr>
      <w:spacing w:before="160"/>
      <w:jc w:val="center"/>
    </w:pPr>
    <w:rPr>
      <w:i/>
      <w:iCs/>
      <w:color w:val="404040" w:themeColor="text1" w:themeTint="BF"/>
    </w:rPr>
  </w:style>
  <w:style w:type="character" w:customStyle="1" w:styleId="QuoteChar">
    <w:name w:val="Quote Char"/>
    <w:basedOn w:val="DefaultParagraphFont"/>
    <w:link w:val="Quote"/>
    <w:uiPriority w:val="29"/>
    <w:rsid w:val="00ED521A"/>
    <w:rPr>
      <w:i/>
      <w:iCs/>
      <w:color w:val="404040" w:themeColor="text1" w:themeTint="BF"/>
    </w:rPr>
  </w:style>
  <w:style w:type="paragraph" w:styleId="ListParagraph">
    <w:name w:val="List Paragraph"/>
    <w:basedOn w:val="Normal"/>
    <w:uiPriority w:val="34"/>
    <w:qFormat/>
    <w:rsid w:val="00ED521A"/>
    <w:pPr>
      <w:ind w:left="720"/>
      <w:contextualSpacing/>
    </w:pPr>
  </w:style>
  <w:style w:type="character" w:styleId="IntenseEmphasis">
    <w:name w:val="Intense Emphasis"/>
    <w:basedOn w:val="DefaultParagraphFont"/>
    <w:uiPriority w:val="21"/>
    <w:qFormat/>
    <w:rsid w:val="00ED521A"/>
    <w:rPr>
      <w:i/>
      <w:iCs/>
      <w:color w:val="0F4761" w:themeColor="accent1" w:themeShade="BF"/>
    </w:rPr>
  </w:style>
  <w:style w:type="paragraph" w:styleId="IntenseQuote">
    <w:name w:val="Intense Quote"/>
    <w:basedOn w:val="Normal"/>
    <w:next w:val="Normal"/>
    <w:link w:val="IntenseQuoteChar"/>
    <w:uiPriority w:val="30"/>
    <w:qFormat/>
    <w:rsid w:val="00ED52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21A"/>
    <w:rPr>
      <w:i/>
      <w:iCs/>
      <w:color w:val="0F4761" w:themeColor="accent1" w:themeShade="BF"/>
    </w:rPr>
  </w:style>
  <w:style w:type="character" w:styleId="IntenseReference">
    <w:name w:val="Intense Reference"/>
    <w:basedOn w:val="DefaultParagraphFont"/>
    <w:uiPriority w:val="32"/>
    <w:qFormat/>
    <w:rsid w:val="00ED521A"/>
    <w:rPr>
      <w:b/>
      <w:bCs/>
      <w:smallCaps/>
      <w:color w:val="0F4761" w:themeColor="accent1" w:themeShade="BF"/>
      <w:spacing w:val="5"/>
    </w:rPr>
  </w:style>
  <w:style w:type="paragraph" w:styleId="FootnoteText">
    <w:name w:val="footnote text"/>
    <w:basedOn w:val="Normal"/>
    <w:link w:val="FootnoteTextChar"/>
    <w:uiPriority w:val="99"/>
    <w:semiHidden/>
    <w:unhideWhenUsed/>
    <w:rsid w:val="00ED52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521A"/>
    <w:rPr>
      <w:sz w:val="20"/>
      <w:szCs w:val="20"/>
    </w:rPr>
  </w:style>
  <w:style w:type="character" w:styleId="FootnoteReference">
    <w:name w:val="footnote reference"/>
    <w:basedOn w:val="DefaultParagraphFont"/>
    <w:uiPriority w:val="99"/>
    <w:semiHidden/>
    <w:unhideWhenUsed/>
    <w:rsid w:val="00ED52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407459">
      <w:bodyDiv w:val="1"/>
      <w:marLeft w:val="0"/>
      <w:marRight w:val="0"/>
      <w:marTop w:val="0"/>
      <w:marBottom w:val="0"/>
      <w:divBdr>
        <w:top w:val="none" w:sz="0" w:space="0" w:color="auto"/>
        <w:left w:val="none" w:sz="0" w:space="0" w:color="auto"/>
        <w:bottom w:val="none" w:sz="0" w:space="0" w:color="auto"/>
        <w:right w:val="none" w:sz="0" w:space="0" w:color="auto"/>
      </w:divBdr>
    </w:div>
    <w:div w:id="712080403">
      <w:bodyDiv w:val="1"/>
      <w:marLeft w:val="0"/>
      <w:marRight w:val="0"/>
      <w:marTop w:val="0"/>
      <w:marBottom w:val="0"/>
      <w:divBdr>
        <w:top w:val="none" w:sz="0" w:space="0" w:color="auto"/>
        <w:left w:val="none" w:sz="0" w:space="0" w:color="auto"/>
        <w:bottom w:val="none" w:sz="0" w:space="0" w:color="auto"/>
        <w:right w:val="none" w:sz="0" w:space="0" w:color="auto"/>
      </w:divBdr>
    </w:div>
    <w:div w:id="1425762008">
      <w:bodyDiv w:val="1"/>
      <w:marLeft w:val="0"/>
      <w:marRight w:val="0"/>
      <w:marTop w:val="0"/>
      <w:marBottom w:val="0"/>
      <w:divBdr>
        <w:top w:val="none" w:sz="0" w:space="0" w:color="auto"/>
        <w:left w:val="none" w:sz="0" w:space="0" w:color="auto"/>
        <w:bottom w:val="none" w:sz="0" w:space="0" w:color="auto"/>
        <w:right w:val="none" w:sz="0" w:space="0" w:color="auto"/>
      </w:divBdr>
    </w:div>
    <w:div w:id="183016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1483</TotalTime>
  <Pages>8</Pages>
  <Words>3052</Words>
  <Characters>17400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cp:revision>
  <dcterms:created xsi:type="dcterms:W3CDTF">2024-10-12T14:34:00Z</dcterms:created>
  <dcterms:modified xsi:type="dcterms:W3CDTF">2024-10-13T15:24:00Z</dcterms:modified>
</cp:coreProperties>
</file>