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A1DBA" w14:textId="77777777" w:rsidR="00C42F3E" w:rsidRPr="00810DF0" w:rsidRDefault="00C42F3E">
      <w:pPr>
        <w:rPr>
          <w:rFonts w:cstheme="minorHAnsi"/>
          <w:b/>
        </w:rPr>
      </w:pPr>
      <w:r w:rsidRPr="00810DF0">
        <w:rPr>
          <w:rFonts w:cstheme="minorHAnsi"/>
          <w:b/>
        </w:rPr>
        <w:t>Group 1</w:t>
      </w:r>
    </w:p>
    <w:p w14:paraId="51E343D5" w14:textId="77777777" w:rsidR="008A491E" w:rsidRPr="00810DF0" w:rsidRDefault="00C42F3E" w:rsidP="00C42F3E">
      <w:pPr>
        <w:rPr>
          <w:rFonts w:cstheme="minorHAnsi"/>
          <w:b/>
        </w:rPr>
      </w:pPr>
      <w:r w:rsidRPr="00810DF0">
        <w:rPr>
          <w:rFonts w:cstheme="minorHAnsi"/>
          <w:b/>
          <w:u w:val="single"/>
        </w:rPr>
        <w:t>The Director of Public Prosecutions Guidance (DPPG) on Charging</w:t>
      </w:r>
      <w:r w:rsidR="008A491E" w:rsidRPr="00810DF0">
        <w:rPr>
          <w:rFonts w:cstheme="minorHAnsi"/>
          <w:b/>
        </w:rPr>
        <w:t>:</w:t>
      </w:r>
    </w:p>
    <w:p w14:paraId="16AE255D" w14:textId="77777777" w:rsidR="008A491E" w:rsidRPr="00113E81" w:rsidRDefault="008A491E" w:rsidP="008A491E">
      <w:pPr>
        <w:shd w:val="clear" w:color="auto" w:fill="FFFFFF"/>
        <w:spacing w:before="240" w:after="240" w:line="360" w:lineRule="atLeast"/>
        <w:rPr>
          <w:rFonts w:eastAsia="Times New Roman" w:cstheme="minorHAnsi"/>
          <w:b/>
          <w:color w:val="444444"/>
          <w:lang w:eastAsia="en-GB"/>
        </w:rPr>
      </w:pPr>
      <w:r w:rsidRPr="00113E81">
        <w:rPr>
          <w:rFonts w:eastAsia="Times New Roman" w:cstheme="minorHAnsi"/>
          <w:b/>
          <w:color w:val="444444"/>
          <w:lang w:eastAsia="en-GB"/>
        </w:rPr>
        <w:t>This Guidance sets out:</w:t>
      </w:r>
    </w:p>
    <w:p w14:paraId="31DC123D" w14:textId="77777777" w:rsidR="008A491E" w:rsidRPr="00113E81" w:rsidRDefault="008A491E" w:rsidP="008A491E">
      <w:pPr>
        <w:numPr>
          <w:ilvl w:val="0"/>
          <w:numId w:val="5"/>
        </w:numPr>
        <w:shd w:val="clear" w:color="auto" w:fill="FFFFFF"/>
        <w:spacing w:before="100" w:beforeAutospacing="1" w:after="100" w:afterAutospacing="1" w:line="360" w:lineRule="atLeast"/>
        <w:ind w:left="0"/>
        <w:rPr>
          <w:rFonts w:eastAsia="Times New Roman" w:cstheme="minorHAnsi"/>
          <w:bCs/>
          <w:lang w:eastAsia="en-GB"/>
        </w:rPr>
      </w:pPr>
      <w:r w:rsidRPr="00113E81">
        <w:rPr>
          <w:rFonts w:eastAsia="Times New Roman" w:cstheme="minorHAnsi"/>
          <w:bCs/>
          <w:lang w:eastAsia="en-GB"/>
        </w:rPr>
        <w:t xml:space="preserve">how the police should deal with a person where there is sufficient evidence to charge or where a person has been arrested again having been released on bail awaiting a charging decision by a </w:t>
      </w:r>
      <w:proofErr w:type="gramStart"/>
      <w:r w:rsidRPr="00113E81">
        <w:rPr>
          <w:rFonts w:eastAsia="Times New Roman" w:cstheme="minorHAnsi"/>
          <w:bCs/>
          <w:lang w:eastAsia="en-GB"/>
        </w:rPr>
        <w:t>prosecutor;</w:t>
      </w:r>
      <w:proofErr w:type="gramEnd"/>
    </w:p>
    <w:p w14:paraId="62B48380" w14:textId="77777777" w:rsidR="008A491E" w:rsidRPr="00113E81" w:rsidRDefault="008A491E" w:rsidP="008A491E">
      <w:pPr>
        <w:numPr>
          <w:ilvl w:val="0"/>
          <w:numId w:val="5"/>
        </w:numPr>
        <w:shd w:val="clear" w:color="auto" w:fill="FFFFFF"/>
        <w:spacing w:before="100" w:beforeAutospacing="1" w:after="100" w:afterAutospacing="1" w:line="360" w:lineRule="atLeast"/>
        <w:ind w:left="0"/>
        <w:rPr>
          <w:rFonts w:eastAsia="Times New Roman" w:cstheme="minorHAnsi"/>
          <w:bCs/>
          <w:lang w:eastAsia="en-GB"/>
        </w:rPr>
      </w:pPr>
      <w:r w:rsidRPr="00113E81">
        <w:rPr>
          <w:rFonts w:eastAsia="Times New Roman" w:cstheme="minorHAnsi"/>
          <w:bCs/>
          <w:lang w:eastAsia="en-GB"/>
        </w:rPr>
        <w:t xml:space="preserve">the offences that can be charged by the police and those where the decision must be made by </w:t>
      </w:r>
      <w:proofErr w:type="gramStart"/>
      <w:r w:rsidRPr="00113E81">
        <w:rPr>
          <w:rFonts w:eastAsia="Times New Roman" w:cstheme="minorHAnsi"/>
          <w:bCs/>
          <w:lang w:eastAsia="en-GB"/>
        </w:rPr>
        <w:t>prosecutors;</w:t>
      </w:r>
      <w:proofErr w:type="gramEnd"/>
    </w:p>
    <w:p w14:paraId="4225C16E" w14:textId="77777777" w:rsidR="008A491E" w:rsidRPr="00113E81" w:rsidRDefault="008A491E" w:rsidP="008A491E">
      <w:pPr>
        <w:numPr>
          <w:ilvl w:val="0"/>
          <w:numId w:val="5"/>
        </w:numPr>
        <w:shd w:val="clear" w:color="auto" w:fill="FFFFFF"/>
        <w:spacing w:before="100" w:beforeAutospacing="1" w:after="100" w:afterAutospacing="1" w:line="360" w:lineRule="atLeast"/>
        <w:ind w:left="0"/>
        <w:rPr>
          <w:rFonts w:eastAsia="Times New Roman" w:cstheme="minorHAnsi"/>
          <w:bCs/>
          <w:lang w:eastAsia="en-GB"/>
        </w:rPr>
      </w:pPr>
      <w:r w:rsidRPr="00113E81">
        <w:rPr>
          <w:rFonts w:eastAsia="Times New Roman" w:cstheme="minorHAnsi"/>
          <w:bCs/>
          <w:lang w:eastAsia="en-GB"/>
        </w:rPr>
        <w:t xml:space="preserve">how and when early investigative advice is to be sought from a </w:t>
      </w:r>
      <w:proofErr w:type="gramStart"/>
      <w:r w:rsidRPr="00113E81">
        <w:rPr>
          <w:rFonts w:eastAsia="Times New Roman" w:cstheme="minorHAnsi"/>
          <w:bCs/>
          <w:lang w:eastAsia="en-GB"/>
        </w:rPr>
        <w:t>prosecutor;</w:t>
      </w:r>
      <w:proofErr w:type="gramEnd"/>
    </w:p>
    <w:p w14:paraId="3D7A836F" w14:textId="77777777" w:rsidR="008A491E" w:rsidRPr="00113E81" w:rsidRDefault="008A491E" w:rsidP="008A491E">
      <w:pPr>
        <w:numPr>
          <w:ilvl w:val="0"/>
          <w:numId w:val="5"/>
        </w:numPr>
        <w:shd w:val="clear" w:color="auto" w:fill="FFFFFF"/>
        <w:spacing w:before="100" w:beforeAutospacing="1" w:after="100" w:afterAutospacing="1" w:line="360" w:lineRule="atLeast"/>
        <w:ind w:left="0"/>
        <w:rPr>
          <w:rFonts w:eastAsia="Times New Roman" w:cstheme="minorHAnsi"/>
          <w:bCs/>
          <w:lang w:eastAsia="en-GB"/>
        </w:rPr>
      </w:pPr>
      <w:r w:rsidRPr="00113E81">
        <w:rPr>
          <w:rFonts w:eastAsia="Times New Roman" w:cstheme="minorHAnsi"/>
          <w:bCs/>
          <w:lang w:eastAsia="en-GB"/>
        </w:rPr>
        <w:t xml:space="preserve">the evidence and information needed for a charging decision to be made and for the prosecution of cases at </w:t>
      </w:r>
      <w:proofErr w:type="gramStart"/>
      <w:r w:rsidRPr="00113E81">
        <w:rPr>
          <w:rFonts w:eastAsia="Times New Roman" w:cstheme="minorHAnsi"/>
          <w:bCs/>
          <w:lang w:eastAsia="en-GB"/>
        </w:rPr>
        <w:t>court;</w:t>
      </w:r>
      <w:proofErr w:type="gramEnd"/>
    </w:p>
    <w:p w14:paraId="20111770" w14:textId="77777777" w:rsidR="001B6655" w:rsidRPr="00113E81" w:rsidRDefault="008A491E" w:rsidP="001B6655">
      <w:pPr>
        <w:numPr>
          <w:ilvl w:val="0"/>
          <w:numId w:val="5"/>
        </w:numPr>
        <w:shd w:val="clear" w:color="auto" w:fill="FFFFFF"/>
        <w:spacing w:before="100" w:beforeAutospacing="1" w:after="100" w:afterAutospacing="1" w:line="360" w:lineRule="atLeast"/>
        <w:ind w:left="0"/>
        <w:rPr>
          <w:rFonts w:eastAsia="Times New Roman" w:cstheme="minorHAnsi"/>
          <w:bCs/>
          <w:lang w:eastAsia="en-GB"/>
        </w:rPr>
      </w:pPr>
      <w:r w:rsidRPr="00113E81">
        <w:rPr>
          <w:rFonts w:eastAsia="Times New Roman" w:cstheme="minorHAnsi"/>
          <w:bCs/>
          <w:lang w:eastAsia="en-GB"/>
        </w:rPr>
        <w:t>the circumstances when a person may be given a simple caution for an indictable only offence, or a conditional caution</w:t>
      </w:r>
    </w:p>
    <w:p w14:paraId="4ABCDC8F" w14:textId="77777777" w:rsidR="001B6655" w:rsidRPr="00113E81" w:rsidRDefault="001B6655" w:rsidP="001B6655">
      <w:pPr>
        <w:shd w:val="clear" w:color="auto" w:fill="FFFFFF"/>
        <w:spacing w:before="100" w:beforeAutospacing="1" w:after="100" w:afterAutospacing="1" w:line="360" w:lineRule="atLeast"/>
        <w:rPr>
          <w:rFonts w:eastAsia="Times New Roman" w:cstheme="minorHAnsi"/>
          <w:bCs/>
          <w:lang w:eastAsia="en-GB"/>
        </w:rPr>
      </w:pPr>
      <w:r w:rsidRPr="00113E81">
        <w:rPr>
          <w:rFonts w:eastAsia="Times New Roman" w:cstheme="minorHAnsi"/>
          <w:bCs/>
          <w:lang w:eastAsia="en-GB"/>
        </w:rPr>
        <w:t>Responsibilities of Police Officers and Prosecutors:</w:t>
      </w:r>
    </w:p>
    <w:p w14:paraId="4A662E9E" w14:textId="77777777" w:rsidR="001B6655" w:rsidRPr="00113E81" w:rsidRDefault="001B6655" w:rsidP="001B6655">
      <w:pPr>
        <w:shd w:val="clear" w:color="auto" w:fill="FFFFFF"/>
        <w:spacing w:before="100" w:beforeAutospacing="1" w:after="100" w:afterAutospacing="1" w:line="360" w:lineRule="atLeast"/>
        <w:rPr>
          <w:rFonts w:eastAsia="Times New Roman" w:cstheme="minorHAnsi"/>
          <w:bCs/>
          <w:lang w:eastAsia="en-GB"/>
        </w:rPr>
      </w:pPr>
      <w:r w:rsidRPr="00113E81">
        <w:rPr>
          <w:rFonts w:eastAsia="Times New Roman" w:cstheme="minorHAnsi"/>
          <w:bCs/>
          <w:lang w:eastAsia="en-GB"/>
        </w:rPr>
        <w:t>The police are responsible for:</w:t>
      </w:r>
    </w:p>
    <w:p w14:paraId="4D1746FA" w14:textId="77777777" w:rsidR="001B6655" w:rsidRPr="00113E81" w:rsidRDefault="001B6655" w:rsidP="001B6655">
      <w:pPr>
        <w:numPr>
          <w:ilvl w:val="0"/>
          <w:numId w:val="6"/>
        </w:numPr>
        <w:shd w:val="clear" w:color="auto" w:fill="FFFFFF"/>
        <w:spacing w:before="100" w:beforeAutospacing="1" w:after="100" w:afterAutospacing="1" w:line="360" w:lineRule="atLeast"/>
        <w:ind w:left="0"/>
        <w:rPr>
          <w:rFonts w:eastAsia="Times New Roman" w:cstheme="minorHAnsi"/>
          <w:bCs/>
          <w:lang w:eastAsia="en-GB"/>
        </w:rPr>
      </w:pPr>
      <w:r w:rsidRPr="00113E81">
        <w:rPr>
          <w:rFonts w:eastAsia="Times New Roman" w:cstheme="minorHAnsi"/>
          <w:bCs/>
          <w:lang w:eastAsia="en-GB"/>
        </w:rPr>
        <w:t xml:space="preserve">diverting, </w:t>
      </w:r>
      <w:proofErr w:type="gramStart"/>
      <w:r w:rsidRPr="00113E81">
        <w:rPr>
          <w:rFonts w:eastAsia="Times New Roman" w:cstheme="minorHAnsi"/>
          <w:bCs/>
          <w:lang w:eastAsia="en-GB"/>
        </w:rPr>
        <w:t>charging</w:t>
      </w:r>
      <w:proofErr w:type="gramEnd"/>
      <w:r w:rsidRPr="00113E81">
        <w:rPr>
          <w:rFonts w:eastAsia="Times New Roman" w:cstheme="minorHAnsi"/>
          <w:bCs/>
          <w:lang w:eastAsia="en-GB"/>
        </w:rPr>
        <w:t xml:space="preserve"> and referring cases as directed</w:t>
      </w:r>
    </w:p>
    <w:p w14:paraId="110ACE06" w14:textId="77777777" w:rsidR="001B6655" w:rsidRPr="00113E81" w:rsidRDefault="001B6655" w:rsidP="001B6655">
      <w:pPr>
        <w:numPr>
          <w:ilvl w:val="0"/>
          <w:numId w:val="6"/>
        </w:numPr>
        <w:shd w:val="clear" w:color="auto" w:fill="FFFFFF"/>
        <w:spacing w:before="100" w:beforeAutospacing="1" w:after="100" w:afterAutospacing="1" w:line="360" w:lineRule="atLeast"/>
        <w:ind w:left="0"/>
        <w:rPr>
          <w:rFonts w:eastAsia="Times New Roman" w:cstheme="minorHAnsi"/>
          <w:bCs/>
          <w:lang w:eastAsia="en-GB"/>
        </w:rPr>
      </w:pPr>
      <w:r w:rsidRPr="00113E81">
        <w:rPr>
          <w:rFonts w:eastAsia="Times New Roman" w:cstheme="minorHAnsi"/>
          <w:bCs/>
          <w:lang w:eastAsia="en-GB"/>
        </w:rPr>
        <w:t>assessing cases before referral to ensure the Full Code Test or Threshold Test can be met</w:t>
      </w:r>
    </w:p>
    <w:p w14:paraId="668E708D" w14:textId="77777777" w:rsidR="001B6655" w:rsidRPr="00113E81" w:rsidRDefault="001B6655" w:rsidP="001B6655">
      <w:pPr>
        <w:numPr>
          <w:ilvl w:val="0"/>
          <w:numId w:val="6"/>
        </w:numPr>
        <w:shd w:val="clear" w:color="auto" w:fill="FFFFFF"/>
        <w:spacing w:before="100" w:beforeAutospacing="1" w:after="100" w:afterAutospacing="1" w:line="360" w:lineRule="atLeast"/>
        <w:ind w:left="0"/>
        <w:rPr>
          <w:rFonts w:eastAsia="Times New Roman" w:cstheme="minorHAnsi"/>
          <w:bCs/>
          <w:lang w:eastAsia="en-GB"/>
        </w:rPr>
      </w:pPr>
      <w:r w:rsidRPr="00113E81">
        <w:rPr>
          <w:rFonts w:eastAsia="Times New Roman" w:cstheme="minorHAnsi"/>
          <w:bCs/>
          <w:lang w:eastAsia="en-GB"/>
        </w:rPr>
        <w:t xml:space="preserve">taking 'no further action' in any case that cannot meet the appropriate evidential standard, without referral to a </w:t>
      </w:r>
      <w:proofErr w:type="gramStart"/>
      <w:r w:rsidRPr="00113E81">
        <w:rPr>
          <w:rFonts w:eastAsia="Times New Roman" w:cstheme="minorHAnsi"/>
          <w:bCs/>
          <w:lang w:eastAsia="en-GB"/>
        </w:rPr>
        <w:t>prosecutor;</w:t>
      </w:r>
      <w:proofErr w:type="gramEnd"/>
    </w:p>
    <w:p w14:paraId="0180D028" w14:textId="77777777" w:rsidR="001B6655" w:rsidRPr="00113E81" w:rsidRDefault="001B6655" w:rsidP="001B6655">
      <w:pPr>
        <w:numPr>
          <w:ilvl w:val="0"/>
          <w:numId w:val="6"/>
        </w:numPr>
        <w:shd w:val="clear" w:color="auto" w:fill="FFFFFF"/>
        <w:spacing w:before="100" w:beforeAutospacing="1" w:after="100" w:afterAutospacing="1" w:line="360" w:lineRule="atLeast"/>
        <w:ind w:left="0"/>
        <w:rPr>
          <w:rFonts w:eastAsia="Times New Roman" w:cstheme="minorHAnsi"/>
          <w:bCs/>
          <w:lang w:eastAsia="en-GB"/>
        </w:rPr>
      </w:pPr>
      <w:r w:rsidRPr="00113E81">
        <w:rPr>
          <w:rFonts w:eastAsia="Times New Roman" w:cstheme="minorHAnsi"/>
          <w:bCs/>
          <w:lang w:eastAsia="en-GB"/>
        </w:rPr>
        <w:t xml:space="preserve">referring specific cases involving a death, rape or serious sexual offence for early </w:t>
      </w:r>
      <w:proofErr w:type="gramStart"/>
      <w:r w:rsidRPr="00113E81">
        <w:rPr>
          <w:rFonts w:eastAsia="Times New Roman" w:cstheme="minorHAnsi"/>
          <w:bCs/>
          <w:lang w:eastAsia="en-GB"/>
        </w:rPr>
        <w:t>advice;</w:t>
      </w:r>
      <w:proofErr w:type="gramEnd"/>
    </w:p>
    <w:p w14:paraId="45BE3678" w14:textId="77777777" w:rsidR="001B6655" w:rsidRPr="00113E81" w:rsidRDefault="001B6655" w:rsidP="001B6655">
      <w:pPr>
        <w:numPr>
          <w:ilvl w:val="0"/>
          <w:numId w:val="6"/>
        </w:numPr>
        <w:shd w:val="clear" w:color="auto" w:fill="FFFFFF"/>
        <w:spacing w:before="100" w:beforeAutospacing="1" w:after="100" w:afterAutospacing="1" w:line="360" w:lineRule="atLeast"/>
        <w:ind w:left="0"/>
        <w:rPr>
          <w:rFonts w:eastAsia="Times New Roman" w:cstheme="minorHAnsi"/>
          <w:bCs/>
          <w:lang w:eastAsia="en-GB"/>
        </w:rPr>
      </w:pPr>
      <w:r w:rsidRPr="00113E81">
        <w:rPr>
          <w:rFonts w:eastAsia="Times New Roman" w:cstheme="minorHAnsi"/>
          <w:bCs/>
          <w:lang w:eastAsia="en-GB"/>
        </w:rPr>
        <w:t xml:space="preserve">completing pre-charge reports and prosecution files as directed by this Guidance and in accordance with the National File </w:t>
      </w:r>
      <w:proofErr w:type="gramStart"/>
      <w:r w:rsidRPr="00113E81">
        <w:rPr>
          <w:rFonts w:eastAsia="Times New Roman" w:cstheme="minorHAnsi"/>
          <w:bCs/>
          <w:lang w:eastAsia="en-GB"/>
        </w:rPr>
        <w:t>Standard;</w:t>
      </w:r>
      <w:proofErr w:type="gramEnd"/>
    </w:p>
    <w:p w14:paraId="2D3C6C51" w14:textId="77777777" w:rsidR="001B6655" w:rsidRPr="00113E81" w:rsidRDefault="001B6655" w:rsidP="001B6655">
      <w:pPr>
        <w:numPr>
          <w:ilvl w:val="0"/>
          <w:numId w:val="6"/>
        </w:numPr>
        <w:shd w:val="clear" w:color="auto" w:fill="FFFFFF"/>
        <w:spacing w:before="100" w:beforeAutospacing="1" w:after="100" w:afterAutospacing="1" w:line="360" w:lineRule="atLeast"/>
        <w:ind w:left="0"/>
        <w:rPr>
          <w:rFonts w:eastAsia="Times New Roman" w:cstheme="minorHAnsi"/>
          <w:bCs/>
          <w:lang w:eastAsia="en-GB"/>
        </w:rPr>
      </w:pPr>
      <w:r w:rsidRPr="00113E81">
        <w:rPr>
          <w:rFonts w:eastAsia="Times New Roman" w:cstheme="minorHAnsi"/>
          <w:bCs/>
          <w:lang w:eastAsia="en-GB"/>
        </w:rPr>
        <w:t xml:space="preserve">completing action plans and providing key evidence within agreed time </w:t>
      </w:r>
      <w:proofErr w:type="gramStart"/>
      <w:r w:rsidRPr="00113E81">
        <w:rPr>
          <w:rFonts w:eastAsia="Times New Roman" w:cstheme="minorHAnsi"/>
          <w:bCs/>
          <w:lang w:eastAsia="en-GB"/>
        </w:rPr>
        <w:t>periods;</w:t>
      </w:r>
      <w:proofErr w:type="gramEnd"/>
    </w:p>
    <w:p w14:paraId="021432C0" w14:textId="77777777" w:rsidR="001B6655" w:rsidRPr="00113E81" w:rsidRDefault="001B6655" w:rsidP="001B6655">
      <w:pPr>
        <w:numPr>
          <w:ilvl w:val="0"/>
          <w:numId w:val="6"/>
        </w:numPr>
        <w:shd w:val="clear" w:color="auto" w:fill="FFFFFF"/>
        <w:spacing w:before="100" w:beforeAutospacing="1" w:after="100" w:afterAutospacing="1" w:line="360" w:lineRule="atLeast"/>
        <w:ind w:left="0"/>
        <w:rPr>
          <w:rFonts w:eastAsia="Times New Roman" w:cstheme="minorHAnsi"/>
          <w:bCs/>
          <w:lang w:eastAsia="en-GB"/>
        </w:rPr>
      </w:pPr>
      <w:r w:rsidRPr="00113E81">
        <w:rPr>
          <w:rFonts w:eastAsia="Times New Roman" w:cstheme="minorHAnsi"/>
          <w:bCs/>
          <w:lang w:eastAsia="en-GB"/>
        </w:rPr>
        <w:t xml:space="preserve">ensuring that any unused material which undermines the prosecution case or is capable of assisting the defence is revealed to the prosecutor at the time of referral of the case for investigative advice or a charging </w:t>
      </w:r>
      <w:proofErr w:type="gramStart"/>
      <w:r w:rsidRPr="00113E81">
        <w:rPr>
          <w:rFonts w:eastAsia="Times New Roman" w:cstheme="minorHAnsi"/>
          <w:bCs/>
          <w:lang w:eastAsia="en-GB"/>
        </w:rPr>
        <w:t>decision;</w:t>
      </w:r>
      <w:proofErr w:type="gramEnd"/>
    </w:p>
    <w:p w14:paraId="5BEBA2A0" w14:textId="77777777" w:rsidR="00C42F3E" w:rsidRPr="00113E81" w:rsidRDefault="001B6655" w:rsidP="008A491E">
      <w:pPr>
        <w:numPr>
          <w:ilvl w:val="0"/>
          <w:numId w:val="6"/>
        </w:numPr>
        <w:shd w:val="clear" w:color="auto" w:fill="FFFFFF"/>
        <w:spacing w:before="100" w:beforeAutospacing="1" w:after="100" w:afterAutospacing="1" w:line="360" w:lineRule="atLeast"/>
        <w:ind w:left="0"/>
        <w:rPr>
          <w:rFonts w:eastAsia="Times New Roman" w:cstheme="minorHAnsi"/>
          <w:bCs/>
          <w:lang w:eastAsia="en-GB"/>
        </w:rPr>
      </w:pPr>
      <w:r w:rsidRPr="00113E81">
        <w:rPr>
          <w:rFonts w:eastAsia="Times New Roman" w:cstheme="minorHAnsi"/>
          <w:bCs/>
          <w:lang w:eastAsia="en-GB"/>
        </w:rPr>
        <w:t xml:space="preserve">ensuring that cases appropriate for an out of court disposal are identified as early as possible and dealt with prior to </w:t>
      </w:r>
      <w:proofErr w:type="gramStart"/>
      <w:r w:rsidRPr="00113E81">
        <w:rPr>
          <w:rFonts w:eastAsia="Times New Roman" w:cstheme="minorHAnsi"/>
          <w:bCs/>
          <w:lang w:eastAsia="en-GB"/>
        </w:rPr>
        <w:t>charge;</w:t>
      </w:r>
      <w:proofErr w:type="gramEnd"/>
    </w:p>
    <w:p w14:paraId="79CABAC7" w14:textId="77777777" w:rsidR="001B6655" w:rsidRPr="00113E81" w:rsidRDefault="001B6655" w:rsidP="001B6655">
      <w:pPr>
        <w:shd w:val="clear" w:color="auto" w:fill="FFFFFF"/>
        <w:spacing w:before="100" w:beforeAutospacing="1" w:after="100" w:afterAutospacing="1" w:line="360" w:lineRule="atLeast"/>
        <w:rPr>
          <w:rFonts w:eastAsia="Times New Roman" w:cstheme="minorHAnsi"/>
          <w:bCs/>
          <w:lang w:eastAsia="en-GB"/>
        </w:rPr>
      </w:pPr>
      <w:r w:rsidRPr="00113E81">
        <w:rPr>
          <w:rFonts w:eastAsia="Times New Roman" w:cstheme="minorHAnsi"/>
          <w:bCs/>
          <w:lang w:eastAsia="en-GB"/>
        </w:rPr>
        <w:t>Prosecutors will be responsible for:</w:t>
      </w:r>
    </w:p>
    <w:p w14:paraId="716C4F4A" w14:textId="77777777" w:rsidR="001B6655" w:rsidRPr="00113E81" w:rsidRDefault="001B6655" w:rsidP="001B6655">
      <w:pPr>
        <w:numPr>
          <w:ilvl w:val="0"/>
          <w:numId w:val="7"/>
        </w:numPr>
        <w:shd w:val="clear" w:color="auto" w:fill="FFFFFF"/>
        <w:spacing w:before="100" w:beforeAutospacing="1" w:after="100" w:afterAutospacing="1" w:line="360" w:lineRule="atLeast"/>
        <w:ind w:left="0"/>
        <w:rPr>
          <w:rFonts w:eastAsia="Times New Roman" w:cstheme="minorHAnsi"/>
          <w:bCs/>
          <w:lang w:eastAsia="en-GB"/>
        </w:rPr>
      </w:pPr>
      <w:r w:rsidRPr="00113E81">
        <w:rPr>
          <w:rFonts w:eastAsia="Times New Roman" w:cstheme="minorHAnsi"/>
          <w:bCs/>
          <w:lang w:eastAsia="en-GB"/>
        </w:rPr>
        <w:t xml:space="preserve">making charging decisions and providing advice and guidance in cases specified by this </w:t>
      </w:r>
      <w:proofErr w:type="gramStart"/>
      <w:r w:rsidRPr="00113E81">
        <w:rPr>
          <w:rFonts w:eastAsia="Times New Roman" w:cstheme="minorHAnsi"/>
          <w:bCs/>
          <w:lang w:eastAsia="en-GB"/>
        </w:rPr>
        <w:t>Guidance;</w:t>
      </w:r>
      <w:proofErr w:type="gramEnd"/>
    </w:p>
    <w:p w14:paraId="632AB268" w14:textId="77777777" w:rsidR="001B6655" w:rsidRPr="00113E81" w:rsidRDefault="001B6655" w:rsidP="001B6655">
      <w:pPr>
        <w:numPr>
          <w:ilvl w:val="0"/>
          <w:numId w:val="7"/>
        </w:numPr>
        <w:shd w:val="clear" w:color="auto" w:fill="FFFFFF"/>
        <w:spacing w:before="100" w:beforeAutospacing="1" w:after="100" w:afterAutospacing="1" w:line="360" w:lineRule="atLeast"/>
        <w:ind w:left="0"/>
        <w:rPr>
          <w:rFonts w:eastAsia="Times New Roman" w:cstheme="minorHAnsi"/>
          <w:bCs/>
          <w:color w:val="000000" w:themeColor="text1"/>
          <w:lang w:eastAsia="en-GB"/>
        </w:rPr>
      </w:pPr>
      <w:r w:rsidRPr="00113E81">
        <w:rPr>
          <w:rFonts w:eastAsia="Times New Roman" w:cstheme="minorHAnsi"/>
          <w:bCs/>
          <w:color w:val="000000" w:themeColor="text1"/>
          <w:lang w:eastAsia="en-GB"/>
        </w:rPr>
        <w:t xml:space="preserve">deciding whether it is appropriate to apply the Threshold Test in any case where the prosecutor is responsible for making the charging </w:t>
      </w:r>
      <w:proofErr w:type="gramStart"/>
      <w:r w:rsidRPr="00113E81">
        <w:rPr>
          <w:rFonts w:eastAsia="Times New Roman" w:cstheme="minorHAnsi"/>
          <w:bCs/>
          <w:color w:val="000000" w:themeColor="text1"/>
          <w:lang w:eastAsia="en-GB"/>
        </w:rPr>
        <w:t>decision;</w:t>
      </w:r>
      <w:proofErr w:type="gramEnd"/>
    </w:p>
    <w:p w14:paraId="780B289A" w14:textId="77777777" w:rsidR="001B6655" w:rsidRPr="00113E81" w:rsidRDefault="001B6655" w:rsidP="001B6655">
      <w:pPr>
        <w:numPr>
          <w:ilvl w:val="0"/>
          <w:numId w:val="7"/>
        </w:numPr>
        <w:shd w:val="clear" w:color="auto" w:fill="FFFFFF"/>
        <w:spacing w:before="100" w:beforeAutospacing="1" w:after="100" w:afterAutospacing="1" w:line="360" w:lineRule="atLeast"/>
        <w:ind w:left="0"/>
        <w:rPr>
          <w:rFonts w:eastAsia="Times New Roman" w:cstheme="minorHAnsi"/>
          <w:bCs/>
          <w:color w:val="000000" w:themeColor="text1"/>
          <w:lang w:eastAsia="en-GB"/>
        </w:rPr>
      </w:pPr>
      <w:r w:rsidRPr="00113E81">
        <w:rPr>
          <w:rFonts w:eastAsia="Times New Roman" w:cstheme="minorHAnsi"/>
          <w:bCs/>
          <w:color w:val="000000" w:themeColor="text1"/>
          <w:lang w:eastAsia="en-GB"/>
        </w:rPr>
        <w:lastRenderedPageBreak/>
        <w:t xml:space="preserve">recording decisions on the appropriate </w:t>
      </w:r>
      <w:proofErr w:type="gramStart"/>
      <w:r w:rsidRPr="00113E81">
        <w:rPr>
          <w:rFonts w:eastAsia="Times New Roman" w:cstheme="minorHAnsi"/>
          <w:bCs/>
          <w:color w:val="000000" w:themeColor="text1"/>
          <w:lang w:eastAsia="en-GB"/>
        </w:rPr>
        <w:t>forms;</w:t>
      </w:r>
      <w:proofErr w:type="gramEnd"/>
    </w:p>
    <w:p w14:paraId="5F21A091" w14:textId="77777777" w:rsidR="001B6655" w:rsidRPr="00113E81" w:rsidRDefault="001B6655" w:rsidP="001B6655">
      <w:pPr>
        <w:numPr>
          <w:ilvl w:val="0"/>
          <w:numId w:val="7"/>
        </w:numPr>
        <w:shd w:val="clear" w:color="auto" w:fill="FFFFFF"/>
        <w:spacing w:before="100" w:beforeAutospacing="1" w:after="100" w:afterAutospacing="1" w:line="360" w:lineRule="atLeast"/>
        <w:ind w:left="0"/>
        <w:rPr>
          <w:rFonts w:eastAsia="Times New Roman" w:cstheme="minorHAnsi"/>
          <w:bCs/>
          <w:color w:val="000000" w:themeColor="text1"/>
          <w:lang w:eastAsia="en-GB"/>
        </w:rPr>
      </w:pPr>
      <w:r w:rsidRPr="00113E81">
        <w:rPr>
          <w:rFonts w:eastAsia="Times New Roman" w:cstheme="minorHAnsi"/>
          <w:bCs/>
          <w:color w:val="000000" w:themeColor="text1"/>
          <w:lang w:eastAsia="en-GB"/>
        </w:rPr>
        <w:t xml:space="preserve">ensuring pre-charge action plans only require the gathering of key evidence and contain agreed timescales for the completion of any </w:t>
      </w:r>
      <w:proofErr w:type="gramStart"/>
      <w:r w:rsidRPr="00113E81">
        <w:rPr>
          <w:rFonts w:eastAsia="Times New Roman" w:cstheme="minorHAnsi"/>
          <w:bCs/>
          <w:color w:val="000000" w:themeColor="text1"/>
          <w:lang w:eastAsia="en-GB"/>
        </w:rPr>
        <w:t>work;</w:t>
      </w:r>
      <w:proofErr w:type="gramEnd"/>
    </w:p>
    <w:p w14:paraId="2819C7FF" w14:textId="77777777" w:rsidR="001B6655" w:rsidRPr="00113E81" w:rsidRDefault="001B6655" w:rsidP="001B6655">
      <w:pPr>
        <w:numPr>
          <w:ilvl w:val="0"/>
          <w:numId w:val="7"/>
        </w:numPr>
        <w:shd w:val="clear" w:color="auto" w:fill="FFFFFF"/>
        <w:spacing w:before="100" w:beforeAutospacing="1" w:after="100" w:afterAutospacing="1" w:line="360" w:lineRule="atLeast"/>
        <w:ind w:left="0"/>
        <w:rPr>
          <w:rFonts w:eastAsia="Times New Roman" w:cstheme="minorHAnsi"/>
          <w:bCs/>
          <w:color w:val="000000" w:themeColor="text1"/>
          <w:lang w:eastAsia="en-GB"/>
        </w:rPr>
      </w:pPr>
      <w:r w:rsidRPr="00113E81">
        <w:rPr>
          <w:rFonts w:eastAsia="Times New Roman" w:cstheme="minorHAnsi"/>
          <w:bCs/>
          <w:color w:val="000000" w:themeColor="text1"/>
          <w:lang w:eastAsia="en-GB"/>
        </w:rPr>
        <w:t>ensuring that cases appropriate for an out of court disposal are identified prior to charge, and in police charged cases prior to the first hearing</w:t>
      </w:r>
    </w:p>
    <w:p w14:paraId="001A5C01" w14:textId="77777777" w:rsidR="001B6655" w:rsidRPr="00810DF0" w:rsidRDefault="001B6655" w:rsidP="00C42F3E">
      <w:pPr>
        <w:rPr>
          <w:b/>
          <w:sz w:val="24"/>
          <w:szCs w:val="24"/>
        </w:rPr>
      </w:pPr>
    </w:p>
    <w:p w14:paraId="0E484817" w14:textId="77777777" w:rsidR="00C42F3E" w:rsidRPr="00810DF0" w:rsidRDefault="00C42F3E" w:rsidP="00C42F3E">
      <w:pPr>
        <w:rPr>
          <w:b/>
          <w:sz w:val="24"/>
          <w:szCs w:val="24"/>
          <w:u w:val="single"/>
        </w:rPr>
      </w:pPr>
      <w:r w:rsidRPr="00810DF0">
        <w:rPr>
          <w:b/>
          <w:sz w:val="24"/>
          <w:szCs w:val="24"/>
          <w:u w:val="single"/>
        </w:rPr>
        <w:t>Prosecution of Offences Act 1985</w:t>
      </w:r>
      <w:r w:rsidR="00810DF0">
        <w:rPr>
          <w:b/>
          <w:sz w:val="24"/>
          <w:szCs w:val="24"/>
          <w:u w:val="single"/>
        </w:rPr>
        <w:t>:</w:t>
      </w:r>
    </w:p>
    <w:p w14:paraId="060256E7" w14:textId="77777777" w:rsidR="00F53F18" w:rsidRPr="00C81683" w:rsidRDefault="005546B8" w:rsidP="00C42F3E">
      <w:pPr>
        <w:rPr>
          <w:bCs/>
        </w:rPr>
      </w:pPr>
      <w:r w:rsidRPr="00C81683">
        <w:rPr>
          <w:bCs/>
        </w:rPr>
        <w:t>Section 23 in essence is the transfer of power of prosecution to that of the police to the CPS. Within this section, the CPS then has the power to stop court proceedings</w:t>
      </w:r>
      <w:r w:rsidR="000F0715" w:rsidRPr="00C81683">
        <w:rPr>
          <w:bCs/>
        </w:rPr>
        <w:t xml:space="preserve"> before the magistrate’s court:</w:t>
      </w:r>
    </w:p>
    <w:p w14:paraId="22CC94C6" w14:textId="77777777" w:rsidR="000F0715" w:rsidRPr="00C81683" w:rsidRDefault="000F0715" w:rsidP="000F0715">
      <w:pPr>
        <w:pStyle w:val="ListParagraph"/>
        <w:numPr>
          <w:ilvl w:val="1"/>
          <w:numId w:val="6"/>
        </w:numPr>
        <w:rPr>
          <w:bCs/>
        </w:rPr>
      </w:pPr>
      <w:r w:rsidRPr="00C81683">
        <w:rPr>
          <w:bCs/>
        </w:rPr>
        <w:t>sends the defendant for trial in the Crown Court</w:t>
      </w:r>
    </w:p>
    <w:p w14:paraId="1D742616" w14:textId="77777777" w:rsidR="000F0715" w:rsidRPr="00C81683" w:rsidRDefault="000F0715" w:rsidP="000F0715">
      <w:pPr>
        <w:pStyle w:val="ListParagraph"/>
        <w:numPr>
          <w:ilvl w:val="1"/>
          <w:numId w:val="6"/>
        </w:numPr>
        <w:rPr>
          <w:bCs/>
        </w:rPr>
      </w:pPr>
      <w:r w:rsidRPr="00C81683">
        <w:rPr>
          <w:bCs/>
        </w:rPr>
        <w:t>begins to hear the prosecution evidence, at a trial in the Magistrate’s court</w:t>
      </w:r>
    </w:p>
    <w:p w14:paraId="0BE5E1DA" w14:textId="77777777" w:rsidR="000F0715" w:rsidRPr="00C81683" w:rsidRDefault="000F0715" w:rsidP="000F0715">
      <w:pPr>
        <w:pStyle w:val="ListParagraph"/>
        <w:numPr>
          <w:ilvl w:val="1"/>
          <w:numId w:val="6"/>
        </w:numPr>
        <w:rPr>
          <w:bCs/>
        </w:rPr>
      </w:pPr>
      <w:r w:rsidRPr="00C81683">
        <w:rPr>
          <w:bCs/>
        </w:rPr>
        <w:t>Under s23(4) of the act, the DPP may discontinue proceedings where a person charged is in custody but has not yet been brought to court</w:t>
      </w:r>
    </w:p>
    <w:p w14:paraId="0D162318" w14:textId="77777777" w:rsidR="000F0715" w:rsidRPr="00C81683" w:rsidRDefault="000F0715" w:rsidP="000F0715">
      <w:pPr>
        <w:rPr>
          <w:bCs/>
        </w:rPr>
      </w:pPr>
      <w:proofErr w:type="gramStart"/>
      <w:r w:rsidRPr="00C81683">
        <w:rPr>
          <w:bCs/>
        </w:rPr>
        <w:t>However;</w:t>
      </w:r>
      <w:proofErr w:type="gramEnd"/>
      <w:r w:rsidRPr="00C81683">
        <w:rPr>
          <w:bCs/>
        </w:rPr>
        <w:t xml:space="preserve"> the defendant has a right to require the proceedings to continue</w:t>
      </w:r>
    </w:p>
    <w:p w14:paraId="254CFA5B" w14:textId="77777777" w:rsidR="007C4116" w:rsidRPr="007C4116" w:rsidRDefault="007C4116" w:rsidP="000F0715">
      <w:pPr>
        <w:rPr>
          <w:sz w:val="24"/>
          <w:szCs w:val="24"/>
        </w:rPr>
      </w:pPr>
    </w:p>
    <w:p w14:paraId="152D3619" w14:textId="77777777" w:rsidR="00C42F3E" w:rsidRPr="00810DF0" w:rsidRDefault="00C42F3E" w:rsidP="00C42F3E">
      <w:pPr>
        <w:rPr>
          <w:b/>
        </w:rPr>
      </w:pPr>
      <w:r w:rsidRPr="00810DF0">
        <w:rPr>
          <w:b/>
          <w:u w:val="single"/>
        </w:rPr>
        <w:t>PACE 1984 – Relevant codes –and post charge bail under section 38(1)</w:t>
      </w:r>
      <w:r w:rsidR="00810DF0">
        <w:rPr>
          <w:b/>
        </w:rPr>
        <w:t>:</w:t>
      </w:r>
    </w:p>
    <w:p w14:paraId="02812A0A" w14:textId="77777777" w:rsidR="00C42F3E" w:rsidRPr="00C81683" w:rsidRDefault="00810DF0" w:rsidP="00810DF0">
      <w:pPr>
        <w:pStyle w:val="ListParagraph"/>
        <w:numPr>
          <w:ilvl w:val="0"/>
          <w:numId w:val="8"/>
        </w:numPr>
        <w:rPr>
          <w:bCs/>
        </w:rPr>
      </w:pPr>
      <w:r w:rsidRPr="00C81683">
        <w:rPr>
          <w:bCs/>
        </w:rPr>
        <w:t>A person arrest has an automatic right of bail after charge unless:</w:t>
      </w:r>
    </w:p>
    <w:p w14:paraId="303663A7" w14:textId="77777777" w:rsidR="00810DF0" w:rsidRPr="00C81683" w:rsidRDefault="00810DF0" w:rsidP="00810DF0">
      <w:pPr>
        <w:pStyle w:val="ListParagraph"/>
        <w:numPr>
          <w:ilvl w:val="0"/>
          <w:numId w:val="9"/>
        </w:numPr>
        <w:rPr>
          <w:bCs/>
        </w:rPr>
      </w:pPr>
      <w:r w:rsidRPr="00C81683">
        <w:rPr>
          <w:bCs/>
        </w:rPr>
        <w:t>Name and address cannot be proven</w:t>
      </w:r>
    </w:p>
    <w:p w14:paraId="3199C2FB" w14:textId="77777777" w:rsidR="00810DF0" w:rsidRPr="00C81683" w:rsidRDefault="00810DF0" w:rsidP="00810DF0">
      <w:pPr>
        <w:pStyle w:val="ListParagraph"/>
        <w:numPr>
          <w:ilvl w:val="0"/>
          <w:numId w:val="9"/>
        </w:numPr>
        <w:rPr>
          <w:bCs/>
        </w:rPr>
      </w:pPr>
      <w:r w:rsidRPr="00C81683">
        <w:rPr>
          <w:bCs/>
        </w:rPr>
        <w:t>A belief that the person will not answer bail</w:t>
      </w:r>
    </w:p>
    <w:p w14:paraId="72D9E255" w14:textId="77777777" w:rsidR="00810DF0" w:rsidRPr="00C81683" w:rsidRDefault="00810DF0" w:rsidP="00810DF0">
      <w:pPr>
        <w:pStyle w:val="ListParagraph"/>
        <w:numPr>
          <w:ilvl w:val="0"/>
          <w:numId w:val="9"/>
        </w:numPr>
        <w:rPr>
          <w:bCs/>
        </w:rPr>
      </w:pPr>
      <w:r w:rsidRPr="00C81683">
        <w:rPr>
          <w:bCs/>
        </w:rPr>
        <w:t>May be sent to prison on the grounds that further offences will take place</w:t>
      </w:r>
    </w:p>
    <w:p w14:paraId="2BCCDE33" w14:textId="77777777" w:rsidR="00810DF0" w:rsidRPr="00C81683" w:rsidRDefault="00810DF0" w:rsidP="00810DF0">
      <w:pPr>
        <w:pStyle w:val="ListParagraph"/>
        <w:numPr>
          <w:ilvl w:val="0"/>
          <w:numId w:val="9"/>
        </w:numPr>
        <w:rPr>
          <w:bCs/>
        </w:rPr>
      </w:pPr>
      <w:r w:rsidRPr="00C81683">
        <w:rPr>
          <w:bCs/>
        </w:rPr>
        <w:t>Samples need to be taken post charge</w:t>
      </w:r>
    </w:p>
    <w:p w14:paraId="6D75262A" w14:textId="77777777" w:rsidR="00810DF0" w:rsidRPr="00C81683" w:rsidRDefault="00810DF0" w:rsidP="00810DF0">
      <w:pPr>
        <w:pStyle w:val="ListParagraph"/>
        <w:numPr>
          <w:ilvl w:val="0"/>
          <w:numId w:val="9"/>
        </w:numPr>
        <w:rPr>
          <w:bCs/>
        </w:rPr>
      </w:pPr>
      <w:r w:rsidRPr="00C81683">
        <w:rPr>
          <w:bCs/>
        </w:rPr>
        <w:t>To prevent him from causing harm to anyone else to damage property</w:t>
      </w:r>
    </w:p>
    <w:p w14:paraId="4245F8B7" w14:textId="77777777" w:rsidR="00810DF0" w:rsidRPr="00C81683" w:rsidRDefault="00810DF0" w:rsidP="00810DF0">
      <w:pPr>
        <w:pStyle w:val="ListParagraph"/>
        <w:numPr>
          <w:ilvl w:val="0"/>
          <w:numId w:val="9"/>
        </w:numPr>
        <w:rPr>
          <w:bCs/>
        </w:rPr>
      </w:pPr>
      <w:r w:rsidRPr="00C81683">
        <w:rPr>
          <w:bCs/>
        </w:rPr>
        <w:t>Prevent interference of justice/the investigation of an offence(s)</w:t>
      </w:r>
    </w:p>
    <w:p w14:paraId="11636E35" w14:textId="77777777" w:rsidR="00810DF0" w:rsidRPr="00C81683" w:rsidRDefault="00810DF0" w:rsidP="00810DF0">
      <w:pPr>
        <w:pStyle w:val="ListParagraph"/>
        <w:numPr>
          <w:ilvl w:val="0"/>
          <w:numId w:val="9"/>
        </w:numPr>
        <w:rPr>
          <w:bCs/>
        </w:rPr>
      </w:pPr>
      <w:r w:rsidRPr="00C81683">
        <w:rPr>
          <w:bCs/>
        </w:rPr>
        <w:t>To be detained for his own protection</w:t>
      </w:r>
    </w:p>
    <w:p w14:paraId="2E87A60C" w14:textId="77777777" w:rsidR="00810DF0" w:rsidRPr="00C81683" w:rsidRDefault="00810DF0" w:rsidP="00810DF0">
      <w:pPr>
        <w:rPr>
          <w:bCs/>
        </w:rPr>
      </w:pPr>
    </w:p>
    <w:p w14:paraId="24F9D614" w14:textId="77777777" w:rsidR="00810DF0" w:rsidRPr="00C81683" w:rsidRDefault="00810DF0" w:rsidP="00810DF0">
      <w:pPr>
        <w:pStyle w:val="ListParagraph"/>
        <w:numPr>
          <w:ilvl w:val="0"/>
          <w:numId w:val="8"/>
        </w:numPr>
        <w:rPr>
          <w:bCs/>
        </w:rPr>
      </w:pPr>
      <w:r w:rsidRPr="00C81683">
        <w:rPr>
          <w:bCs/>
        </w:rPr>
        <w:t>If the arrested is a juvenile</w:t>
      </w:r>
    </w:p>
    <w:p w14:paraId="1F968E31" w14:textId="77777777" w:rsidR="00810DF0" w:rsidRPr="00C81683" w:rsidRDefault="00810DF0" w:rsidP="00810DF0">
      <w:pPr>
        <w:pStyle w:val="ListParagraph"/>
        <w:numPr>
          <w:ilvl w:val="0"/>
          <w:numId w:val="10"/>
        </w:numPr>
        <w:rPr>
          <w:bCs/>
        </w:rPr>
      </w:pPr>
      <w:r w:rsidRPr="00C81683">
        <w:rPr>
          <w:bCs/>
        </w:rPr>
        <w:t>He has reached the minimum age</w:t>
      </w:r>
    </w:p>
    <w:p w14:paraId="6DD9A7DE" w14:textId="77777777" w:rsidR="00810DF0" w:rsidRPr="00C81683" w:rsidRDefault="00810DF0" w:rsidP="00810DF0">
      <w:pPr>
        <w:pStyle w:val="ListParagraph"/>
        <w:numPr>
          <w:ilvl w:val="0"/>
          <w:numId w:val="10"/>
        </w:numPr>
        <w:rPr>
          <w:bCs/>
        </w:rPr>
      </w:pPr>
      <w:r w:rsidRPr="00C81683">
        <w:rPr>
          <w:bCs/>
        </w:rPr>
        <w:t>Detention will be for his own best interest</w:t>
      </w:r>
    </w:p>
    <w:p w14:paraId="5209E715" w14:textId="77777777" w:rsidR="00810DF0" w:rsidRPr="00C81683" w:rsidRDefault="00810DF0" w:rsidP="00810DF0">
      <w:pPr>
        <w:rPr>
          <w:bCs/>
        </w:rPr>
      </w:pPr>
    </w:p>
    <w:p w14:paraId="60F2FF25" w14:textId="77777777" w:rsidR="00810DF0" w:rsidRPr="00C81683" w:rsidRDefault="00810DF0" w:rsidP="00810DF0">
      <w:pPr>
        <w:pStyle w:val="ListParagraph"/>
        <w:numPr>
          <w:ilvl w:val="0"/>
          <w:numId w:val="8"/>
        </w:numPr>
        <w:rPr>
          <w:bCs/>
        </w:rPr>
      </w:pPr>
      <w:r w:rsidRPr="00C81683">
        <w:rPr>
          <w:bCs/>
        </w:rPr>
        <w:t>Person has been charged with murder</w:t>
      </w:r>
    </w:p>
    <w:p w14:paraId="65332B92" w14:textId="77777777" w:rsidR="00810DF0" w:rsidRPr="00C81683" w:rsidRDefault="00810DF0" w:rsidP="00810DF0">
      <w:pPr>
        <w:rPr>
          <w:bCs/>
        </w:rPr>
      </w:pPr>
    </w:p>
    <w:p w14:paraId="771B66EA" w14:textId="77777777" w:rsidR="00810DF0" w:rsidRPr="00C81683" w:rsidRDefault="00810DF0" w:rsidP="00810DF0">
      <w:pPr>
        <w:pStyle w:val="ListParagraph"/>
        <w:numPr>
          <w:ilvl w:val="0"/>
          <w:numId w:val="8"/>
        </w:numPr>
        <w:rPr>
          <w:bCs/>
        </w:rPr>
      </w:pPr>
      <w:r w:rsidRPr="00C81683">
        <w:rPr>
          <w:bCs/>
        </w:rPr>
        <w:t>Custody officer must justify the decisions to withhold release on the custody record</w:t>
      </w:r>
    </w:p>
    <w:p w14:paraId="714807E8" w14:textId="5DE5FE96" w:rsidR="00810DF0" w:rsidRDefault="00810DF0" w:rsidP="00810DF0">
      <w:pPr>
        <w:rPr>
          <w:b/>
        </w:rPr>
      </w:pPr>
    </w:p>
    <w:p w14:paraId="5B64B9F3" w14:textId="77777777" w:rsidR="00113E81" w:rsidRDefault="00113E81" w:rsidP="00810DF0">
      <w:pPr>
        <w:rPr>
          <w:b/>
        </w:rPr>
      </w:pPr>
    </w:p>
    <w:p w14:paraId="0A600B65" w14:textId="77777777" w:rsidR="00C81683" w:rsidRPr="00810DF0" w:rsidRDefault="00C81683" w:rsidP="00810DF0">
      <w:pPr>
        <w:rPr>
          <w:b/>
        </w:rPr>
      </w:pPr>
    </w:p>
    <w:p w14:paraId="73643482" w14:textId="77777777" w:rsidR="009D2555" w:rsidRDefault="009D2555">
      <w:pPr>
        <w:rPr>
          <w:b/>
        </w:rPr>
      </w:pPr>
      <w:r>
        <w:rPr>
          <w:b/>
        </w:rPr>
        <w:lastRenderedPageBreak/>
        <w:t>Group 2 Trainer Notes</w:t>
      </w:r>
    </w:p>
    <w:p w14:paraId="663F4859" w14:textId="77777777" w:rsidR="00C42F3E" w:rsidRDefault="009D2555" w:rsidP="006241A9">
      <w:pPr>
        <w:rPr>
          <w:b/>
        </w:rPr>
      </w:pPr>
      <w:r w:rsidRPr="00C42F3E">
        <w:rPr>
          <w:b/>
          <w:u w:val="single"/>
        </w:rPr>
        <w:t>The National File Standard</w:t>
      </w:r>
      <w:r w:rsidR="00C42F3E">
        <w:rPr>
          <w:b/>
        </w:rPr>
        <w:t>:</w:t>
      </w:r>
    </w:p>
    <w:p w14:paraId="24C7788B" w14:textId="77777777" w:rsidR="006241A9" w:rsidRPr="00445BB4" w:rsidRDefault="00C42F3E" w:rsidP="006241A9">
      <w:r w:rsidRPr="00445BB4">
        <w:t>T</w:t>
      </w:r>
      <w:r w:rsidR="006241A9" w:rsidRPr="00445BB4">
        <w:t xml:space="preserve">he file of evidence is as such that we need to have certain documentation within </w:t>
      </w:r>
      <w:proofErr w:type="gramStart"/>
      <w:r w:rsidR="006241A9" w:rsidRPr="00445BB4">
        <w:t>it, and</w:t>
      </w:r>
      <w:proofErr w:type="gramEnd"/>
      <w:r w:rsidR="006241A9" w:rsidRPr="00445BB4">
        <w:t xml:space="preserve"> will be submitted via the CPS/Police interface called CJIT. The files are classed in two ways: </w:t>
      </w:r>
    </w:p>
    <w:p w14:paraId="136829CA" w14:textId="77777777" w:rsidR="006241A9" w:rsidRPr="00445BB4" w:rsidRDefault="006241A9" w:rsidP="006241A9">
      <w:r w:rsidRPr="00445BB4">
        <w:t>Guilty –GAP file</w:t>
      </w:r>
    </w:p>
    <w:p w14:paraId="1E17F431" w14:textId="77777777" w:rsidR="006241A9" w:rsidRPr="00445BB4" w:rsidRDefault="006241A9" w:rsidP="006241A9">
      <w:r w:rsidRPr="00445BB4">
        <w:t>Not Guilty – NGAP file</w:t>
      </w:r>
    </w:p>
    <w:p w14:paraId="17FFAC0F" w14:textId="77777777" w:rsidR="006241A9" w:rsidRPr="00445BB4" w:rsidRDefault="006241A9" w:rsidP="006241A9">
      <w:r w:rsidRPr="00445BB4">
        <w:t>On the force intranet, there is a list of necessary documentation.</w:t>
      </w:r>
    </w:p>
    <w:p w14:paraId="46786E07" w14:textId="77777777" w:rsidR="006241A9" w:rsidRPr="00445BB4" w:rsidRDefault="006241A9" w:rsidP="006241A9">
      <w:r w:rsidRPr="00445BB4">
        <w:t xml:space="preserve">Both files will require the necessary paperwork (the MG forms) as well as any photographic evidence, however, other forms of evidence </w:t>
      </w:r>
      <w:proofErr w:type="gramStart"/>
      <w:r w:rsidRPr="00445BB4">
        <w:t>e.g.</w:t>
      </w:r>
      <w:proofErr w:type="gramEnd"/>
      <w:r w:rsidRPr="00445BB4">
        <w:t xml:space="preserve"> CCTV disc will need to be secured via the property process.</w:t>
      </w:r>
    </w:p>
    <w:p w14:paraId="1521CD53" w14:textId="77777777" w:rsidR="006241A9" w:rsidRPr="00445BB4" w:rsidRDefault="006241A9" w:rsidP="006241A9">
      <w:r w:rsidRPr="00445BB4">
        <w:t>The CPS will give their charging advice and rationale, which must also be included in the file, and there is a process in place whereby CPS information given will not be disclosable to the defence.</w:t>
      </w:r>
    </w:p>
    <w:p w14:paraId="4CCEA744" w14:textId="77777777" w:rsidR="002D01F8" w:rsidRPr="00445BB4" w:rsidRDefault="006241A9" w:rsidP="006241A9">
      <w:r w:rsidRPr="00445BB4">
        <w:t xml:space="preserve">There </w:t>
      </w:r>
      <w:proofErr w:type="gramStart"/>
      <w:r w:rsidRPr="00445BB4">
        <w:t>are</w:t>
      </w:r>
      <w:proofErr w:type="gramEnd"/>
      <w:r w:rsidRPr="00445BB4">
        <w:t xml:space="preserve"> however, elements which need to be disclosed to the defence e.g. the content of statements, but not the personal details – although some cases this is irrelevant due to the circumstances of the case e.g. next door neighbours, domestic violence, the suspect will automatically know the details of the complainant.</w:t>
      </w:r>
    </w:p>
    <w:p w14:paraId="2EF3CBCC" w14:textId="77777777" w:rsidR="006241A9" w:rsidRDefault="006241A9" w:rsidP="006241A9">
      <w:pPr>
        <w:rPr>
          <w:b/>
          <w:bCs/>
        </w:rPr>
      </w:pPr>
    </w:p>
    <w:p w14:paraId="59DE20C2" w14:textId="77777777" w:rsidR="006241A9" w:rsidRPr="009D2555" w:rsidRDefault="006241A9" w:rsidP="006241A9">
      <w:pPr>
        <w:rPr>
          <w:b/>
        </w:rPr>
      </w:pPr>
    </w:p>
    <w:p w14:paraId="399B8F8A" w14:textId="2528ECC4" w:rsidR="009D2555" w:rsidRDefault="002B2BAC" w:rsidP="009D2555">
      <w:pPr>
        <w:rPr>
          <w:b/>
          <w:u w:val="single"/>
        </w:rPr>
      </w:pPr>
      <w:r>
        <w:rPr>
          <w:b/>
          <w:u w:val="single"/>
        </w:rPr>
        <w:t>Police, Crime, Sentencing &amp; Courts Act 2022</w:t>
      </w:r>
      <w:r w:rsidR="00C42F3E">
        <w:rPr>
          <w:b/>
          <w:u w:val="single"/>
        </w:rPr>
        <w:t>:</w:t>
      </w:r>
    </w:p>
    <w:p w14:paraId="1CB04388" w14:textId="77777777" w:rsidR="00445BB4" w:rsidRPr="00445BB4" w:rsidRDefault="00445BB4" w:rsidP="00445BB4">
      <w:pPr>
        <w:rPr>
          <w:bCs/>
        </w:rPr>
      </w:pPr>
      <w:r w:rsidRPr="00445BB4">
        <w:rPr>
          <w:bCs/>
        </w:rPr>
        <w:t>In 2017, the Government legislated through the Policing and Crime Act 2017 (“the 2017 Act”) to address concerns that individuals were being kept on pre-charge bail for long periods, sometimes with strict conditions. Changes introduced through the 2017 Act brought in a presumption against the use of pre-charge bail unless necessary and proportionate, and clear statutory timescales for the initial imposition and extension of bail, including the introduction of judicial oversight for the extension of pre-charge bail beyond three months. After those changes were implemented, the use of pre-charge bail fell, mirrored by an increasing number of individuals ‘released under investigation’ (RUI).</w:t>
      </w:r>
    </w:p>
    <w:p w14:paraId="311B84AF" w14:textId="77777777" w:rsidR="00445BB4" w:rsidRPr="00445BB4" w:rsidRDefault="00445BB4" w:rsidP="00445BB4">
      <w:pPr>
        <w:rPr>
          <w:bCs/>
        </w:rPr>
      </w:pPr>
      <w:r w:rsidRPr="00445BB4">
        <w:rPr>
          <w:bCs/>
        </w:rPr>
        <w:t xml:space="preserve">This change raised concerns that bail is not always being used when appropriate, including to prevent individuals from committing an offence whilst on bail or interfering with victims and witnesses. Other concerns focus on the potential for longer investigations in cases where bail is not used and the resultant adverse impact on the courts. </w:t>
      </w:r>
    </w:p>
    <w:p w14:paraId="07BE03F8" w14:textId="77777777" w:rsidR="00445BB4" w:rsidRPr="00445BB4" w:rsidRDefault="00445BB4" w:rsidP="00445BB4">
      <w:pPr>
        <w:rPr>
          <w:bCs/>
        </w:rPr>
      </w:pPr>
      <w:r w:rsidRPr="00445BB4">
        <w:rPr>
          <w:bCs/>
        </w:rPr>
        <w:t>In February 2020, this Government launched a consultation on pre-charge bail which sought to assess concerns raised around the impact of the current rules on the police, victims, those under investigation and the broader criminal justice system. The response to the consultation was published in January 2021 and the Act (Kay’s Law) now implements reforms to the pre-charge bail system which will simplify the existing regime and provide assurance and safeguards for victims of crime</w:t>
      </w:r>
    </w:p>
    <w:p w14:paraId="1FAB0522" w14:textId="74A78DD3" w:rsidR="00445BB4" w:rsidRPr="00445BB4" w:rsidRDefault="00445BB4" w:rsidP="00445BB4">
      <w:pPr>
        <w:rPr>
          <w:bCs/>
        </w:rPr>
      </w:pPr>
      <w:r w:rsidRPr="00445BB4">
        <w:rPr>
          <w:bCs/>
        </w:rPr>
        <w:lastRenderedPageBreak/>
        <w:t xml:space="preserve">Kay’s </w:t>
      </w:r>
      <w:proofErr w:type="gramStart"/>
      <w:r w:rsidRPr="00445BB4">
        <w:rPr>
          <w:bCs/>
        </w:rPr>
        <w:t>Law  -</w:t>
      </w:r>
      <w:proofErr w:type="gramEnd"/>
      <w:r w:rsidRPr="00445BB4">
        <w:rPr>
          <w:bCs/>
        </w:rPr>
        <w:t>In September 2018, Alan Martin, 53, was released under investigation by police in Sunderland, after his estranged wife Kay Richardson had gone to the police accusing him of rape. Kay had been to the police 12 times since 2011 with accusations of domestic abuse</w:t>
      </w:r>
    </w:p>
    <w:p w14:paraId="7EF09A20" w14:textId="77777777" w:rsidR="00445BB4" w:rsidRPr="00445BB4" w:rsidRDefault="00445BB4" w:rsidP="00445BB4">
      <w:pPr>
        <w:rPr>
          <w:bCs/>
        </w:rPr>
      </w:pPr>
      <w:r w:rsidRPr="00445BB4">
        <w:rPr>
          <w:bCs/>
        </w:rPr>
        <w:t xml:space="preserve">No conditions were </w:t>
      </w:r>
      <w:proofErr w:type="gramStart"/>
      <w:r w:rsidRPr="00445BB4">
        <w:rPr>
          <w:bCs/>
        </w:rPr>
        <w:t>imposed</w:t>
      </w:r>
      <w:proofErr w:type="gramEnd"/>
      <w:r w:rsidRPr="00445BB4">
        <w:rPr>
          <w:bCs/>
        </w:rPr>
        <w:t xml:space="preserve"> and the police gave Martin the keys back to the home he had shared with Ms Richardson.</w:t>
      </w:r>
    </w:p>
    <w:p w14:paraId="6F55C757" w14:textId="77777777" w:rsidR="00445BB4" w:rsidRPr="00445BB4" w:rsidRDefault="00445BB4" w:rsidP="00445BB4">
      <w:pPr>
        <w:rPr>
          <w:bCs/>
        </w:rPr>
      </w:pPr>
      <w:r w:rsidRPr="00445BB4">
        <w:rPr>
          <w:bCs/>
        </w:rPr>
        <w:t>Martin let himself into the house and waited for Ms Richardson, 49, before attacking her with a hammer and strangling her.</w:t>
      </w:r>
    </w:p>
    <w:p w14:paraId="2E0FE828" w14:textId="77777777" w:rsidR="00445BB4" w:rsidRPr="00C42F3E" w:rsidRDefault="00445BB4" w:rsidP="009D2555">
      <w:pPr>
        <w:rPr>
          <w:b/>
          <w:u w:val="single"/>
        </w:rPr>
      </w:pPr>
    </w:p>
    <w:p w14:paraId="58267510" w14:textId="77777777" w:rsidR="00AB02D8" w:rsidRPr="00AB02D8" w:rsidRDefault="00AB02D8" w:rsidP="00445BB4">
      <w:pPr>
        <w:spacing w:before="200" w:after="0" w:line="216" w:lineRule="auto"/>
        <w:rPr>
          <w:rFonts w:ascii="Times New Roman" w:eastAsia="Times New Roman" w:hAnsi="Times New Roman" w:cs="Times New Roman"/>
          <w:color w:val="000000" w:themeColor="text1"/>
          <w:lang w:eastAsia="en-GB"/>
        </w:rPr>
      </w:pPr>
      <w:r w:rsidRPr="00AB02D8">
        <w:rPr>
          <w:rFonts w:eastAsiaTheme="minorEastAsia" w:hAnsi="Calibri"/>
          <w:color w:val="000000" w:themeColor="text1"/>
          <w:kern w:val="24"/>
          <w:lang w:eastAsia="en-GB"/>
        </w:rPr>
        <w:t>1) The Act encourages the police to use pre-charge bail in every case where it is necessary and proportionate by removing the perceived presumption against pre-charge bail.</w:t>
      </w:r>
    </w:p>
    <w:p w14:paraId="5665D508" w14:textId="77777777" w:rsidR="00AB02D8" w:rsidRPr="00AB02D8" w:rsidRDefault="00AB02D8" w:rsidP="00445BB4">
      <w:pPr>
        <w:spacing w:before="200" w:after="0" w:line="216" w:lineRule="auto"/>
        <w:rPr>
          <w:rFonts w:ascii="Times New Roman" w:eastAsia="Times New Roman" w:hAnsi="Times New Roman" w:cs="Times New Roman"/>
          <w:color w:val="000000" w:themeColor="text1"/>
          <w:lang w:eastAsia="en-GB"/>
        </w:rPr>
      </w:pPr>
      <w:r w:rsidRPr="00AB02D8">
        <w:rPr>
          <w:rFonts w:eastAsiaTheme="minorEastAsia" w:hAnsi="Calibri"/>
          <w:color w:val="000000" w:themeColor="text1"/>
          <w:kern w:val="24"/>
          <w:lang w:eastAsia="en-GB"/>
        </w:rPr>
        <w:t>2) Pre-charge bail decisions will be made with specific reference to safeguarding the victim and any witnesses, particularly where they are vulnerable.</w:t>
      </w:r>
    </w:p>
    <w:p w14:paraId="1BAA752A" w14:textId="028336BA" w:rsidR="00AB02D8" w:rsidRPr="00AB02D8" w:rsidRDefault="00AB02D8" w:rsidP="00445BB4">
      <w:pPr>
        <w:spacing w:before="200" w:after="0" w:line="216" w:lineRule="auto"/>
        <w:rPr>
          <w:rFonts w:ascii="Times New Roman" w:eastAsia="Times New Roman" w:hAnsi="Times New Roman" w:cs="Times New Roman"/>
          <w:color w:val="000000" w:themeColor="text1"/>
          <w:lang w:eastAsia="en-GB"/>
        </w:rPr>
      </w:pPr>
      <w:r w:rsidRPr="00AB02D8">
        <w:rPr>
          <w:rFonts w:eastAsiaTheme="minorEastAsia" w:hAnsi="Calibri"/>
          <w:color w:val="000000" w:themeColor="text1"/>
          <w:kern w:val="24"/>
          <w:lang w:eastAsia="en-GB"/>
        </w:rPr>
        <w:t xml:space="preserve">3) The Act also introduces new pre-charge bail time periods for suspects which are more balanced and proportionate. </w:t>
      </w:r>
    </w:p>
    <w:p w14:paraId="755D9D41" w14:textId="5BB71F08" w:rsidR="00AB02D8" w:rsidRPr="00445BB4" w:rsidRDefault="00AB02D8" w:rsidP="00445BB4">
      <w:pPr>
        <w:spacing w:before="200" w:after="0" w:line="216" w:lineRule="auto"/>
        <w:rPr>
          <w:rFonts w:eastAsiaTheme="minorEastAsia" w:hAnsi="Calibri"/>
          <w:color w:val="000000" w:themeColor="text1"/>
          <w:kern w:val="24"/>
          <w:lang w:eastAsia="en-GB"/>
        </w:rPr>
      </w:pPr>
      <w:r w:rsidRPr="00AB02D8">
        <w:rPr>
          <w:rFonts w:eastAsiaTheme="minorEastAsia" w:hAnsi="Calibri"/>
          <w:color w:val="000000" w:themeColor="text1"/>
          <w:kern w:val="24"/>
          <w:lang w:eastAsia="en-GB"/>
        </w:rPr>
        <w:t>4) Victims will be better protected through a new requirement to seek the views of victims on pre-charge bail conditions relating to their safeguarding.</w:t>
      </w:r>
    </w:p>
    <w:p w14:paraId="28132CDA" w14:textId="77777777" w:rsidR="00AB02D8" w:rsidRPr="00445BB4" w:rsidRDefault="00AB02D8" w:rsidP="00AB02D8">
      <w:pPr>
        <w:pStyle w:val="NormalWeb"/>
        <w:spacing w:before="200" w:beforeAutospacing="0" w:after="0" w:afterAutospacing="0" w:line="216" w:lineRule="auto"/>
        <w:rPr>
          <w:color w:val="000000" w:themeColor="text1"/>
          <w:sz w:val="22"/>
          <w:szCs w:val="22"/>
        </w:rPr>
      </w:pPr>
      <w:r w:rsidRPr="00445BB4">
        <w:rPr>
          <w:rFonts w:ascii="Calibri" w:eastAsia="+mn-ea" w:hAnsi="Calibri" w:cs="+mn-cs"/>
          <w:color w:val="000000" w:themeColor="text1"/>
          <w:kern w:val="24"/>
          <w:sz w:val="22"/>
          <w:szCs w:val="22"/>
        </w:rPr>
        <w:t>5) The Act also introduces a three hour pause on the detention clock so that arrests for breach of pre-charge bail conditions or “failing to answer” bail do not have a negative effect on the overall custody clock for the original offence</w:t>
      </w:r>
    </w:p>
    <w:p w14:paraId="1B2E6135" w14:textId="77777777" w:rsidR="00AB02D8" w:rsidRPr="00AB02D8" w:rsidRDefault="00AB02D8" w:rsidP="00AB02D8">
      <w:pPr>
        <w:spacing w:before="200" w:after="0" w:line="216" w:lineRule="auto"/>
        <w:jc w:val="center"/>
        <w:rPr>
          <w:rFonts w:ascii="Times New Roman" w:eastAsia="Times New Roman" w:hAnsi="Times New Roman" w:cs="Times New Roman"/>
          <w:color w:val="000000" w:themeColor="text1"/>
          <w:lang w:eastAsia="en-GB"/>
        </w:rPr>
      </w:pPr>
    </w:p>
    <w:p w14:paraId="63FD972B" w14:textId="77777777" w:rsidR="00AB02D8" w:rsidRPr="00445BB4" w:rsidRDefault="00AB02D8" w:rsidP="00AB02D8">
      <w:pPr>
        <w:pStyle w:val="NormalWeb"/>
        <w:spacing w:before="0" w:beforeAutospacing="0" w:after="0" w:afterAutospacing="0"/>
        <w:rPr>
          <w:color w:val="000000" w:themeColor="text1"/>
          <w:sz w:val="22"/>
          <w:szCs w:val="22"/>
        </w:rPr>
      </w:pPr>
      <w:r w:rsidRPr="00445BB4">
        <w:rPr>
          <w:rFonts w:ascii="Calibri" w:eastAsia="+mn-ea" w:hAnsi="Calibri" w:cs="+mn-cs"/>
          <w:color w:val="000000" w:themeColor="text1"/>
          <w:kern w:val="24"/>
          <w:sz w:val="22"/>
          <w:szCs w:val="22"/>
        </w:rPr>
        <w:t>A new duty to inform victims of changes to pre-charge bail conditions and to seek views from them on what conditions concerning their safeguarding look like, ensuring that victims are more involved in the process. This will enable officers to consider any safeguarding concerns to ensure appropriate measures are in place.</w:t>
      </w:r>
    </w:p>
    <w:p w14:paraId="129D408A" w14:textId="409CFFA6" w:rsidR="00AB02D8" w:rsidRPr="00445BB4" w:rsidRDefault="00AB02D8" w:rsidP="00AB02D8">
      <w:pPr>
        <w:pStyle w:val="NormalWeb"/>
        <w:spacing w:before="0" w:beforeAutospacing="0" w:after="0" w:afterAutospacing="0"/>
        <w:rPr>
          <w:rFonts w:ascii="Calibri" w:eastAsia="+mn-ea" w:hAnsi="Calibri" w:cs="+mn-cs"/>
          <w:color w:val="000000" w:themeColor="text1"/>
          <w:kern w:val="24"/>
          <w:sz w:val="22"/>
          <w:szCs w:val="22"/>
        </w:rPr>
      </w:pPr>
      <w:r w:rsidRPr="00445BB4">
        <w:rPr>
          <w:rFonts w:ascii="Calibri" w:eastAsia="+mn-ea" w:hAnsi="Calibri" w:cs="+mn-cs"/>
          <w:color w:val="000000" w:themeColor="text1"/>
          <w:kern w:val="24"/>
          <w:sz w:val="22"/>
          <w:szCs w:val="22"/>
        </w:rPr>
        <w:t xml:space="preserve">Consulting victims at the point of a bail extension will now also be carried out and risk assessed when deciding whether to extend bail after the initial bail period at </w:t>
      </w:r>
      <w:proofErr w:type="gramStart"/>
      <w:r w:rsidRPr="00445BB4">
        <w:rPr>
          <w:rFonts w:ascii="Calibri" w:eastAsia="+mn-ea" w:hAnsi="Calibri" w:cs="+mn-cs"/>
          <w:color w:val="000000" w:themeColor="text1"/>
          <w:kern w:val="24"/>
          <w:sz w:val="22"/>
          <w:szCs w:val="22"/>
        </w:rPr>
        <w:t>three month</w:t>
      </w:r>
      <w:proofErr w:type="gramEnd"/>
      <w:r w:rsidRPr="00445BB4">
        <w:rPr>
          <w:rFonts w:ascii="Calibri" w:eastAsia="+mn-ea" w:hAnsi="Calibri" w:cs="+mn-cs"/>
          <w:color w:val="000000" w:themeColor="text1"/>
          <w:kern w:val="24"/>
          <w:sz w:val="22"/>
          <w:szCs w:val="22"/>
        </w:rPr>
        <w:t xml:space="preserve"> intervals</w:t>
      </w:r>
    </w:p>
    <w:p w14:paraId="620861DD" w14:textId="77777777" w:rsidR="00445BB4" w:rsidRPr="00AB02D8" w:rsidRDefault="00445BB4" w:rsidP="00AB02D8">
      <w:pPr>
        <w:pStyle w:val="NormalWeb"/>
        <w:spacing w:before="0" w:beforeAutospacing="0" w:after="0" w:afterAutospacing="0"/>
      </w:pPr>
    </w:p>
    <w:p w14:paraId="182C28FB" w14:textId="7ED72BB9" w:rsidR="00445BB4" w:rsidRPr="00445BB4" w:rsidRDefault="00445BB4" w:rsidP="00445BB4">
      <w:pPr>
        <w:rPr>
          <w:bCs/>
        </w:rPr>
      </w:pPr>
      <w:r w:rsidRPr="00445BB4">
        <w:rPr>
          <w:bCs/>
        </w:rPr>
        <w:t xml:space="preserve">The Act also introduces a three hour pause on the detention clock so that arrests for breach of pre-charge bail conditions do not have a negative effect on the overall custody clock for the original offence The expectation is that suspects are arrested for breach of PCB to manage the risks posed by the breach. It is imperative though if there are new substantive </w:t>
      </w:r>
      <w:proofErr w:type="gramStart"/>
      <w:r w:rsidRPr="00445BB4">
        <w:rPr>
          <w:bCs/>
        </w:rPr>
        <w:t>offences</w:t>
      </w:r>
      <w:proofErr w:type="gramEnd"/>
      <w:r w:rsidRPr="00445BB4">
        <w:rPr>
          <w:bCs/>
        </w:rPr>
        <w:t xml:space="preserve"> they should be arrested for new offence firstly. </w:t>
      </w:r>
    </w:p>
    <w:p w14:paraId="1FB55438" w14:textId="0A039E55" w:rsidR="00445BB4" w:rsidRPr="00445BB4" w:rsidRDefault="00445BB4" w:rsidP="00445BB4">
      <w:pPr>
        <w:rPr>
          <w:bCs/>
          <w:u w:val="single"/>
        </w:rPr>
      </w:pPr>
      <w:r w:rsidRPr="00445BB4">
        <w:rPr>
          <w:bCs/>
          <w:u w:val="single"/>
        </w:rPr>
        <w:t>Bail periods</w:t>
      </w:r>
    </w:p>
    <w:p w14:paraId="47DDD648" w14:textId="7A529FBA" w:rsidR="00445BB4" w:rsidRPr="00445BB4" w:rsidRDefault="00445BB4" w:rsidP="00445BB4">
      <w:pPr>
        <w:rPr>
          <w:bCs/>
        </w:rPr>
      </w:pPr>
      <w:r w:rsidRPr="00445BB4">
        <w:rPr>
          <w:bCs/>
        </w:rPr>
        <w:t>0-3 months – first bail implemented by Custody Sgt</w:t>
      </w:r>
    </w:p>
    <w:p w14:paraId="78D44BDD" w14:textId="634FB1C4" w:rsidR="00445BB4" w:rsidRPr="00445BB4" w:rsidRDefault="00445BB4" w:rsidP="00445BB4">
      <w:pPr>
        <w:rPr>
          <w:bCs/>
        </w:rPr>
      </w:pPr>
      <w:r w:rsidRPr="00445BB4">
        <w:rPr>
          <w:bCs/>
        </w:rPr>
        <w:t>Between 3 – 6 months authorised by an Inspector</w:t>
      </w:r>
    </w:p>
    <w:p w14:paraId="036396A9" w14:textId="4B5B9B2C" w:rsidR="00445BB4" w:rsidRPr="00445BB4" w:rsidRDefault="00445BB4" w:rsidP="00445BB4">
      <w:pPr>
        <w:rPr>
          <w:bCs/>
        </w:rPr>
      </w:pPr>
      <w:r w:rsidRPr="00445BB4">
        <w:rPr>
          <w:bCs/>
        </w:rPr>
        <w:t>Between 6 – 9 months authorised by a superintendent</w:t>
      </w:r>
    </w:p>
    <w:p w14:paraId="7849A7F6" w14:textId="456B762A" w:rsidR="00445BB4" w:rsidRPr="00445BB4" w:rsidRDefault="00445BB4" w:rsidP="00445BB4">
      <w:pPr>
        <w:rPr>
          <w:bCs/>
        </w:rPr>
      </w:pPr>
      <w:r w:rsidRPr="00445BB4">
        <w:rPr>
          <w:bCs/>
        </w:rPr>
        <w:t>Over 9 months extended by the court via court applications</w:t>
      </w:r>
    </w:p>
    <w:p w14:paraId="2DAE8E87" w14:textId="1DF073F2" w:rsidR="00C42F3E" w:rsidRDefault="00C42F3E" w:rsidP="009D2555">
      <w:pPr>
        <w:rPr>
          <w:b/>
        </w:rPr>
      </w:pPr>
    </w:p>
    <w:p w14:paraId="2C9CD252" w14:textId="173D719A" w:rsidR="00C81683" w:rsidRDefault="00C81683" w:rsidP="009D2555">
      <w:pPr>
        <w:rPr>
          <w:b/>
        </w:rPr>
      </w:pPr>
    </w:p>
    <w:p w14:paraId="2B3BE44F" w14:textId="33B2697D" w:rsidR="00C81683" w:rsidRDefault="00C81683" w:rsidP="009D2555">
      <w:pPr>
        <w:rPr>
          <w:b/>
        </w:rPr>
      </w:pPr>
    </w:p>
    <w:p w14:paraId="5E85C27D" w14:textId="77777777" w:rsidR="00C81683" w:rsidRDefault="00C81683" w:rsidP="009D2555">
      <w:pPr>
        <w:rPr>
          <w:b/>
        </w:rPr>
      </w:pPr>
    </w:p>
    <w:p w14:paraId="78B4A170" w14:textId="77777777" w:rsidR="00445BB4" w:rsidRDefault="00445BB4" w:rsidP="009D2555">
      <w:pPr>
        <w:rPr>
          <w:b/>
        </w:rPr>
      </w:pPr>
    </w:p>
    <w:p w14:paraId="4909EED4" w14:textId="77777777" w:rsidR="009D2555" w:rsidRPr="00C42F3E" w:rsidRDefault="009D2555" w:rsidP="009D2555">
      <w:pPr>
        <w:rPr>
          <w:b/>
          <w:u w:val="single"/>
        </w:rPr>
      </w:pPr>
      <w:r w:rsidRPr="00C42F3E">
        <w:rPr>
          <w:b/>
          <w:u w:val="single"/>
        </w:rPr>
        <w:t>The Code for Crown Prosecutors</w:t>
      </w:r>
      <w:r w:rsidR="00C42F3E">
        <w:rPr>
          <w:b/>
          <w:u w:val="single"/>
        </w:rPr>
        <w:t>:</w:t>
      </w:r>
    </w:p>
    <w:p w14:paraId="1D1C1DF6" w14:textId="77777777" w:rsidR="001C0503" w:rsidRPr="00C81683" w:rsidRDefault="001C0503" w:rsidP="001C0503">
      <w:r w:rsidRPr="00C81683">
        <w:t>General Principles</w:t>
      </w:r>
    </w:p>
    <w:p w14:paraId="5AB6278E" w14:textId="77777777" w:rsidR="00A72A2A" w:rsidRPr="00C81683" w:rsidRDefault="00A72A2A" w:rsidP="001C0503">
      <w:pPr>
        <w:numPr>
          <w:ilvl w:val="0"/>
          <w:numId w:val="3"/>
        </w:numPr>
      </w:pPr>
      <w:r w:rsidRPr="00C81683">
        <w:t>Prosecutors are independent from persons or agencies that are not part of the prosecution decision-making process. CPS Prosecutors must be free to carry out their professional duties without political interference and must not be affected by improper or undue pressure or influence from any source.</w:t>
      </w:r>
    </w:p>
    <w:p w14:paraId="19184D7A" w14:textId="77777777" w:rsidR="00A72A2A" w:rsidRPr="00C81683" w:rsidRDefault="00A72A2A" w:rsidP="001C0503">
      <w:pPr>
        <w:numPr>
          <w:ilvl w:val="0"/>
          <w:numId w:val="3"/>
        </w:numPr>
      </w:pPr>
      <w:r w:rsidRPr="00C81683">
        <w:t>It is not the function of the CPS to decide whether a person is guilty of a criminal offence, but to make assessments about whether it is appropriate to present charges for the criminal court to consider. The CPS assessment of any case is not in any sense a finding of, or implication of, any guilt or criminal conduct. A finding of guilt can only be made by a court.</w:t>
      </w:r>
    </w:p>
    <w:p w14:paraId="54610175" w14:textId="77777777" w:rsidR="00A72A2A" w:rsidRPr="00C81683" w:rsidRDefault="00A72A2A" w:rsidP="001C0503">
      <w:pPr>
        <w:numPr>
          <w:ilvl w:val="0"/>
          <w:numId w:val="3"/>
        </w:numPr>
      </w:pPr>
      <w:r w:rsidRPr="00C81683">
        <w:t xml:space="preserve">Similarly, a decision not to bring criminal charges does not necessarily mean that an individual has not been a victim of crime. </w:t>
      </w:r>
    </w:p>
    <w:p w14:paraId="2881D1ED" w14:textId="77777777" w:rsidR="00A72A2A" w:rsidRPr="00C81683" w:rsidRDefault="00A72A2A" w:rsidP="001C0503">
      <w:pPr>
        <w:numPr>
          <w:ilvl w:val="0"/>
          <w:numId w:val="3"/>
        </w:numPr>
      </w:pPr>
      <w:r w:rsidRPr="00C81683">
        <w:t xml:space="preserve">The decision to prosecute or to recommend an out-of-court disposal is a serious step that affects suspects, victims, </w:t>
      </w:r>
      <w:proofErr w:type="gramStart"/>
      <w:r w:rsidRPr="00C81683">
        <w:t>witnesses</w:t>
      </w:r>
      <w:proofErr w:type="gramEnd"/>
      <w:r w:rsidRPr="00C81683">
        <w:t xml:space="preserve"> and the public at large and must be undertaken with the utmost care.</w:t>
      </w:r>
    </w:p>
    <w:p w14:paraId="175F4492" w14:textId="77777777" w:rsidR="00A72A2A" w:rsidRPr="00C81683" w:rsidRDefault="00A72A2A" w:rsidP="001C0503">
      <w:pPr>
        <w:numPr>
          <w:ilvl w:val="0"/>
          <w:numId w:val="3"/>
        </w:numPr>
      </w:pPr>
      <w:r w:rsidRPr="00C81683">
        <w:t>It is the duty of prosecutors to make sure that the right person is prosecuted for the right offence and to bring offenders to justice wherever possible.</w:t>
      </w:r>
    </w:p>
    <w:p w14:paraId="3CD655DA" w14:textId="77777777" w:rsidR="00A72A2A" w:rsidRPr="00C81683" w:rsidRDefault="00A72A2A" w:rsidP="001C0503">
      <w:pPr>
        <w:numPr>
          <w:ilvl w:val="0"/>
          <w:numId w:val="3"/>
        </w:numPr>
      </w:pPr>
      <w:r w:rsidRPr="00C81683">
        <w:t>Prosecutors must ensure that the law is properly applied</w:t>
      </w:r>
    </w:p>
    <w:p w14:paraId="05A86A9C" w14:textId="77777777" w:rsidR="00A72A2A" w:rsidRPr="00C81683" w:rsidRDefault="00A72A2A" w:rsidP="001C0503">
      <w:pPr>
        <w:numPr>
          <w:ilvl w:val="0"/>
          <w:numId w:val="3"/>
        </w:numPr>
      </w:pPr>
      <w:r w:rsidRPr="00C81683">
        <w:t>Although each case must be considered on its own facts and on its own merits, there are general principles that apply in every case.</w:t>
      </w:r>
    </w:p>
    <w:p w14:paraId="290E910E" w14:textId="77777777" w:rsidR="00A72A2A" w:rsidRPr="00C81683" w:rsidRDefault="00A72A2A" w:rsidP="001C0503">
      <w:pPr>
        <w:numPr>
          <w:ilvl w:val="0"/>
          <w:numId w:val="3"/>
        </w:numPr>
      </w:pPr>
      <w:r w:rsidRPr="00C81683">
        <w:t>Prosecutors must always act in the interests of justice and not solely for the purpose of obtaining a conviction.</w:t>
      </w:r>
    </w:p>
    <w:p w14:paraId="2EDF8A46" w14:textId="77777777" w:rsidR="001C0503" w:rsidRPr="00C81683" w:rsidRDefault="001C0503" w:rsidP="001C0503">
      <w:r w:rsidRPr="00C81683">
        <w:t xml:space="preserve">-           Prosecutors must apply the principles of the European Convention on Human Rights, in accordance with the Human Rights Act 1998, at each stage of a case. </w:t>
      </w:r>
    </w:p>
    <w:p w14:paraId="50C85E25" w14:textId="77777777" w:rsidR="00A72A2A" w:rsidRPr="00C81683" w:rsidRDefault="00A72A2A" w:rsidP="001C0503">
      <w:pPr>
        <w:numPr>
          <w:ilvl w:val="0"/>
          <w:numId w:val="4"/>
        </w:numPr>
      </w:pPr>
      <w:r w:rsidRPr="00C81683">
        <w:t>Some offences may be prosecuted by either the CPS or by other prosecutors in England and Wales. When making decisions in these cases, CPS prosecutors may, where they think it appropriate, have regard to any relevant enforcement or prosecution policy or code of the other prosecutor.</w:t>
      </w:r>
    </w:p>
    <w:p w14:paraId="31D08C8E" w14:textId="77777777" w:rsidR="00A72A2A" w:rsidRPr="00C81683" w:rsidRDefault="00A72A2A" w:rsidP="001C0503">
      <w:pPr>
        <w:numPr>
          <w:ilvl w:val="0"/>
          <w:numId w:val="4"/>
        </w:numPr>
      </w:pPr>
      <w:r w:rsidRPr="00C81683">
        <w:t xml:space="preserve">Where the law differs in England and Wales prosecutors must apply the Code and have regard to any relevant policy, guidance </w:t>
      </w:r>
      <w:r w:rsidR="006241A9" w:rsidRPr="00C81683">
        <w:t xml:space="preserve">or charging standard, which is </w:t>
      </w:r>
      <w:r w:rsidRPr="00C81683">
        <w:t>useful information should a student leave a Welsh force to work in England.</w:t>
      </w:r>
    </w:p>
    <w:p w14:paraId="28ACF8A2" w14:textId="77777777" w:rsidR="009D2555" w:rsidRDefault="009D2555">
      <w:pPr>
        <w:rPr>
          <w:b/>
        </w:rPr>
      </w:pPr>
    </w:p>
    <w:p w14:paraId="0ECB188D" w14:textId="77777777" w:rsidR="009D2555" w:rsidRDefault="009D2555">
      <w:pPr>
        <w:rPr>
          <w:b/>
        </w:rPr>
      </w:pPr>
    </w:p>
    <w:p w14:paraId="20798775" w14:textId="554BF1B0" w:rsidR="009D2555" w:rsidRDefault="009D2555">
      <w:pPr>
        <w:rPr>
          <w:b/>
        </w:rPr>
      </w:pPr>
    </w:p>
    <w:p w14:paraId="5D83C248" w14:textId="22C119BA" w:rsidR="00C81683" w:rsidRDefault="00C81683">
      <w:pPr>
        <w:rPr>
          <w:b/>
        </w:rPr>
      </w:pPr>
    </w:p>
    <w:p w14:paraId="6504B8AE" w14:textId="77777777" w:rsidR="00C81683" w:rsidRDefault="00C81683">
      <w:pPr>
        <w:rPr>
          <w:b/>
        </w:rPr>
      </w:pPr>
    </w:p>
    <w:p w14:paraId="714E49C0" w14:textId="77777777" w:rsidR="009D2555" w:rsidRDefault="009D2555">
      <w:pPr>
        <w:rPr>
          <w:b/>
        </w:rPr>
      </w:pPr>
    </w:p>
    <w:p w14:paraId="63703812" w14:textId="77777777" w:rsidR="00AF12E8" w:rsidRDefault="00AF12E8">
      <w:pPr>
        <w:rPr>
          <w:b/>
        </w:rPr>
      </w:pPr>
      <w:r>
        <w:rPr>
          <w:b/>
        </w:rPr>
        <w:t xml:space="preserve">Group 3 Trainer Notes: </w:t>
      </w:r>
    </w:p>
    <w:p w14:paraId="6323E4FA" w14:textId="77777777" w:rsidR="00C42F3E" w:rsidRDefault="00C42F3E">
      <w:pPr>
        <w:rPr>
          <w:b/>
        </w:rPr>
      </w:pPr>
    </w:p>
    <w:p w14:paraId="73142DDF" w14:textId="77777777" w:rsidR="00AB6E4E" w:rsidRPr="00C42F3E" w:rsidRDefault="00F24E84">
      <w:pPr>
        <w:rPr>
          <w:b/>
          <w:u w:val="single"/>
        </w:rPr>
      </w:pPr>
      <w:r w:rsidRPr="00C42F3E">
        <w:rPr>
          <w:b/>
          <w:u w:val="single"/>
        </w:rPr>
        <w:t xml:space="preserve">Stated Case: R v </w:t>
      </w:r>
      <w:proofErr w:type="spellStart"/>
      <w:r w:rsidRPr="00C42F3E">
        <w:rPr>
          <w:b/>
          <w:u w:val="single"/>
        </w:rPr>
        <w:t>Jogee</w:t>
      </w:r>
      <w:proofErr w:type="spellEnd"/>
      <w:r w:rsidR="00C42F3E">
        <w:rPr>
          <w:b/>
          <w:u w:val="single"/>
        </w:rPr>
        <w:t>:</w:t>
      </w:r>
    </w:p>
    <w:p w14:paraId="6830C928" w14:textId="77777777" w:rsidR="00F24E84" w:rsidRPr="00C81683" w:rsidRDefault="00F24E84" w:rsidP="00AF12E8">
      <w:pPr>
        <w:spacing w:after="0"/>
        <w:rPr>
          <w:bCs/>
        </w:rPr>
      </w:pPr>
      <w:r w:rsidRPr="00C81683">
        <w:rPr>
          <w:bCs/>
        </w:rPr>
        <w:t xml:space="preserve">In the case of R v </w:t>
      </w:r>
      <w:proofErr w:type="spellStart"/>
      <w:proofErr w:type="gramStart"/>
      <w:r w:rsidRPr="00C81683">
        <w:rPr>
          <w:bCs/>
        </w:rPr>
        <w:t>Jogee</w:t>
      </w:r>
      <w:proofErr w:type="spellEnd"/>
      <w:r w:rsidRPr="00C81683">
        <w:rPr>
          <w:bCs/>
        </w:rPr>
        <w:t>;</w:t>
      </w:r>
      <w:proofErr w:type="gramEnd"/>
      <w:r w:rsidRPr="00C81683">
        <w:rPr>
          <w:bCs/>
        </w:rPr>
        <w:t xml:space="preserve"> Ruddock v The Queen [2016] the Supreme Court and the Privy Council addressed the controversial doctrine of “parasitic accessory liability” (PAL). Where PAL applied, if two people (D1 and D2) set out to commit crime A, and </w:t>
      </w:r>
      <w:proofErr w:type="gramStart"/>
      <w:r w:rsidRPr="00C81683">
        <w:rPr>
          <w:bCs/>
        </w:rPr>
        <w:t>in the course of</w:t>
      </w:r>
      <w:proofErr w:type="gramEnd"/>
      <w:r w:rsidRPr="00C81683">
        <w:rPr>
          <w:bCs/>
        </w:rPr>
        <w:t xml:space="preserve"> that venture D1 commits crime B, D2 would be guilty as an accessory to crime B if he had foreseen the possibility that D1 might act as he did. </w:t>
      </w:r>
    </w:p>
    <w:p w14:paraId="32A1FB31" w14:textId="77777777" w:rsidR="00F24E84" w:rsidRPr="00C81683" w:rsidRDefault="00F24E84" w:rsidP="00AF12E8">
      <w:pPr>
        <w:spacing w:after="0"/>
        <w:rPr>
          <w:bCs/>
        </w:rPr>
      </w:pPr>
      <w:r w:rsidRPr="00C81683">
        <w:rPr>
          <w:bCs/>
        </w:rPr>
        <w:t>An example would be a getaway driver or a look out – not actually committing the crime itself, but by virtue, being an accessory in some capacity.</w:t>
      </w:r>
    </w:p>
    <w:p w14:paraId="0B2E63B7" w14:textId="77777777" w:rsidR="00AF12E8" w:rsidRPr="00C81683" w:rsidRDefault="00AF12E8" w:rsidP="00AF12E8">
      <w:pPr>
        <w:spacing w:after="0"/>
        <w:rPr>
          <w:bCs/>
        </w:rPr>
      </w:pPr>
    </w:p>
    <w:p w14:paraId="0DB41FF3" w14:textId="77777777" w:rsidR="00F24E84" w:rsidRPr="00C81683" w:rsidRDefault="00F24E84" w:rsidP="00AF12E8">
      <w:pPr>
        <w:spacing w:after="0"/>
        <w:rPr>
          <w:bCs/>
        </w:rPr>
      </w:pPr>
      <w:r w:rsidRPr="00C81683">
        <w:rPr>
          <w:bCs/>
        </w:rPr>
        <w:t xml:space="preserve">Following R v </w:t>
      </w:r>
      <w:proofErr w:type="spellStart"/>
      <w:r w:rsidRPr="00C81683">
        <w:rPr>
          <w:bCs/>
        </w:rPr>
        <w:t>Jogee</w:t>
      </w:r>
      <w:proofErr w:type="spellEnd"/>
      <w:r w:rsidRPr="00C81683">
        <w:rPr>
          <w:bCs/>
        </w:rPr>
        <w:t xml:space="preserve">, PAL no longer applies as a basis for criminal liability. In circumstances where PAL previously applied, the principles applicable to all cases of secondary liability will now </w:t>
      </w:r>
      <w:proofErr w:type="gramStart"/>
      <w:r w:rsidRPr="00C81683">
        <w:rPr>
          <w:bCs/>
        </w:rPr>
        <w:t>apply:</w:t>
      </w:r>
      <w:proofErr w:type="gramEnd"/>
      <w:r w:rsidRPr="00C81683">
        <w:rPr>
          <w:bCs/>
        </w:rPr>
        <w:t xml:space="preserve"> see the section below on “Principles of secondary liability” </w:t>
      </w:r>
      <w:r w:rsidR="00FA1B50" w:rsidRPr="00C81683">
        <w:rPr>
          <w:bCs/>
        </w:rPr>
        <w:t>(</w:t>
      </w:r>
      <w:r w:rsidRPr="00C81683">
        <w:rPr>
          <w:bCs/>
        </w:rPr>
        <w:t>and, in particular, paragraphs 92-94</w:t>
      </w:r>
      <w:r w:rsidR="00FA1B50" w:rsidRPr="00C81683">
        <w:rPr>
          <w:bCs/>
        </w:rPr>
        <w:t>)</w:t>
      </w:r>
      <w:r w:rsidRPr="00C81683">
        <w:rPr>
          <w:bCs/>
        </w:rPr>
        <w:t xml:space="preserve"> of R v </w:t>
      </w:r>
      <w:proofErr w:type="spellStart"/>
      <w:r w:rsidRPr="00C81683">
        <w:rPr>
          <w:bCs/>
        </w:rPr>
        <w:t>Jogee</w:t>
      </w:r>
      <w:proofErr w:type="spellEnd"/>
      <w:r w:rsidRPr="00C81683">
        <w:rPr>
          <w:bCs/>
        </w:rPr>
        <w:t>, which cover cases of conditional intent.</w:t>
      </w:r>
    </w:p>
    <w:p w14:paraId="523A7728" w14:textId="77777777" w:rsidR="00FA1B50" w:rsidRPr="00C81683" w:rsidRDefault="00FA1B50" w:rsidP="00AF12E8">
      <w:pPr>
        <w:spacing w:after="0"/>
        <w:rPr>
          <w:bCs/>
        </w:rPr>
      </w:pPr>
      <w:r w:rsidRPr="00C81683">
        <w:rPr>
          <w:bCs/>
        </w:rPr>
        <w:t>Principles of secondary liability</w:t>
      </w:r>
    </w:p>
    <w:p w14:paraId="27FA171E" w14:textId="77777777" w:rsidR="00FA1B50" w:rsidRPr="00C81683" w:rsidRDefault="00FA1B50" w:rsidP="00AF12E8">
      <w:pPr>
        <w:spacing w:after="0"/>
        <w:rPr>
          <w:bCs/>
        </w:rPr>
      </w:pPr>
      <w:r w:rsidRPr="00C81683">
        <w:rPr>
          <w:bCs/>
        </w:rPr>
        <w:t xml:space="preserve">The Court in R v </w:t>
      </w:r>
      <w:proofErr w:type="spellStart"/>
      <w:r w:rsidRPr="00C81683">
        <w:rPr>
          <w:bCs/>
        </w:rPr>
        <w:t>Jogee</w:t>
      </w:r>
      <w:proofErr w:type="spellEnd"/>
      <w:r w:rsidRPr="00C81683">
        <w:rPr>
          <w:bCs/>
        </w:rPr>
        <w:t xml:space="preserve"> set out the essential principles applicable to all cases of secondary liability.</w:t>
      </w:r>
    </w:p>
    <w:p w14:paraId="4055AEB8" w14:textId="77777777" w:rsidR="00FA1B50" w:rsidRPr="00C81683" w:rsidRDefault="00FA1B50" w:rsidP="00AF12E8">
      <w:pPr>
        <w:spacing w:after="0"/>
        <w:rPr>
          <w:bCs/>
        </w:rPr>
      </w:pPr>
      <w:r w:rsidRPr="00C81683">
        <w:rPr>
          <w:bCs/>
        </w:rPr>
        <w:t xml:space="preserve">Prosecutors should be fully familiar with the ruling in R v </w:t>
      </w:r>
      <w:proofErr w:type="spellStart"/>
      <w:r w:rsidRPr="00C81683">
        <w:rPr>
          <w:bCs/>
        </w:rPr>
        <w:t>Jogee</w:t>
      </w:r>
      <w:proofErr w:type="spellEnd"/>
      <w:r w:rsidRPr="00C81683">
        <w:rPr>
          <w:bCs/>
        </w:rPr>
        <w:t>.</w:t>
      </w:r>
    </w:p>
    <w:p w14:paraId="321C93FF" w14:textId="77777777" w:rsidR="00AF12E8" w:rsidRPr="00C81683" w:rsidRDefault="00AF12E8" w:rsidP="00AF12E8">
      <w:pPr>
        <w:spacing w:after="0"/>
        <w:rPr>
          <w:bCs/>
        </w:rPr>
      </w:pPr>
    </w:p>
    <w:p w14:paraId="0D667E99" w14:textId="77777777" w:rsidR="00F24E84" w:rsidRPr="00C81683" w:rsidRDefault="00FA1B50" w:rsidP="00F24E84">
      <w:pPr>
        <w:rPr>
          <w:bCs/>
        </w:rPr>
      </w:pPr>
      <w:r w:rsidRPr="00C81683">
        <w:rPr>
          <w:bCs/>
        </w:rPr>
        <w:t xml:space="preserve">Identification of the principal and secondary parties:  Where it is not possible to prove whether a particular defendant is a principal or accessory, it is sufficient to prove that the </w:t>
      </w:r>
      <w:proofErr w:type="gramStart"/>
      <w:r w:rsidRPr="00C81683">
        <w:rPr>
          <w:bCs/>
        </w:rPr>
        <w:t>particular defendant</w:t>
      </w:r>
      <w:proofErr w:type="gramEnd"/>
      <w:r w:rsidRPr="00C81683">
        <w:rPr>
          <w:bCs/>
        </w:rPr>
        <w:t xml:space="preserve"> participated in the crime as one or the other. However, note that where two people are jointly indicted for the commission of a crime and the evidence does not point to one rather than the other, and there is no evidence that they were acting in concert, the jury ought to acquit both: R v Lane and Lane (1986)</w:t>
      </w:r>
    </w:p>
    <w:p w14:paraId="301368B5" w14:textId="77777777" w:rsidR="00FA1B50" w:rsidRPr="00C81683" w:rsidRDefault="00FA1B50" w:rsidP="00FA1B50">
      <w:pPr>
        <w:spacing w:after="0"/>
        <w:rPr>
          <w:bCs/>
        </w:rPr>
      </w:pPr>
      <w:r w:rsidRPr="00C81683">
        <w:rPr>
          <w:bCs/>
        </w:rPr>
        <w:t>Actus Reus</w:t>
      </w:r>
    </w:p>
    <w:p w14:paraId="73A4B946" w14:textId="77777777" w:rsidR="00FA1B50" w:rsidRPr="00C81683" w:rsidRDefault="00FA1B50" w:rsidP="00FA1B50">
      <w:pPr>
        <w:spacing w:after="0"/>
        <w:rPr>
          <w:bCs/>
        </w:rPr>
      </w:pPr>
      <w:r w:rsidRPr="00C81683">
        <w:rPr>
          <w:bCs/>
        </w:rPr>
        <w:t>D2 must encourage or assist the commission of the offence by D1</w:t>
      </w:r>
    </w:p>
    <w:p w14:paraId="1164A440" w14:textId="77777777" w:rsidR="00FA1B50" w:rsidRDefault="00FA1B50" w:rsidP="00FA1B50">
      <w:pPr>
        <w:spacing w:after="0"/>
      </w:pPr>
    </w:p>
    <w:p w14:paraId="5CFDDB6D" w14:textId="77777777" w:rsidR="00FA1B50" w:rsidRPr="00AF12E8" w:rsidRDefault="00FA1B50" w:rsidP="00FA1B50">
      <w:pPr>
        <w:spacing w:after="0"/>
        <w:rPr>
          <w:b/>
        </w:rPr>
      </w:pPr>
      <w:proofErr w:type="spellStart"/>
      <w:r w:rsidRPr="00AF12E8">
        <w:rPr>
          <w:b/>
        </w:rPr>
        <w:t>Mens</w:t>
      </w:r>
      <w:proofErr w:type="spellEnd"/>
      <w:r w:rsidRPr="00AF12E8">
        <w:rPr>
          <w:b/>
        </w:rPr>
        <w:t xml:space="preserve"> rea - Intent</w:t>
      </w:r>
    </w:p>
    <w:p w14:paraId="11D7DCF0" w14:textId="77777777" w:rsidR="00FA1B50" w:rsidRPr="00C81683" w:rsidRDefault="00FA1B50" w:rsidP="00FA1B50">
      <w:pPr>
        <w:spacing w:after="0"/>
        <w:rPr>
          <w:bCs/>
        </w:rPr>
      </w:pPr>
      <w:r w:rsidRPr="00C81683">
        <w:rPr>
          <w:bCs/>
        </w:rPr>
        <w:t xml:space="preserve">D2 must intend to encourage or assist the commission of the crime, with knowledge of any existing facts necessary to give D1's conduct/intended conduct its criminal character. This applies also where the offence charged does not require a </w:t>
      </w:r>
      <w:proofErr w:type="spellStart"/>
      <w:r w:rsidRPr="00C81683">
        <w:rPr>
          <w:bCs/>
        </w:rPr>
        <w:t>mens</w:t>
      </w:r>
      <w:proofErr w:type="spellEnd"/>
      <w:r w:rsidRPr="00C81683">
        <w:rPr>
          <w:bCs/>
        </w:rPr>
        <w:t xml:space="preserve"> rea. </w:t>
      </w:r>
    </w:p>
    <w:p w14:paraId="21438BBA" w14:textId="77777777" w:rsidR="00FA1B50" w:rsidRPr="00C81683" w:rsidRDefault="00FA1B50" w:rsidP="00AF12E8">
      <w:pPr>
        <w:spacing w:after="0"/>
        <w:rPr>
          <w:bCs/>
        </w:rPr>
      </w:pPr>
      <w:r w:rsidRPr="00C81683">
        <w:rPr>
          <w:bCs/>
        </w:rPr>
        <w:t xml:space="preserve">For example, there is no requirement to prove a </w:t>
      </w:r>
      <w:proofErr w:type="spellStart"/>
      <w:r w:rsidRPr="00C81683">
        <w:rPr>
          <w:bCs/>
        </w:rPr>
        <w:t>mens</w:t>
      </w:r>
      <w:proofErr w:type="spellEnd"/>
      <w:r w:rsidRPr="00C81683">
        <w:rPr>
          <w:bCs/>
        </w:rPr>
        <w:t xml:space="preserve"> rea against D1 that D1 knew that the child was under 13 years old, under ss5-8 of the Sexual Offences Act 2003; but D2 must know that the child was under 13 years old.</w:t>
      </w:r>
    </w:p>
    <w:p w14:paraId="37541C50" w14:textId="77777777" w:rsidR="00FA1B50" w:rsidRPr="00C81683" w:rsidRDefault="00FA1B50" w:rsidP="00AF12E8">
      <w:pPr>
        <w:spacing w:after="0"/>
        <w:rPr>
          <w:bCs/>
        </w:rPr>
      </w:pPr>
      <w:r w:rsidRPr="00C81683">
        <w:rPr>
          <w:bCs/>
        </w:rPr>
        <w:t xml:space="preserve">If D1's offence requires a particular intent, then D2 must intend to assist/encourage D1 to act with that intent. For example, if D2 encourages D1 to take V’s bike without permission and return it later, but D1 keeps it, although D1 will be guilty of theft, D2 is only guilty of unauthorised taking, as D2 did not encourage D1 to act with intent to permanently deprive. </w:t>
      </w:r>
    </w:p>
    <w:p w14:paraId="30CEF651" w14:textId="77777777" w:rsidR="00AF12E8" w:rsidRPr="00C81683" w:rsidRDefault="00AF12E8" w:rsidP="00AF12E8">
      <w:pPr>
        <w:spacing w:after="0"/>
        <w:rPr>
          <w:bCs/>
        </w:rPr>
      </w:pPr>
    </w:p>
    <w:p w14:paraId="0ECC3F52" w14:textId="77777777" w:rsidR="00AF12E8" w:rsidRPr="00C81683" w:rsidRDefault="00FA1B50" w:rsidP="00AF12E8">
      <w:pPr>
        <w:spacing w:after="0"/>
        <w:rPr>
          <w:bCs/>
        </w:rPr>
      </w:pPr>
      <w:r w:rsidRPr="00C81683">
        <w:rPr>
          <w:bCs/>
        </w:rPr>
        <w:lastRenderedPageBreak/>
        <w:t>D2 may intentionally assist or encourage D1 to commit one of a range of possible offences and it will be sufficient if D1's eventua</w:t>
      </w:r>
      <w:r w:rsidR="00AF12E8" w:rsidRPr="00C81683">
        <w:rPr>
          <w:bCs/>
        </w:rPr>
        <w:t>l offence is within that range:</w:t>
      </w:r>
    </w:p>
    <w:p w14:paraId="4CA5E19D" w14:textId="77777777" w:rsidR="00FA1B50" w:rsidRPr="00C81683" w:rsidRDefault="00FA1B50" w:rsidP="00AF12E8">
      <w:pPr>
        <w:spacing w:after="0"/>
        <w:rPr>
          <w:bCs/>
        </w:rPr>
      </w:pPr>
      <w:r w:rsidRPr="00C81683">
        <w:rPr>
          <w:bCs/>
        </w:rPr>
        <w:t xml:space="preserve">DPP for Northern Ireland v Maxwell [1978], in which D2, a member of a terrorist organisation, was liable as an accessory for guiding the car taking </w:t>
      </w:r>
      <w:proofErr w:type="gramStart"/>
      <w:r w:rsidRPr="00C81683">
        <w:rPr>
          <w:bCs/>
        </w:rPr>
        <w:t>a number of</w:t>
      </w:r>
      <w:proofErr w:type="gramEnd"/>
      <w:r w:rsidRPr="00C81683">
        <w:rPr>
          <w:bCs/>
        </w:rPr>
        <w:t xml:space="preserve"> men to carry out a violent attack.</w:t>
      </w:r>
      <w:r w:rsidRPr="00AF12E8">
        <w:rPr>
          <w:b/>
        </w:rPr>
        <w:t xml:space="preserve"> </w:t>
      </w:r>
      <w:r w:rsidRPr="00C81683">
        <w:rPr>
          <w:bCs/>
        </w:rPr>
        <w:t>Although he did not know the precise form of the attack they were to carry out (shooting, bombing etc), he intended to assist them to do so.</w:t>
      </w:r>
    </w:p>
    <w:p w14:paraId="12CD200D" w14:textId="77777777" w:rsidR="00AF12E8" w:rsidRPr="00C81683" w:rsidRDefault="00AF12E8" w:rsidP="00AF12E8">
      <w:pPr>
        <w:spacing w:after="0"/>
        <w:rPr>
          <w:bCs/>
        </w:rPr>
      </w:pPr>
    </w:p>
    <w:p w14:paraId="6253484B" w14:textId="77777777" w:rsidR="00FA1B50" w:rsidRPr="00C81683" w:rsidRDefault="00FA1B50" w:rsidP="00FA1B50">
      <w:pPr>
        <w:spacing w:after="0"/>
        <w:rPr>
          <w:bCs/>
        </w:rPr>
      </w:pPr>
      <w:r w:rsidRPr="00C81683">
        <w:rPr>
          <w:bCs/>
        </w:rPr>
        <w:t>This principle will also apply if the assistance / encouragement is given some time before the crime is committed and at the time it is not clear what D1 may or may not decide to do. For example, D2 will be liable where he supplies a weapon or arms to D1, who has no lawful purpose in having it, intending to help D1 by giving him the means to commit a crime / one of a range of crimes, but having no further interest in what he does, or whether he uses the weapon / arms at all.</w:t>
      </w:r>
    </w:p>
    <w:p w14:paraId="30096094" w14:textId="77777777" w:rsidR="00FA1B50" w:rsidRPr="00C81683" w:rsidRDefault="00AF12E8" w:rsidP="00FA1B50">
      <w:pPr>
        <w:spacing w:after="0"/>
        <w:rPr>
          <w:bCs/>
        </w:rPr>
      </w:pPr>
      <w:r w:rsidRPr="00C81683">
        <w:rPr>
          <w:bCs/>
        </w:rPr>
        <w:t>Please n</w:t>
      </w:r>
      <w:r w:rsidR="00FA1B50" w:rsidRPr="00C81683">
        <w:rPr>
          <w:bCs/>
        </w:rPr>
        <w:t xml:space="preserve">ote that </w:t>
      </w:r>
      <w:proofErr w:type="spellStart"/>
      <w:r w:rsidR="00FA1B50" w:rsidRPr="00C81683">
        <w:rPr>
          <w:bCs/>
          <w:i/>
          <w:iCs/>
        </w:rPr>
        <w:t>Jogee</w:t>
      </w:r>
      <w:proofErr w:type="spellEnd"/>
      <w:r w:rsidR="00FA1B50" w:rsidRPr="00C81683">
        <w:rPr>
          <w:bCs/>
        </w:rPr>
        <w:t xml:space="preserve"> does not address procurement, which does require the secondary party to intend that the principal will commit the offence.</w:t>
      </w:r>
    </w:p>
    <w:p w14:paraId="72CAE6DA" w14:textId="77777777" w:rsidR="00FA1B50" w:rsidRPr="00C81683" w:rsidRDefault="00FA1B50" w:rsidP="00FA1B50">
      <w:pPr>
        <w:spacing w:after="0"/>
        <w:rPr>
          <w:bCs/>
        </w:rPr>
      </w:pPr>
      <w:r w:rsidRPr="00C81683">
        <w:rPr>
          <w:bCs/>
        </w:rPr>
        <w:t xml:space="preserve">Secondary liability includes cases of an agreement between the principal and secondary </w:t>
      </w:r>
      <w:proofErr w:type="gramStart"/>
      <w:r w:rsidRPr="00C81683">
        <w:rPr>
          <w:bCs/>
        </w:rPr>
        <w:t>party, but</w:t>
      </w:r>
      <w:proofErr w:type="gramEnd"/>
      <w:r w:rsidRPr="00C81683">
        <w:rPr>
          <w:bCs/>
        </w:rPr>
        <w:t xml:space="preserve"> is not limited to them. It is not necessary to prove any agreement between D1 and D2 to commit an offence. Where, however, it exists, such agreement is by its nature a form of encouragement and in most cases will also involve acts of assistance. </w:t>
      </w:r>
    </w:p>
    <w:p w14:paraId="6D073845" w14:textId="77777777" w:rsidR="00FA1B50" w:rsidRPr="00C81683" w:rsidRDefault="00FA1B50" w:rsidP="00FA1B50">
      <w:pPr>
        <w:rPr>
          <w:bCs/>
        </w:rPr>
      </w:pPr>
    </w:p>
    <w:p w14:paraId="4906B1AB" w14:textId="77777777" w:rsidR="00FA1B50" w:rsidRPr="00C81683" w:rsidRDefault="00FA1B50" w:rsidP="00FA1B50">
      <w:pPr>
        <w:spacing w:after="0"/>
        <w:rPr>
          <w:bCs/>
        </w:rPr>
      </w:pPr>
      <w:r w:rsidRPr="00C81683">
        <w:rPr>
          <w:bCs/>
        </w:rPr>
        <w:t>Spontaneous multi-handed violence:</w:t>
      </w:r>
    </w:p>
    <w:p w14:paraId="20DAB7AD" w14:textId="77777777" w:rsidR="00FA1B50" w:rsidRPr="00C81683" w:rsidRDefault="00FA1B50" w:rsidP="00FA1B50">
      <w:pPr>
        <w:spacing w:after="0"/>
        <w:rPr>
          <w:bCs/>
        </w:rPr>
      </w:pPr>
      <w:r w:rsidRPr="00C81683">
        <w:rPr>
          <w:bCs/>
        </w:rPr>
        <w:t>Liability of the secondary party does not depend on some sort of an agreement, express or tacit. Therefore, in cases of spontaneous multi-handed violence, if D2 joins a group which he realises is out to cause serious injury, and D1 acts with intent to cause GBH and death results, the jury may infer that D2 intended to encourage/assist the deliberate infliction of GBH and/or intended that that should happen if necessary; and D1 and D2 will be guilty of murder. The giving of intentional support by words or deeds may include supportive presence.</w:t>
      </w:r>
    </w:p>
    <w:p w14:paraId="01C5376D" w14:textId="77777777" w:rsidR="00C42F3E" w:rsidRDefault="00C42F3E" w:rsidP="00FA1B50">
      <w:pPr>
        <w:spacing w:after="0"/>
        <w:rPr>
          <w:b/>
        </w:rPr>
      </w:pPr>
    </w:p>
    <w:p w14:paraId="05EC0055" w14:textId="77777777" w:rsidR="00C42F3E" w:rsidRDefault="00C42F3E" w:rsidP="00FA1B50">
      <w:pPr>
        <w:spacing w:after="0"/>
        <w:rPr>
          <w:b/>
        </w:rPr>
      </w:pPr>
    </w:p>
    <w:p w14:paraId="49D5650B" w14:textId="77777777" w:rsidR="00AF12E8" w:rsidRDefault="00AF12E8" w:rsidP="00FA1B50">
      <w:pPr>
        <w:spacing w:after="0"/>
        <w:rPr>
          <w:b/>
        </w:rPr>
      </w:pPr>
    </w:p>
    <w:p w14:paraId="1A922F41" w14:textId="77777777" w:rsidR="00AF12E8" w:rsidRPr="00C42F3E" w:rsidRDefault="00AF12E8" w:rsidP="00AF12E8">
      <w:pPr>
        <w:spacing w:after="0"/>
        <w:rPr>
          <w:b/>
          <w:u w:val="single"/>
        </w:rPr>
      </w:pPr>
      <w:r w:rsidRPr="00C42F3E">
        <w:rPr>
          <w:b/>
          <w:u w:val="single"/>
        </w:rPr>
        <w:t>Bail Act 1976</w:t>
      </w:r>
      <w:r w:rsidR="00C42F3E">
        <w:rPr>
          <w:b/>
          <w:u w:val="single"/>
        </w:rPr>
        <w:t>:</w:t>
      </w:r>
    </w:p>
    <w:p w14:paraId="752B9A1D" w14:textId="77777777" w:rsidR="002E0BB3" w:rsidRPr="00C81683" w:rsidRDefault="002E0BB3" w:rsidP="002E0BB3">
      <w:pPr>
        <w:pStyle w:val="ListParagraph"/>
        <w:numPr>
          <w:ilvl w:val="0"/>
          <w:numId w:val="2"/>
        </w:numPr>
        <w:spacing w:after="0"/>
        <w:rPr>
          <w:rFonts w:cstheme="minorHAnsi"/>
          <w:bCs/>
        </w:rPr>
      </w:pPr>
      <w:r w:rsidRPr="00C81683">
        <w:rPr>
          <w:rFonts w:cstheme="minorHAnsi"/>
          <w:bCs/>
          <w:color w:val="000000"/>
          <w:shd w:val="clear" w:color="auto" w:fill="FFFFFF"/>
        </w:rPr>
        <w:t>An Act to make provision in relation to bail in or in connection with criminal proceedings in England and Wales, to make it an offence to agree to indemnify sureties in criminal proceedings, to make provision for legal aid limited to questions of bail in certain cases and for legal aid for persons kept in custody for inquiries or reports, to extend the powers of coroners to grant bail and for connected purposes.</w:t>
      </w:r>
    </w:p>
    <w:p w14:paraId="24C45202" w14:textId="77777777" w:rsidR="009D2555" w:rsidRPr="00C81683" w:rsidRDefault="002E0BB3" w:rsidP="002E0BB3">
      <w:pPr>
        <w:pStyle w:val="ListParagraph"/>
        <w:numPr>
          <w:ilvl w:val="0"/>
          <w:numId w:val="2"/>
        </w:numPr>
        <w:spacing w:after="0"/>
        <w:rPr>
          <w:rFonts w:cstheme="minorHAnsi"/>
          <w:bCs/>
        </w:rPr>
      </w:pPr>
      <w:r w:rsidRPr="00C81683">
        <w:rPr>
          <w:rFonts w:cstheme="minorHAnsi"/>
          <w:bCs/>
          <w:color w:val="000000"/>
          <w:shd w:val="clear" w:color="auto" w:fill="FFFFFF"/>
        </w:rPr>
        <w:t>This means that everyone has the automatic right to bail,</w:t>
      </w:r>
      <w:r w:rsidR="009D2555" w:rsidRPr="00C81683">
        <w:rPr>
          <w:rFonts w:cstheme="minorHAnsi"/>
          <w:bCs/>
          <w:color w:val="000000"/>
          <w:shd w:val="clear" w:color="auto" w:fill="FFFFFF"/>
        </w:rPr>
        <w:t xml:space="preserve"> and the bailed person has a duty to surrender to the bail at the appointed date and time. </w:t>
      </w:r>
    </w:p>
    <w:p w14:paraId="1A8AD9CA" w14:textId="77777777" w:rsidR="009D2555" w:rsidRPr="00C81683" w:rsidRDefault="009D2555" w:rsidP="002E0BB3">
      <w:pPr>
        <w:pStyle w:val="ListParagraph"/>
        <w:numPr>
          <w:ilvl w:val="0"/>
          <w:numId w:val="2"/>
        </w:numPr>
        <w:spacing w:after="0"/>
        <w:rPr>
          <w:rFonts w:cstheme="minorHAnsi"/>
          <w:bCs/>
        </w:rPr>
      </w:pPr>
      <w:r w:rsidRPr="00C81683">
        <w:rPr>
          <w:rFonts w:cstheme="minorHAnsi"/>
          <w:bCs/>
          <w:color w:val="000000"/>
          <w:shd w:val="clear" w:color="auto" w:fill="FFFFFF"/>
        </w:rPr>
        <w:t xml:space="preserve">There could be sureties put in place to ensure that the suspect answers bail, a surety must be of tangible value </w:t>
      </w:r>
      <w:proofErr w:type="gramStart"/>
      <w:r w:rsidRPr="00C81683">
        <w:rPr>
          <w:rFonts w:cstheme="minorHAnsi"/>
          <w:bCs/>
          <w:color w:val="000000"/>
          <w:shd w:val="clear" w:color="auto" w:fill="FFFFFF"/>
        </w:rPr>
        <w:t>e.g.</w:t>
      </w:r>
      <w:proofErr w:type="gramEnd"/>
      <w:r w:rsidRPr="00C81683">
        <w:rPr>
          <w:rFonts w:cstheme="minorHAnsi"/>
          <w:bCs/>
          <w:color w:val="000000"/>
          <w:shd w:val="clear" w:color="auto" w:fill="FFFFFF"/>
        </w:rPr>
        <w:t xml:space="preserve"> actual money - not a credit card. If the suspect does not answer bail, the guarantor must pay the surety</w:t>
      </w:r>
    </w:p>
    <w:p w14:paraId="5BD1E3A9" w14:textId="77777777" w:rsidR="002E0BB3" w:rsidRPr="00C81683" w:rsidRDefault="009D2555" w:rsidP="002E0BB3">
      <w:pPr>
        <w:pStyle w:val="ListParagraph"/>
        <w:numPr>
          <w:ilvl w:val="0"/>
          <w:numId w:val="2"/>
        </w:numPr>
        <w:spacing w:after="0"/>
        <w:rPr>
          <w:rFonts w:cstheme="minorHAnsi"/>
          <w:bCs/>
        </w:rPr>
      </w:pPr>
      <w:r w:rsidRPr="00C81683">
        <w:rPr>
          <w:rFonts w:cstheme="minorHAnsi"/>
          <w:bCs/>
          <w:color w:val="000000"/>
          <w:shd w:val="clear" w:color="auto" w:fill="FFFFFF"/>
        </w:rPr>
        <w:t xml:space="preserve">Persons with previous convictions for homicide offences would not necessarily obtain police bail, and it is down to the courts to ascertain if bail is appropriate or not </w:t>
      </w:r>
      <w:r w:rsidR="002E0BB3" w:rsidRPr="00C81683">
        <w:rPr>
          <w:rFonts w:cstheme="minorHAnsi"/>
          <w:bCs/>
          <w:color w:val="000000"/>
          <w:shd w:val="clear" w:color="auto" w:fill="FFFFFF"/>
        </w:rPr>
        <w:t xml:space="preserve"> </w:t>
      </w:r>
    </w:p>
    <w:p w14:paraId="1E17BCF6" w14:textId="77777777" w:rsidR="00AF12E8" w:rsidRPr="00C81683" w:rsidRDefault="00AF12E8" w:rsidP="00AF12E8">
      <w:pPr>
        <w:spacing w:after="0"/>
        <w:rPr>
          <w:bCs/>
        </w:rPr>
      </w:pPr>
    </w:p>
    <w:p w14:paraId="0FB8F8CB" w14:textId="77777777" w:rsidR="00C42F3E" w:rsidRDefault="00C42F3E" w:rsidP="00AF12E8">
      <w:pPr>
        <w:spacing w:after="0"/>
        <w:rPr>
          <w:b/>
        </w:rPr>
      </w:pPr>
    </w:p>
    <w:p w14:paraId="462D4BE7" w14:textId="77777777" w:rsidR="00C42F3E" w:rsidRDefault="00C42F3E" w:rsidP="00AF12E8">
      <w:pPr>
        <w:spacing w:after="0"/>
        <w:rPr>
          <w:b/>
        </w:rPr>
      </w:pPr>
    </w:p>
    <w:p w14:paraId="52C5B3AF" w14:textId="77777777" w:rsidR="00C42F3E" w:rsidRDefault="00C42F3E" w:rsidP="00AF12E8">
      <w:pPr>
        <w:spacing w:after="0"/>
        <w:rPr>
          <w:b/>
        </w:rPr>
      </w:pPr>
    </w:p>
    <w:p w14:paraId="058B2774" w14:textId="77777777" w:rsidR="00C42F3E" w:rsidRDefault="00C42F3E" w:rsidP="00AF12E8">
      <w:pPr>
        <w:spacing w:after="0"/>
        <w:rPr>
          <w:b/>
        </w:rPr>
      </w:pPr>
    </w:p>
    <w:p w14:paraId="46754FAD" w14:textId="012DC953" w:rsidR="00C42F3E" w:rsidRDefault="00C42F3E" w:rsidP="00AF12E8">
      <w:pPr>
        <w:spacing w:after="0"/>
        <w:rPr>
          <w:b/>
        </w:rPr>
      </w:pPr>
    </w:p>
    <w:p w14:paraId="54912E06" w14:textId="77777777" w:rsidR="00C81683" w:rsidRDefault="00C81683" w:rsidP="00AF12E8">
      <w:pPr>
        <w:spacing w:after="0"/>
        <w:rPr>
          <w:b/>
        </w:rPr>
      </w:pPr>
    </w:p>
    <w:p w14:paraId="1D7E8514" w14:textId="77777777" w:rsidR="00C42F3E" w:rsidRDefault="00C42F3E" w:rsidP="00AF12E8">
      <w:pPr>
        <w:spacing w:after="0"/>
        <w:rPr>
          <w:b/>
        </w:rPr>
      </w:pPr>
    </w:p>
    <w:p w14:paraId="19C412F4" w14:textId="77777777" w:rsidR="00C42F3E" w:rsidRPr="00AF12E8" w:rsidRDefault="00C42F3E" w:rsidP="00AF12E8">
      <w:pPr>
        <w:spacing w:after="0"/>
        <w:rPr>
          <w:b/>
        </w:rPr>
      </w:pPr>
    </w:p>
    <w:p w14:paraId="1217E772" w14:textId="77777777" w:rsidR="00AF12E8" w:rsidRPr="00C42F3E" w:rsidRDefault="00AF12E8" w:rsidP="00AF12E8">
      <w:pPr>
        <w:spacing w:after="0"/>
        <w:rPr>
          <w:b/>
          <w:u w:val="single"/>
        </w:rPr>
      </w:pPr>
      <w:r w:rsidRPr="00C42F3E">
        <w:rPr>
          <w:b/>
          <w:u w:val="single"/>
        </w:rPr>
        <w:t>Breach of Bail</w:t>
      </w:r>
      <w:r w:rsidR="00C42F3E">
        <w:rPr>
          <w:b/>
          <w:u w:val="single"/>
        </w:rPr>
        <w:t>:</w:t>
      </w:r>
    </w:p>
    <w:p w14:paraId="3A16BADC" w14:textId="77777777" w:rsidR="000113FF" w:rsidRPr="00C81683" w:rsidRDefault="000113FF" w:rsidP="00AF12E8">
      <w:pPr>
        <w:spacing w:after="0"/>
        <w:rPr>
          <w:bCs/>
        </w:rPr>
      </w:pPr>
      <w:r w:rsidRPr="00C81683">
        <w:rPr>
          <w:bCs/>
        </w:rPr>
        <w:t xml:space="preserve">This is an extremely important aspect of the post interview process and </w:t>
      </w:r>
      <w:r w:rsidR="00CB5EE4" w:rsidRPr="00C81683">
        <w:rPr>
          <w:bCs/>
        </w:rPr>
        <w:t>can have an adverse impact if not dealt with correctly.</w:t>
      </w:r>
    </w:p>
    <w:p w14:paraId="150B577A" w14:textId="77777777" w:rsidR="00CB5EE4" w:rsidRPr="00C81683" w:rsidRDefault="00CB5EE4" w:rsidP="00CB5EE4">
      <w:pPr>
        <w:pStyle w:val="ListParagraph"/>
        <w:numPr>
          <w:ilvl w:val="0"/>
          <w:numId w:val="1"/>
        </w:numPr>
        <w:spacing w:after="0"/>
        <w:rPr>
          <w:bCs/>
        </w:rPr>
      </w:pPr>
      <w:r w:rsidRPr="00C81683">
        <w:rPr>
          <w:bCs/>
        </w:rPr>
        <w:t xml:space="preserve">If a person is suspected of committing a new offence or there is new evidence for an old offence and the person has breached conditional bail </w:t>
      </w:r>
      <w:r w:rsidRPr="00C81683">
        <w:rPr>
          <w:bCs/>
          <w:i/>
          <w:u w:val="single"/>
        </w:rPr>
        <w:t>always arrest for the offence/new evidence only.</w:t>
      </w:r>
      <w:r w:rsidRPr="00C81683">
        <w:rPr>
          <w:bCs/>
        </w:rPr>
        <w:t xml:space="preserve"> (</w:t>
      </w:r>
      <w:r w:rsidRPr="00C81683">
        <w:rPr>
          <w:bCs/>
          <w:i/>
        </w:rPr>
        <w:t>Subject to arrest necessity as per Code G</w:t>
      </w:r>
      <w:r w:rsidRPr="00C81683">
        <w:rPr>
          <w:bCs/>
        </w:rPr>
        <w:t>) Arresting for the new offence/new evidence will commence a new Custody Record and start a new detention clock and will not induce any unnecessary pressure or time constraints.</w:t>
      </w:r>
    </w:p>
    <w:p w14:paraId="6F2796B8" w14:textId="77777777" w:rsidR="00243B63" w:rsidRPr="00C81683" w:rsidRDefault="00CB5EE4" w:rsidP="00CB5EE4">
      <w:pPr>
        <w:pStyle w:val="ListParagraph"/>
        <w:numPr>
          <w:ilvl w:val="0"/>
          <w:numId w:val="1"/>
        </w:numPr>
        <w:spacing w:after="0"/>
        <w:rPr>
          <w:bCs/>
        </w:rPr>
      </w:pPr>
      <w:r w:rsidRPr="00C81683">
        <w:rPr>
          <w:bCs/>
        </w:rPr>
        <w:t>Breaching pre-charge and post-charge conditional bail is not an offence however a person can be arrested for breaching bail conditions. As this is not an offence Code G necessity does not apply – this means that although arrested, there will be no additional charge per se.</w:t>
      </w:r>
    </w:p>
    <w:p w14:paraId="5CCE01E9" w14:textId="0CAF7014" w:rsidR="00CB5EE4" w:rsidRPr="00C81683" w:rsidRDefault="00CB5EE4" w:rsidP="00CB5EE4">
      <w:pPr>
        <w:pStyle w:val="ListParagraph"/>
        <w:numPr>
          <w:ilvl w:val="0"/>
          <w:numId w:val="1"/>
        </w:numPr>
        <w:spacing w:after="0"/>
        <w:rPr>
          <w:bCs/>
        </w:rPr>
      </w:pPr>
      <w:r w:rsidRPr="00C81683">
        <w:rPr>
          <w:bCs/>
        </w:rPr>
        <w:t>If the breach is pre-charge, then the matter could result in secondary interview</w:t>
      </w:r>
      <w:r w:rsidR="00243B63" w:rsidRPr="00C81683">
        <w:rPr>
          <w:bCs/>
        </w:rPr>
        <w:t xml:space="preserve">, a charge or released. </w:t>
      </w:r>
    </w:p>
    <w:p w14:paraId="662C253A" w14:textId="77777777" w:rsidR="002E0BB3" w:rsidRPr="00C81683" w:rsidRDefault="00CB5EE4" w:rsidP="00CB5EE4">
      <w:pPr>
        <w:pStyle w:val="ListParagraph"/>
        <w:numPr>
          <w:ilvl w:val="0"/>
          <w:numId w:val="1"/>
        </w:numPr>
        <w:spacing w:after="0"/>
        <w:rPr>
          <w:bCs/>
        </w:rPr>
      </w:pPr>
      <w:r w:rsidRPr="00C81683">
        <w:rPr>
          <w:bCs/>
        </w:rPr>
        <w:t>Post charge bail – can lead to the suspect being remanded in police custody and brought before the first available court hearing.</w:t>
      </w:r>
    </w:p>
    <w:p w14:paraId="469D1D41" w14:textId="77777777" w:rsidR="00CB5EE4" w:rsidRPr="00C81683" w:rsidRDefault="002E0BB3" w:rsidP="00CB5EE4">
      <w:pPr>
        <w:pStyle w:val="ListParagraph"/>
        <w:numPr>
          <w:ilvl w:val="0"/>
          <w:numId w:val="1"/>
        </w:numPr>
        <w:spacing w:after="0"/>
        <w:rPr>
          <w:bCs/>
        </w:rPr>
      </w:pPr>
      <w:r w:rsidRPr="00C81683">
        <w:rPr>
          <w:bCs/>
        </w:rPr>
        <w:t xml:space="preserve">Consider </w:t>
      </w:r>
      <w:proofErr w:type="gramStart"/>
      <w:r w:rsidRPr="00C81683">
        <w:rPr>
          <w:bCs/>
        </w:rPr>
        <w:t>whether or not</w:t>
      </w:r>
      <w:proofErr w:type="gramEnd"/>
      <w:r w:rsidRPr="00C81683">
        <w:rPr>
          <w:bCs/>
        </w:rPr>
        <w:t xml:space="preserve"> the breach of bail will increase the gravity score – is there something in mitigation as to why it was breached, you will need to assess the circumstances as a whole</w:t>
      </w:r>
      <w:r w:rsidR="003B3DF3" w:rsidRPr="00C81683">
        <w:rPr>
          <w:bCs/>
        </w:rPr>
        <w:t>. The pre-read will give you some context in relation to the Gravity Score.</w:t>
      </w:r>
    </w:p>
    <w:p w14:paraId="147811C5" w14:textId="77777777" w:rsidR="00243B63" w:rsidRPr="00243B63" w:rsidRDefault="00243B63" w:rsidP="00243B63">
      <w:pPr>
        <w:spacing w:after="0"/>
        <w:ind w:left="360"/>
        <w:rPr>
          <w:b/>
        </w:rPr>
      </w:pPr>
    </w:p>
    <w:p w14:paraId="5D4E6D29" w14:textId="77777777" w:rsidR="00AF12E8" w:rsidRPr="00FA1B50" w:rsidRDefault="00AF12E8" w:rsidP="00FA1B50">
      <w:pPr>
        <w:spacing w:after="0"/>
        <w:rPr>
          <w:b/>
        </w:rPr>
      </w:pPr>
    </w:p>
    <w:sectPr w:rsidR="00AF12E8" w:rsidRPr="00FA1B5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D554D" w14:textId="77777777" w:rsidR="00A72A2A" w:rsidRDefault="00A72A2A" w:rsidP="00F24E84">
      <w:pPr>
        <w:spacing w:after="0" w:line="240" w:lineRule="auto"/>
      </w:pPr>
      <w:r>
        <w:separator/>
      </w:r>
    </w:p>
  </w:endnote>
  <w:endnote w:type="continuationSeparator" w:id="0">
    <w:p w14:paraId="562D1D01" w14:textId="77777777" w:rsidR="00A72A2A" w:rsidRDefault="00A72A2A" w:rsidP="00F24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n-ea">
    <w:panose1 w:val="00000000000000000000"/>
    <w:charset w:val="00"/>
    <w:family w:val="roman"/>
    <w:notTrueType/>
    <w:pitch w:val="default"/>
  </w:font>
  <w:font w:name="+mn-cs">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555E2" w14:textId="77777777" w:rsidR="007C2FF5" w:rsidRDefault="007C2F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5308A" w14:textId="5ACBC9A7" w:rsidR="007C2FF5" w:rsidRPr="007C2FF5" w:rsidRDefault="007C2FF5" w:rsidP="007C2FF5">
    <w:pPr>
      <w:tabs>
        <w:tab w:val="center" w:pos="4153"/>
        <w:tab w:val="right" w:pos="8306"/>
      </w:tabs>
      <w:spacing w:after="0" w:line="240" w:lineRule="auto"/>
      <w:jc w:val="center"/>
      <w:rPr>
        <w:rFonts w:ascii="Verdana" w:eastAsia="Times New Roman" w:hAnsi="Verdana" w:cs="Times New Roman"/>
        <w:b/>
        <w:color w:val="FF0000"/>
        <w:sz w:val="20"/>
        <w:szCs w:val="20"/>
        <w:lang w:val="x-none" w:eastAsia="x-none"/>
      </w:rPr>
    </w:pPr>
    <w:r w:rsidRPr="007C2FF5">
      <w:rPr>
        <w:rFonts w:ascii="Arial" w:eastAsia="Times New Roman" w:hAnsi="Arial" w:cs="Times New Roman"/>
        <w:b/>
        <w:lang w:val="x-none" w:eastAsia="x-none"/>
      </w:rPr>
      <w:t xml:space="preserve">Version </w:t>
    </w:r>
    <w:r w:rsidR="00C81683">
      <w:rPr>
        <w:rFonts w:ascii="Arial" w:eastAsia="Times New Roman" w:hAnsi="Arial" w:cs="Times New Roman"/>
        <w:b/>
        <w:lang w:eastAsia="x-none"/>
      </w:rPr>
      <w:t>2</w:t>
    </w:r>
    <w:r w:rsidRPr="007C2FF5">
      <w:rPr>
        <w:rFonts w:ascii="Arial" w:eastAsia="Times New Roman" w:hAnsi="Arial" w:cs="Times New Roman"/>
        <w:b/>
        <w:lang w:val="x-none" w:eastAsia="x-none"/>
      </w:rPr>
      <w:t>.0</w:t>
    </w:r>
  </w:p>
  <w:p w14:paraId="1E93C6F9" w14:textId="27E55197" w:rsidR="007C2FF5" w:rsidRPr="007C2FF5" w:rsidRDefault="007C2FF5" w:rsidP="007C2FF5">
    <w:pPr>
      <w:tabs>
        <w:tab w:val="center" w:pos="4153"/>
        <w:tab w:val="right" w:pos="8306"/>
      </w:tabs>
      <w:spacing w:after="0" w:line="240" w:lineRule="auto"/>
      <w:jc w:val="center"/>
      <w:rPr>
        <w:rFonts w:ascii="Arial" w:eastAsia="Times New Roman" w:hAnsi="Arial" w:cs="Times New Roman"/>
        <w:b/>
        <w:sz w:val="20"/>
        <w:szCs w:val="20"/>
        <w:lang w:val="x-none" w:eastAsia="x-none"/>
      </w:rPr>
    </w:pPr>
    <w:r w:rsidRPr="007C2FF5">
      <w:rPr>
        <w:rFonts w:ascii="Arial" w:eastAsia="Times New Roman" w:hAnsi="Arial" w:cs="Times New Roman"/>
        <w:b/>
        <w:sz w:val="20"/>
        <w:szCs w:val="20"/>
        <w:lang w:val="x-none" w:eastAsia="x-none"/>
      </w:rPr>
      <w:t xml:space="preserve">South Wales Police &amp; Gwent Police </w:t>
    </w:r>
    <w:r w:rsidR="00C81683">
      <w:rPr>
        <w:rFonts w:ascii="Arial" w:eastAsia="Times New Roman" w:hAnsi="Arial" w:cs="Times New Roman"/>
        <w:b/>
        <w:sz w:val="20"/>
        <w:szCs w:val="20"/>
        <w:lang w:eastAsia="x-none"/>
      </w:rPr>
      <w:t>January 2023</w:t>
    </w:r>
  </w:p>
  <w:p w14:paraId="2644F1B6" w14:textId="77777777" w:rsidR="007C2FF5" w:rsidRDefault="007C2FF5" w:rsidP="007C2FF5">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275B7" w14:textId="77777777" w:rsidR="007C2FF5" w:rsidRDefault="007C2F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E9962" w14:textId="77777777" w:rsidR="00A72A2A" w:rsidRDefault="00A72A2A" w:rsidP="00F24E84">
      <w:pPr>
        <w:spacing w:after="0" w:line="240" w:lineRule="auto"/>
      </w:pPr>
      <w:r>
        <w:separator/>
      </w:r>
    </w:p>
  </w:footnote>
  <w:footnote w:type="continuationSeparator" w:id="0">
    <w:p w14:paraId="40D09514" w14:textId="77777777" w:rsidR="00A72A2A" w:rsidRDefault="00A72A2A" w:rsidP="00F24E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97114" w14:textId="77777777" w:rsidR="007C2FF5" w:rsidRDefault="007C2F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CF15C" w14:textId="77777777" w:rsidR="00F24E84" w:rsidRDefault="00C73A31" w:rsidP="00F24E84">
    <w:pPr>
      <w:pStyle w:val="Header"/>
      <w:jc w:val="center"/>
      <w:rPr>
        <w:sz w:val="36"/>
        <w:szCs w:val="36"/>
      </w:rPr>
    </w:pPr>
    <w:r>
      <w:rPr>
        <w:sz w:val="36"/>
        <w:szCs w:val="36"/>
      </w:rPr>
      <w:t>Group W</w:t>
    </w:r>
    <w:r w:rsidR="00F24E84">
      <w:rPr>
        <w:sz w:val="36"/>
        <w:szCs w:val="36"/>
      </w:rPr>
      <w:t>ork 1</w:t>
    </w:r>
  </w:p>
  <w:p w14:paraId="753429D0" w14:textId="77777777" w:rsidR="00F24E84" w:rsidRPr="00F24E84" w:rsidRDefault="00F24E84" w:rsidP="00F24E84">
    <w:pPr>
      <w:pStyle w:val="Header"/>
      <w:jc w:val="center"/>
      <w:rPr>
        <w:sz w:val="36"/>
        <w:szCs w:val="36"/>
      </w:rPr>
    </w:pPr>
    <w:r>
      <w:rPr>
        <w:sz w:val="36"/>
        <w:szCs w:val="36"/>
      </w:rPr>
      <w:t>Trainer Notes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1B6DB" w14:textId="77777777" w:rsidR="007C2FF5" w:rsidRDefault="007C2F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3279B"/>
    <w:multiLevelType w:val="hybridMultilevel"/>
    <w:tmpl w:val="30C8F97C"/>
    <w:lvl w:ilvl="0" w:tplc="611AA7F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A4725"/>
    <w:multiLevelType w:val="hybridMultilevel"/>
    <w:tmpl w:val="B3043AAC"/>
    <w:lvl w:ilvl="0" w:tplc="48FEC406">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977D4"/>
    <w:multiLevelType w:val="hybridMultilevel"/>
    <w:tmpl w:val="F2C2ADF0"/>
    <w:lvl w:ilvl="0" w:tplc="6BE6CD8C">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D830DAB"/>
    <w:multiLevelType w:val="hybridMultilevel"/>
    <w:tmpl w:val="E26A989A"/>
    <w:lvl w:ilvl="0" w:tplc="58B8DD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976D76"/>
    <w:multiLevelType w:val="hybridMultilevel"/>
    <w:tmpl w:val="47806304"/>
    <w:lvl w:ilvl="0" w:tplc="FF224324">
      <w:start w:val="1"/>
      <w:numFmt w:val="bullet"/>
      <w:lvlText w:val="-"/>
      <w:lvlJc w:val="left"/>
      <w:pPr>
        <w:tabs>
          <w:tab w:val="num" w:pos="720"/>
        </w:tabs>
        <w:ind w:left="720" w:hanging="360"/>
      </w:pPr>
      <w:rPr>
        <w:rFonts w:ascii="Times New Roman" w:hAnsi="Times New Roman" w:hint="default"/>
      </w:rPr>
    </w:lvl>
    <w:lvl w:ilvl="1" w:tplc="5178D55A" w:tentative="1">
      <w:start w:val="1"/>
      <w:numFmt w:val="bullet"/>
      <w:lvlText w:val="-"/>
      <w:lvlJc w:val="left"/>
      <w:pPr>
        <w:tabs>
          <w:tab w:val="num" w:pos="1440"/>
        </w:tabs>
        <w:ind w:left="1440" w:hanging="360"/>
      </w:pPr>
      <w:rPr>
        <w:rFonts w:ascii="Times New Roman" w:hAnsi="Times New Roman" w:hint="default"/>
      </w:rPr>
    </w:lvl>
    <w:lvl w:ilvl="2" w:tplc="6D6E90BC" w:tentative="1">
      <w:start w:val="1"/>
      <w:numFmt w:val="bullet"/>
      <w:lvlText w:val="-"/>
      <w:lvlJc w:val="left"/>
      <w:pPr>
        <w:tabs>
          <w:tab w:val="num" w:pos="2160"/>
        </w:tabs>
        <w:ind w:left="2160" w:hanging="360"/>
      </w:pPr>
      <w:rPr>
        <w:rFonts w:ascii="Times New Roman" w:hAnsi="Times New Roman" w:hint="default"/>
      </w:rPr>
    </w:lvl>
    <w:lvl w:ilvl="3" w:tplc="0E8EA5FA" w:tentative="1">
      <w:start w:val="1"/>
      <w:numFmt w:val="bullet"/>
      <w:lvlText w:val="-"/>
      <w:lvlJc w:val="left"/>
      <w:pPr>
        <w:tabs>
          <w:tab w:val="num" w:pos="2880"/>
        </w:tabs>
        <w:ind w:left="2880" w:hanging="360"/>
      </w:pPr>
      <w:rPr>
        <w:rFonts w:ascii="Times New Roman" w:hAnsi="Times New Roman" w:hint="default"/>
      </w:rPr>
    </w:lvl>
    <w:lvl w:ilvl="4" w:tplc="197CEBE6" w:tentative="1">
      <w:start w:val="1"/>
      <w:numFmt w:val="bullet"/>
      <w:lvlText w:val="-"/>
      <w:lvlJc w:val="left"/>
      <w:pPr>
        <w:tabs>
          <w:tab w:val="num" w:pos="3600"/>
        </w:tabs>
        <w:ind w:left="3600" w:hanging="360"/>
      </w:pPr>
      <w:rPr>
        <w:rFonts w:ascii="Times New Roman" w:hAnsi="Times New Roman" w:hint="default"/>
      </w:rPr>
    </w:lvl>
    <w:lvl w:ilvl="5" w:tplc="59E04ACC" w:tentative="1">
      <w:start w:val="1"/>
      <w:numFmt w:val="bullet"/>
      <w:lvlText w:val="-"/>
      <w:lvlJc w:val="left"/>
      <w:pPr>
        <w:tabs>
          <w:tab w:val="num" w:pos="4320"/>
        </w:tabs>
        <w:ind w:left="4320" w:hanging="360"/>
      </w:pPr>
      <w:rPr>
        <w:rFonts w:ascii="Times New Roman" w:hAnsi="Times New Roman" w:hint="default"/>
      </w:rPr>
    </w:lvl>
    <w:lvl w:ilvl="6" w:tplc="D6F63F2A" w:tentative="1">
      <w:start w:val="1"/>
      <w:numFmt w:val="bullet"/>
      <w:lvlText w:val="-"/>
      <w:lvlJc w:val="left"/>
      <w:pPr>
        <w:tabs>
          <w:tab w:val="num" w:pos="5040"/>
        </w:tabs>
        <w:ind w:left="5040" w:hanging="360"/>
      </w:pPr>
      <w:rPr>
        <w:rFonts w:ascii="Times New Roman" w:hAnsi="Times New Roman" w:hint="default"/>
      </w:rPr>
    </w:lvl>
    <w:lvl w:ilvl="7" w:tplc="8C2CF81E" w:tentative="1">
      <w:start w:val="1"/>
      <w:numFmt w:val="bullet"/>
      <w:lvlText w:val="-"/>
      <w:lvlJc w:val="left"/>
      <w:pPr>
        <w:tabs>
          <w:tab w:val="num" w:pos="5760"/>
        </w:tabs>
        <w:ind w:left="5760" w:hanging="360"/>
      </w:pPr>
      <w:rPr>
        <w:rFonts w:ascii="Times New Roman" w:hAnsi="Times New Roman" w:hint="default"/>
      </w:rPr>
    </w:lvl>
    <w:lvl w:ilvl="8" w:tplc="4E4AD01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EEA391D"/>
    <w:multiLevelType w:val="multilevel"/>
    <w:tmpl w:val="D3A043D6"/>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D30C3D"/>
    <w:multiLevelType w:val="multilevel"/>
    <w:tmpl w:val="5CF0D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752F87"/>
    <w:multiLevelType w:val="hybridMultilevel"/>
    <w:tmpl w:val="E02A2BF0"/>
    <w:lvl w:ilvl="0" w:tplc="530A03D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5401F0F"/>
    <w:multiLevelType w:val="hybridMultilevel"/>
    <w:tmpl w:val="929037A6"/>
    <w:lvl w:ilvl="0" w:tplc="286C13E4">
      <w:start w:val="1"/>
      <w:numFmt w:val="bullet"/>
      <w:lvlText w:val="-"/>
      <w:lvlJc w:val="left"/>
      <w:pPr>
        <w:tabs>
          <w:tab w:val="num" w:pos="720"/>
        </w:tabs>
        <w:ind w:left="720" w:hanging="360"/>
      </w:pPr>
      <w:rPr>
        <w:rFonts w:ascii="Times New Roman" w:hAnsi="Times New Roman" w:hint="default"/>
      </w:rPr>
    </w:lvl>
    <w:lvl w:ilvl="1" w:tplc="751047EC" w:tentative="1">
      <w:start w:val="1"/>
      <w:numFmt w:val="bullet"/>
      <w:lvlText w:val="-"/>
      <w:lvlJc w:val="left"/>
      <w:pPr>
        <w:tabs>
          <w:tab w:val="num" w:pos="1440"/>
        </w:tabs>
        <w:ind w:left="1440" w:hanging="360"/>
      </w:pPr>
      <w:rPr>
        <w:rFonts w:ascii="Times New Roman" w:hAnsi="Times New Roman" w:hint="default"/>
      </w:rPr>
    </w:lvl>
    <w:lvl w:ilvl="2" w:tplc="A75CEDCE" w:tentative="1">
      <w:start w:val="1"/>
      <w:numFmt w:val="bullet"/>
      <w:lvlText w:val="-"/>
      <w:lvlJc w:val="left"/>
      <w:pPr>
        <w:tabs>
          <w:tab w:val="num" w:pos="2160"/>
        </w:tabs>
        <w:ind w:left="2160" w:hanging="360"/>
      </w:pPr>
      <w:rPr>
        <w:rFonts w:ascii="Times New Roman" w:hAnsi="Times New Roman" w:hint="default"/>
      </w:rPr>
    </w:lvl>
    <w:lvl w:ilvl="3" w:tplc="B8C4DDEE" w:tentative="1">
      <w:start w:val="1"/>
      <w:numFmt w:val="bullet"/>
      <w:lvlText w:val="-"/>
      <w:lvlJc w:val="left"/>
      <w:pPr>
        <w:tabs>
          <w:tab w:val="num" w:pos="2880"/>
        </w:tabs>
        <w:ind w:left="2880" w:hanging="360"/>
      </w:pPr>
      <w:rPr>
        <w:rFonts w:ascii="Times New Roman" w:hAnsi="Times New Roman" w:hint="default"/>
      </w:rPr>
    </w:lvl>
    <w:lvl w:ilvl="4" w:tplc="779E6430" w:tentative="1">
      <w:start w:val="1"/>
      <w:numFmt w:val="bullet"/>
      <w:lvlText w:val="-"/>
      <w:lvlJc w:val="left"/>
      <w:pPr>
        <w:tabs>
          <w:tab w:val="num" w:pos="3600"/>
        </w:tabs>
        <w:ind w:left="3600" w:hanging="360"/>
      </w:pPr>
      <w:rPr>
        <w:rFonts w:ascii="Times New Roman" w:hAnsi="Times New Roman" w:hint="default"/>
      </w:rPr>
    </w:lvl>
    <w:lvl w:ilvl="5" w:tplc="1B8C526A" w:tentative="1">
      <w:start w:val="1"/>
      <w:numFmt w:val="bullet"/>
      <w:lvlText w:val="-"/>
      <w:lvlJc w:val="left"/>
      <w:pPr>
        <w:tabs>
          <w:tab w:val="num" w:pos="4320"/>
        </w:tabs>
        <w:ind w:left="4320" w:hanging="360"/>
      </w:pPr>
      <w:rPr>
        <w:rFonts w:ascii="Times New Roman" w:hAnsi="Times New Roman" w:hint="default"/>
      </w:rPr>
    </w:lvl>
    <w:lvl w:ilvl="6" w:tplc="390858A0" w:tentative="1">
      <w:start w:val="1"/>
      <w:numFmt w:val="bullet"/>
      <w:lvlText w:val="-"/>
      <w:lvlJc w:val="left"/>
      <w:pPr>
        <w:tabs>
          <w:tab w:val="num" w:pos="5040"/>
        </w:tabs>
        <w:ind w:left="5040" w:hanging="360"/>
      </w:pPr>
      <w:rPr>
        <w:rFonts w:ascii="Times New Roman" w:hAnsi="Times New Roman" w:hint="default"/>
      </w:rPr>
    </w:lvl>
    <w:lvl w:ilvl="7" w:tplc="84F8BE56" w:tentative="1">
      <w:start w:val="1"/>
      <w:numFmt w:val="bullet"/>
      <w:lvlText w:val="-"/>
      <w:lvlJc w:val="left"/>
      <w:pPr>
        <w:tabs>
          <w:tab w:val="num" w:pos="5760"/>
        </w:tabs>
        <w:ind w:left="5760" w:hanging="360"/>
      </w:pPr>
      <w:rPr>
        <w:rFonts w:ascii="Times New Roman" w:hAnsi="Times New Roman" w:hint="default"/>
      </w:rPr>
    </w:lvl>
    <w:lvl w:ilvl="8" w:tplc="96FE2804"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43C1139A"/>
    <w:multiLevelType w:val="multilevel"/>
    <w:tmpl w:val="3CE6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8"/>
  </w:num>
  <w:num w:numId="5">
    <w:abstractNumId w:val="6"/>
  </w:num>
  <w:num w:numId="6">
    <w:abstractNumId w:val="5"/>
  </w:num>
  <w:num w:numId="7">
    <w:abstractNumId w:val="9"/>
  </w:num>
  <w:num w:numId="8">
    <w:abstractNumId w:val="3"/>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E84"/>
    <w:rsid w:val="000113FF"/>
    <w:rsid w:val="000F0715"/>
    <w:rsid w:val="00113E81"/>
    <w:rsid w:val="001B6655"/>
    <w:rsid w:val="001C0503"/>
    <w:rsid w:val="00243B63"/>
    <w:rsid w:val="002B2BAC"/>
    <w:rsid w:val="002D01F8"/>
    <w:rsid w:val="002E0BB3"/>
    <w:rsid w:val="003B3DF3"/>
    <w:rsid w:val="0041325A"/>
    <w:rsid w:val="00445BB4"/>
    <w:rsid w:val="004D6CD1"/>
    <w:rsid w:val="005546B8"/>
    <w:rsid w:val="006241A9"/>
    <w:rsid w:val="007C2FF5"/>
    <w:rsid w:val="007C4116"/>
    <w:rsid w:val="00810DF0"/>
    <w:rsid w:val="008A491E"/>
    <w:rsid w:val="009D2555"/>
    <w:rsid w:val="00A72A2A"/>
    <w:rsid w:val="00AB02D8"/>
    <w:rsid w:val="00AB6E4E"/>
    <w:rsid w:val="00AF12E8"/>
    <w:rsid w:val="00C42F3E"/>
    <w:rsid w:val="00C73A31"/>
    <w:rsid w:val="00C81683"/>
    <w:rsid w:val="00CB5EE4"/>
    <w:rsid w:val="00F24E84"/>
    <w:rsid w:val="00F53F18"/>
    <w:rsid w:val="00FA1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88E256"/>
  <w15:chartTrackingRefBased/>
  <w15:docId w15:val="{DAAB1B05-34A8-422F-BD36-F564109C8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A491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4E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E84"/>
  </w:style>
  <w:style w:type="paragraph" w:styleId="Footer">
    <w:name w:val="footer"/>
    <w:basedOn w:val="Normal"/>
    <w:link w:val="FooterChar"/>
    <w:uiPriority w:val="99"/>
    <w:unhideWhenUsed/>
    <w:rsid w:val="00F24E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E84"/>
  </w:style>
  <w:style w:type="paragraph" w:styleId="ListParagraph">
    <w:name w:val="List Paragraph"/>
    <w:basedOn w:val="Normal"/>
    <w:uiPriority w:val="34"/>
    <w:qFormat/>
    <w:rsid w:val="00CB5EE4"/>
    <w:pPr>
      <w:ind w:left="720"/>
      <w:contextualSpacing/>
    </w:pPr>
  </w:style>
  <w:style w:type="paragraph" w:styleId="NormalWeb">
    <w:name w:val="Normal (Web)"/>
    <w:basedOn w:val="Normal"/>
    <w:uiPriority w:val="99"/>
    <w:semiHidden/>
    <w:unhideWhenUsed/>
    <w:rsid w:val="006241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A491E"/>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94146">
      <w:bodyDiv w:val="1"/>
      <w:marLeft w:val="0"/>
      <w:marRight w:val="0"/>
      <w:marTop w:val="0"/>
      <w:marBottom w:val="0"/>
      <w:divBdr>
        <w:top w:val="none" w:sz="0" w:space="0" w:color="auto"/>
        <w:left w:val="none" w:sz="0" w:space="0" w:color="auto"/>
        <w:bottom w:val="none" w:sz="0" w:space="0" w:color="auto"/>
        <w:right w:val="none" w:sz="0" w:space="0" w:color="auto"/>
      </w:divBdr>
    </w:div>
    <w:div w:id="123042262">
      <w:bodyDiv w:val="1"/>
      <w:marLeft w:val="0"/>
      <w:marRight w:val="0"/>
      <w:marTop w:val="0"/>
      <w:marBottom w:val="0"/>
      <w:divBdr>
        <w:top w:val="none" w:sz="0" w:space="0" w:color="auto"/>
        <w:left w:val="none" w:sz="0" w:space="0" w:color="auto"/>
        <w:bottom w:val="none" w:sz="0" w:space="0" w:color="auto"/>
        <w:right w:val="none" w:sz="0" w:space="0" w:color="auto"/>
      </w:divBdr>
    </w:div>
    <w:div w:id="310595963">
      <w:bodyDiv w:val="1"/>
      <w:marLeft w:val="0"/>
      <w:marRight w:val="0"/>
      <w:marTop w:val="0"/>
      <w:marBottom w:val="0"/>
      <w:divBdr>
        <w:top w:val="none" w:sz="0" w:space="0" w:color="auto"/>
        <w:left w:val="none" w:sz="0" w:space="0" w:color="auto"/>
        <w:bottom w:val="none" w:sz="0" w:space="0" w:color="auto"/>
        <w:right w:val="none" w:sz="0" w:space="0" w:color="auto"/>
      </w:divBdr>
    </w:div>
    <w:div w:id="348917194">
      <w:bodyDiv w:val="1"/>
      <w:marLeft w:val="0"/>
      <w:marRight w:val="0"/>
      <w:marTop w:val="0"/>
      <w:marBottom w:val="0"/>
      <w:divBdr>
        <w:top w:val="none" w:sz="0" w:space="0" w:color="auto"/>
        <w:left w:val="none" w:sz="0" w:space="0" w:color="auto"/>
        <w:bottom w:val="none" w:sz="0" w:space="0" w:color="auto"/>
        <w:right w:val="none" w:sz="0" w:space="0" w:color="auto"/>
      </w:divBdr>
    </w:div>
    <w:div w:id="429398023">
      <w:bodyDiv w:val="1"/>
      <w:marLeft w:val="0"/>
      <w:marRight w:val="0"/>
      <w:marTop w:val="0"/>
      <w:marBottom w:val="0"/>
      <w:divBdr>
        <w:top w:val="none" w:sz="0" w:space="0" w:color="auto"/>
        <w:left w:val="none" w:sz="0" w:space="0" w:color="auto"/>
        <w:bottom w:val="none" w:sz="0" w:space="0" w:color="auto"/>
        <w:right w:val="none" w:sz="0" w:space="0" w:color="auto"/>
      </w:divBdr>
    </w:div>
    <w:div w:id="442652503">
      <w:bodyDiv w:val="1"/>
      <w:marLeft w:val="0"/>
      <w:marRight w:val="0"/>
      <w:marTop w:val="0"/>
      <w:marBottom w:val="0"/>
      <w:divBdr>
        <w:top w:val="none" w:sz="0" w:space="0" w:color="auto"/>
        <w:left w:val="none" w:sz="0" w:space="0" w:color="auto"/>
        <w:bottom w:val="none" w:sz="0" w:space="0" w:color="auto"/>
        <w:right w:val="none" w:sz="0" w:space="0" w:color="auto"/>
      </w:divBdr>
    </w:div>
    <w:div w:id="598947581">
      <w:bodyDiv w:val="1"/>
      <w:marLeft w:val="0"/>
      <w:marRight w:val="0"/>
      <w:marTop w:val="0"/>
      <w:marBottom w:val="0"/>
      <w:divBdr>
        <w:top w:val="none" w:sz="0" w:space="0" w:color="auto"/>
        <w:left w:val="none" w:sz="0" w:space="0" w:color="auto"/>
        <w:bottom w:val="none" w:sz="0" w:space="0" w:color="auto"/>
        <w:right w:val="none" w:sz="0" w:space="0" w:color="auto"/>
      </w:divBdr>
    </w:div>
    <w:div w:id="697434121">
      <w:bodyDiv w:val="1"/>
      <w:marLeft w:val="0"/>
      <w:marRight w:val="0"/>
      <w:marTop w:val="0"/>
      <w:marBottom w:val="0"/>
      <w:divBdr>
        <w:top w:val="none" w:sz="0" w:space="0" w:color="auto"/>
        <w:left w:val="none" w:sz="0" w:space="0" w:color="auto"/>
        <w:bottom w:val="none" w:sz="0" w:space="0" w:color="auto"/>
        <w:right w:val="none" w:sz="0" w:space="0" w:color="auto"/>
      </w:divBdr>
    </w:div>
    <w:div w:id="800147375">
      <w:bodyDiv w:val="1"/>
      <w:marLeft w:val="0"/>
      <w:marRight w:val="0"/>
      <w:marTop w:val="0"/>
      <w:marBottom w:val="0"/>
      <w:divBdr>
        <w:top w:val="none" w:sz="0" w:space="0" w:color="auto"/>
        <w:left w:val="none" w:sz="0" w:space="0" w:color="auto"/>
        <w:bottom w:val="none" w:sz="0" w:space="0" w:color="auto"/>
        <w:right w:val="none" w:sz="0" w:space="0" w:color="auto"/>
      </w:divBdr>
    </w:div>
    <w:div w:id="828863553">
      <w:bodyDiv w:val="1"/>
      <w:marLeft w:val="0"/>
      <w:marRight w:val="0"/>
      <w:marTop w:val="0"/>
      <w:marBottom w:val="0"/>
      <w:divBdr>
        <w:top w:val="none" w:sz="0" w:space="0" w:color="auto"/>
        <w:left w:val="none" w:sz="0" w:space="0" w:color="auto"/>
        <w:bottom w:val="none" w:sz="0" w:space="0" w:color="auto"/>
        <w:right w:val="none" w:sz="0" w:space="0" w:color="auto"/>
      </w:divBdr>
    </w:div>
    <w:div w:id="1140615890">
      <w:bodyDiv w:val="1"/>
      <w:marLeft w:val="0"/>
      <w:marRight w:val="0"/>
      <w:marTop w:val="0"/>
      <w:marBottom w:val="0"/>
      <w:divBdr>
        <w:top w:val="none" w:sz="0" w:space="0" w:color="auto"/>
        <w:left w:val="none" w:sz="0" w:space="0" w:color="auto"/>
        <w:bottom w:val="none" w:sz="0" w:space="0" w:color="auto"/>
        <w:right w:val="none" w:sz="0" w:space="0" w:color="auto"/>
      </w:divBdr>
    </w:div>
    <w:div w:id="1213690879">
      <w:bodyDiv w:val="1"/>
      <w:marLeft w:val="0"/>
      <w:marRight w:val="0"/>
      <w:marTop w:val="0"/>
      <w:marBottom w:val="0"/>
      <w:divBdr>
        <w:top w:val="none" w:sz="0" w:space="0" w:color="auto"/>
        <w:left w:val="none" w:sz="0" w:space="0" w:color="auto"/>
        <w:bottom w:val="none" w:sz="0" w:space="0" w:color="auto"/>
        <w:right w:val="none" w:sz="0" w:space="0" w:color="auto"/>
      </w:divBdr>
    </w:div>
    <w:div w:id="1239826623">
      <w:bodyDiv w:val="1"/>
      <w:marLeft w:val="0"/>
      <w:marRight w:val="0"/>
      <w:marTop w:val="0"/>
      <w:marBottom w:val="0"/>
      <w:divBdr>
        <w:top w:val="none" w:sz="0" w:space="0" w:color="auto"/>
        <w:left w:val="none" w:sz="0" w:space="0" w:color="auto"/>
        <w:bottom w:val="none" w:sz="0" w:space="0" w:color="auto"/>
        <w:right w:val="none" w:sz="0" w:space="0" w:color="auto"/>
      </w:divBdr>
    </w:div>
    <w:div w:id="1487866000">
      <w:bodyDiv w:val="1"/>
      <w:marLeft w:val="0"/>
      <w:marRight w:val="0"/>
      <w:marTop w:val="0"/>
      <w:marBottom w:val="0"/>
      <w:divBdr>
        <w:top w:val="none" w:sz="0" w:space="0" w:color="auto"/>
        <w:left w:val="none" w:sz="0" w:space="0" w:color="auto"/>
        <w:bottom w:val="none" w:sz="0" w:space="0" w:color="auto"/>
        <w:right w:val="none" w:sz="0" w:space="0" w:color="auto"/>
      </w:divBdr>
      <w:divsChild>
        <w:div w:id="14038512">
          <w:marLeft w:val="720"/>
          <w:marRight w:val="0"/>
          <w:marTop w:val="0"/>
          <w:marBottom w:val="0"/>
          <w:divBdr>
            <w:top w:val="none" w:sz="0" w:space="0" w:color="auto"/>
            <w:left w:val="none" w:sz="0" w:space="0" w:color="auto"/>
            <w:bottom w:val="none" w:sz="0" w:space="0" w:color="auto"/>
            <w:right w:val="none" w:sz="0" w:space="0" w:color="auto"/>
          </w:divBdr>
        </w:div>
        <w:div w:id="428890582">
          <w:marLeft w:val="720"/>
          <w:marRight w:val="0"/>
          <w:marTop w:val="0"/>
          <w:marBottom w:val="0"/>
          <w:divBdr>
            <w:top w:val="none" w:sz="0" w:space="0" w:color="auto"/>
            <w:left w:val="none" w:sz="0" w:space="0" w:color="auto"/>
            <w:bottom w:val="none" w:sz="0" w:space="0" w:color="auto"/>
            <w:right w:val="none" w:sz="0" w:space="0" w:color="auto"/>
          </w:divBdr>
        </w:div>
        <w:div w:id="897742691">
          <w:marLeft w:val="720"/>
          <w:marRight w:val="0"/>
          <w:marTop w:val="0"/>
          <w:marBottom w:val="0"/>
          <w:divBdr>
            <w:top w:val="none" w:sz="0" w:space="0" w:color="auto"/>
            <w:left w:val="none" w:sz="0" w:space="0" w:color="auto"/>
            <w:bottom w:val="none" w:sz="0" w:space="0" w:color="auto"/>
            <w:right w:val="none" w:sz="0" w:space="0" w:color="auto"/>
          </w:divBdr>
        </w:div>
        <w:div w:id="1434861082">
          <w:marLeft w:val="720"/>
          <w:marRight w:val="0"/>
          <w:marTop w:val="0"/>
          <w:marBottom w:val="0"/>
          <w:divBdr>
            <w:top w:val="none" w:sz="0" w:space="0" w:color="auto"/>
            <w:left w:val="none" w:sz="0" w:space="0" w:color="auto"/>
            <w:bottom w:val="none" w:sz="0" w:space="0" w:color="auto"/>
            <w:right w:val="none" w:sz="0" w:space="0" w:color="auto"/>
          </w:divBdr>
        </w:div>
        <w:div w:id="1507479577">
          <w:marLeft w:val="720"/>
          <w:marRight w:val="0"/>
          <w:marTop w:val="0"/>
          <w:marBottom w:val="0"/>
          <w:divBdr>
            <w:top w:val="none" w:sz="0" w:space="0" w:color="auto"/>
            <w:left w:val="none" w:sz="0" w:space="0" w:color="auto"/>
            <w:bottom w:val="none" w:sz="0" w:space="0" w:color="auto"/>
            <w:right w:val="none" w:sz="0" w:space="0" w:color="auto"/>
          </w:divBdr>
        </w:div>
        <w:div w:id="1550266360">
          <w:marLeft w:val="720"/>
          <w:marRight w:val="0"/>
          <w:marTop w:val="0"/>
          <w:marBottom w:val="0"/>
          <w:divBdr>
            <w:top w:val="none" w:sz="0" w:space="0" w:color="auto"/>
            <w:left w:val="none" w:sz="0" w:space="0" w:color="auto"/>
            <w:bottom w:val="none" w:sz="0" w:space="0" w:color="auto"/>
            <w:right w:val="none" w:sz="0" w:space="0" w:color="auto"/>
          </w:divBdr>
        </w:div>
        <w:div w:id="1599950443">
          <w:marLeft w:val="720"/>
          <w:marRight w:val="0"/>
          <w:marTop w:val="0"/>
          <w:marBottom w:val="0"/>
          <w:divBdr>
            <w:top w:val="none" w:sz="0" w:space="0" w:color="auto"/>
            <w:left w:val="none" w:sz="0" w:space="0" w:color="auto"/>
            <w:bottom w:val="none" w:sz="0" w:space="0" w:color="auto"/>
            <w:right w:val="none" w:sz="0" w:space="0" w:color="auto"/>
          </w:divBdr>
        </w:div>
        <w:div w:id="1663463113">
          <w:marLeft w:val="720"/>
          <w:marRight w:val="0"/>
          <w:marTop w:val="0"/>
          <w:marBottom w:val="0"/>
          <w:divBdr>
            <w:top w:val="none" w:sz="0" w:space="0" w:color="auto"/>
            <w:left w:val="none" w:sz="0" w:space="0" w:color="auto"/>
            <w:bottom w:val="none" w:sz="0" w:space="0" w:color="auto"/>
            <w:right w:val="none" w:sz="0" w:space="0" w:color="auto"/>
          </w:divBdr>
        </w:div>
        <w:div w:id="1941177148">
          <w:marLeft w:val="720"/>
          <w:marRight w:val="0"/>
          <w:marTop w:val="0"/>
          <w:marBottom w:val="0"/>
          <w:divBdr>
            <w:top w:val="none" w:sz="0" w:space="0" w:color="auto"/>
            <w:left w:val="none" w:sz="0" w:space="0" w:color="auto"/>
            <w:bottom w:val="none" w:sz="0" w:space="0" w:color="auto"/>
            <w:right w:val="none" w:sz="0" w:space="0" w:color="auto"/>
          </w:divBdr>
        </w:div>
        <w:div w:id="2047170818">
          <w:marLeft w:val="720"/>
          <w:marRight w:val="0"/>
          <w:marTop w:val="0"/>
          <w:marBottom w:val="0"/>
          <w:divBdr>
            <w:top w:val="none" w:sz="0" w:space="0" w:color="auto"/>
            <w:left w:val="none" w:sz="0" w:space="0" w:color="auto"/>
            <w:bottom w:val="none" w:sz="0" w:space="0" w:color="auto"/>
            <w:right w:val="none" w:sz="0" w:space="0" w:color="auto"/>
          </w:divBdr>
        </w:div>
      </w:divsChild>
    </w:div>
    <w:div w:id="1520580624">
      <w:bodyDiv w:val="1"/>
      <w:marLeft w:val="0"/>
      <w:marRight w:val="0"/>
      <w:marTop w:val="0"/>
      <w:marBottom w:val="0"/>
      <w:divBdr>
        <w:top w:val="none" w:sz="0" w:space="0" w:color="auto"/>
        <w:left w:val="none" w:sz="0" w:space="0" w:color="auto"/>
        <w:bottom w:val="none" w:sz="0" w:space="0" w:color="auto"/>
        <w:right w:val="none" w:sz="0" w:space="0" w:color="auto"/>
      </w:divBdr>
    </w:div>
    <w:div w:id="1723361461">
      <w:bodyDiv w:val="1"/>
      <w:marLeft w:val="0"/>
      <w:marRight w:val="0"/>
      <w:marTop w:val="0"/>
      <w:marBottom w:val="0"/>
      <w:divBdr>
        <w:top w:val="none" w:sz="0" w:space="0" w:color="auto"/>
        <w:left w:val="none" w:sz="0" w:space="0" w:color="auto"/>
        <w:bottom w:val="none" w:sz="0" w:space="0" w:color="auto"/>
        <w:right w:val="none" w:sz="0" w:space="0" w:color="auto"/>
      </w:divBdr>
    </w:div>
    <w:div w:id="1760980434">
      <w:bodyDiv w:val="1"/>
      <w:marLeft w:val="0"/>
      <w:marRight w:val="0"/>
      <w:marTop w:val="0"/>
      <w:marBottom w:val="0"/>
      <w:divBdr>
        <w:top w:val="none" w:sz="0" w:space="0" w:color="auto"/>
        <w:left w:val="none" w:sz="0" w:space="0" w:color="auto"/>
        <w:bottom w:val="none" w:sz="0" w:space="0" w:color="auto"/>
        <w:right w:val="none" w:sz="0" w:space="0" w:color="auto"/>
      </w:divBdr>
    </w:div>
    <w:div w:id="1773085671">
      <w:bodyDiv w:val="1"/>
      <w:marLeft w:val="0"/>
      <w:marRight w:val="0"/>
      <w:marTop w:val="0"/>
      <w:marBottom w:val="0"/>
      <w:divBdr>
        <w:top w:val="none" w:sz="0" w:space="0" w:color="auto"/>
        <w:left w:val="none" w:sz="0" w:space="0" w:color="auto"/>
        <w:bottom w:val="none" w:sz="0" w:space="0" w:color="auto"/>
        <w:right w:val="none" w:sz="0" w:space="0" w:color="auto"/>
      </w:divBdr>
    </w:div>
    <w:div w:id="1928492295">
      <w:bodyDiv w:val="1"/>
      <w:marLeft w:val="0"/>
      <w:marRight w:val="0"/>
      <w:marTop w:val="0"/>
      <w:marBottom w:val="0"/>
      <w:divBdr>
        <w:top w:val="none" w:sz="0" w:space="0" w:color="auto"/>
        <w:left w:val="none" w:sz="0" w:space="0" w:color="auto"/>
        <w:bottom w:val="none" w:sz="0" w:space="0" w:color="auto"/>
        <w:right w:val="none" w:sz="0" w:space="0" w:color="auto"/>
      </w:divBdr>
    </w:div>
    <w:div w:id="213859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8</Pages>
  <Words>2683</Words>
  <Characters>15295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Hembrow</dc:creator>
  <cp:keywords/>
  <dc:description/>
  <cp:lastModifiedBy>Neil,Sharon swp3514</cp:lastModifiedBy>
  <cp:revision>4</cp:revision>
  <dcterms:created xsi:type="dcterms:W3CDTF">2023-01-11T09:41:00Z</dcterms:created>
  <dcterms:modified xsi:type="dcterms:W3CDTF">2023-01-12T07:51:00Z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c6e55a22-8463-40a8-aef1-926170b67f08</vt:lpwstr>
  </property>
  <property fmtid="{D5CDD505-2E9C-101B-9397-08002B2CF9AE}" pid="3" name="MSIP_Label_66cf8fe5-b7b7-4df7-b38d-1c61ac2f6639_Enabled">
    <vt:lpwstr>true</vt:lpwstr>
  </property>
  <property fmtid="{D5CDD505-2E9C-101B-9397-08002B2CF9AE}" pid="4" name="MSIP_Label_66cf8fe5-b7b7-4df7-b38d-1c61ac2f6639_SetDate">
    <vt:lpwstr>2023-01-11T09:41:29Z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1af1d47b-ee8f-4407-85d6-f48ff132e8a3</vt:lpwstr>
  </property>
  <property fmtid="{D5CDD505-2E9C-101B-9397-08002B2CF9AE}" pid="9" name="MSIP_Label_66cf8fe5-b7b7-4df7-b38d-1c61ac2f6639_ContentBits">
    <vt:lpwstr>0</vt:lpwstr>
  </property>
</Properties>
</file>