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Roboto" w:cs="Roboto" w:eastAsia="Roboto" w:hAnsi="Roboto"/>
          <w:b w:val="1"/>
        </w:rPr>
      </w:pPr>
      <w:r w:rsidDel="00000000" w:rsidR="00000000" w:rsidRPr="00000000">
        <w:rPr>
          <w:rFonts w:ascii="Roboto" w:cs="Roboto" w:eastAsia="Roboto" w:hAnsi="Roboto"/>
          <w:b w:val="1"/>
          <w:rtl w:val="0"/>
        </w:rPr>
        <w:t xml:space="preserve">1: Introduction</w:t>
      </w:r>
    </w:p>
    <w:p w:rsidR="00000000" w:rsidDel="00000000" w:rsidP="00000000" w:rsidRDefault="00000000" w:rsidRPr="00000000" w14:paraId="00000002">
      <w:pPr>
        <w:spacing w:line="360" w:lineRule="auto"/>
        <w:ind w:firstLine="720"/>
        <w:rPr>
          <w:rFonts w:ascii="Roboto" w:cs="Roboto" w:eastAsia="Roboto" w:hAnsi="Roboto"/>
        </w:rPr>
      </w:pPr>
      <w:r w:rsidDel="00000000" w:rsidR="00000000" w:rsidRPr="00000000">
        <w:rPr>
          <w:rFonts w:ascii="Roboto" w:cs="Roboto" w:eastAsia="Roboto" w:hAnsi="Roboto"/>
          <w:rtl w:val="0"/>
        </w:rPr>
        <w:t xml:space="preserve">This essay critically compares and contrasts two papers, Bennett, G. 1995. “If I Knew You Were Coming I'd Have Baked a Cake”: The Folklore of Foreknowledge in a Neighborhood Group. In Out of the Ordinary: Folklore and the Supernatural, edited by Barbara Walker, 122-142. Logan, Utah: Utah University Press. &amp; Blain, J. 2000. ‘Speaking Shamanistically: Seidr, Academia and Rationality.’ In DISKUS Volume 6 (2000). This essay will first contextualize each of the papers, explain their context and subject matter, and provide a brief biography of the authors. Then, the research methodologies, ethical concerns, and structure of the essays will be analyzed before concluding this essay with an analysis of their similarities and differences.</w:t>
      </w:r>
    </w:p>
    <w:p w:rsidR="00000000" w:rsidDel="00000000" w:rsidP="00000000" w:rsidRDefault="00000000" w:rsidRPr="00000000" w14:paraId="00000003">
      <w:pPr>
        <w:spacing w:line="360" w:lineRule="auto"/>
        <w:ind w:firstLine="720"/>
        <w:rPr>
          <w:rFonts w:ascii="Roboto" w:cs="Roboto" w:eastAsia="Roboto" w:hAnsi="Roboto"/>
        </w:rPr>
      </w:pPr>
      <w:r w:rsidDel="00000000" w:rsidR="00000000" w:rsidRPr="00000000">
        <w:rPr>
          <w:rtl w:val="0"/>
        </w:rPr>
      </w:r>
    </w:p>
    <w:p w:rsidR="00000000" w:rsidDel="00000000" w:rsidP="00000000" w:rsidRDefault="00000000" w:rsidRPr="00000000" w14:paraId="00000004">
      <w:pPr>
        <w:spacing w:line="360" w:lineRule="auto"/>
        <w:rPr>
          <w:rFonts w:ascii="Roboto" w:cs="Roboto" w:eastAsia="Roboto" w:hAnsi="Roboto"/>
          <w:b w:val="1"/>
        </w:rPr>
      </w:pPr>
      <w:r w:rsidDel="00000000" w:rsidR="00000000" w:rsidRPr="00000000">
        <w:rPr>
          <w:rFonts w:ascii="Roboto" w:cs="Roboto" w:eastAsia="Roboto" w:hAnsi="Roboto"/>
          <w:b w:val="1"/>
          <w:rtl w:val="0"/>
        </w:rPr>
        <w:t xml:space="preserve">2: Essays Contextualized</w:t>
      </w:r>
    </w:p>
    <w:p w:rsidR="00000000" w:rsidDel="00000000" w:rsidP="00000000" w:rsidRDefault="00000000" w:rsidRPr="00000000" w14:paraId="00000005">
      <w:pPr>
        <w:spacing w:line="360" w:lineRule="auto"/>
        <w:rPr>
          <w:rFonts w:ascii="Roboto" w:cs="Roboto" w:eastAsia="Roboto" w:hAnsi="Roboto"/>
          <w:b w:val="1"/>
          <w:u w:val="single"/>
        </w:rPr>
      </w:pPr>
      <w:r w:rsidDel="00000000" w:rsidR="00000000" w:rsidRPr="00000000">
        <w:rPr>
          <w:rFonts w:ascii="Roboto" w:cs="Roboto" w:eastAsia="Roboto" w:hAnsi="Roboto"/>
          <w:b w:val="1"/>
          <w:u w:val="single"/>
          <w:rtl w:val="0"/>
        </w:rPr>
        <w:t xml:space="preserve">Gillian Bennett’s</w:t>
      </w:r>
      <w:r w:rsidDel="00000000" w:rsidR="00000000" w:rsidRPr="00000000">
        <w:rPr>
          <w:rFonts w:ascii="Roboto" w:cs="Roboto" w:eastAsia="Roboto" w:hAnsi="Roboto"/>
          <w:b w:val="1"/>
          <w:color w:val="000000"/>
          <w:u w:val="single"/>
          <w:rtl w:val="0"/>
        </w:rPr>
        <w:t xml:space="preserve">The Folklore of Foreknowledge in a Neighborhood Group. In Out of the Ordinary: Folklore and the Supernatural</w:t>
      </w:r>
      <w:r w:rsidDel="00000000" w:rsidR="00000000" w:rsidRPr="00000000">
        <w:rPr>
          <w:rFonts w:ascii="Roboto" w:cs="Roboto" w:eastAsia="Roboto" w:hAnsi="Roboto"/>
          <w:b w:val="1"/>
          <w:u w:val="single"/>
          <w:rtl w:val="0"/>
        </w:rPr>
        <w:t xml:space="preserve"> </w:t>
      </w:r>
    </w:p>
    <w:p w:rsidR="00000000" w:rsidDel="00000000" w:rsidP="00000000" w:rsidRDefault="00000000" w:rsidRPr="00000000" w14:paraId="00000006">
      <w:pPr>
        <w:spacing w:line="360" w:lineRule="auto"/>
        <w:rPr>
          <w:rFonts w:ascii="Roboto" w:cs="Roboto" w:eastAsia="Roboto" w:hAnsi="Roboto"/>
          <w:i w:val="1"/>
          <w:u w:val="single"/>
        </w:rPr>
      </w:pPr>
      <w:r w:rsidDel="00000000" w:rsidR="00000000" w:rsidRPr="00000000">
        <w:rPr>
          <w:rFonts w:ascii="Roboto" w:cs="Roboto" w:eastAsia="Roboto" w:hAnsi="Roboto"/>
          <w:u w:val="single"/>
          <w:rtl w:val="0"/>
        </w:rPr>
        <w:t xml:space="preserve">Bennett: Brief Biography</w:t>
      </w:r>
      <w:r w:rsidDel="00000000" w:rsidR="00000000" w:rsidRPr="00000000">
        <w:rPr>
          <w:rtl w:val="0"/>
        </w:rPr>
      </w:r>
    </w:p>
    <w:p w:rsidR="00000000" w:rsidDel="00000000" w:rsidP="00000000" w:rsidRDefault="00000000" w:rsidRPr="00000000" w14:paraId="00000007">
      <w:pPr>
        <w:spacing w:line="360" w:lineRule="auto"/>
        <w:ind w:firstLine="720"/>
        <w:rPr>
          <w:rFonts w:ascii="Roboto" w:cs="Roboto" w:eastAsia="Roboto" w:hAnsi="Roboto"/>
        </w:rPr>
      </w:pPr>
      <w:r w:rsidDel="00000000" w:rsidR="00000000" w:rsidRPr="00000000">
        <w:rPr>
          <w:rFonts w:ascii="Roboto" w:cs="Roboto" w:eastAsia="Roboto" w:hAnsi="Roboto"/>
          <w:rtl w:val="0"/>
        </w:rPr>
        <w:t xml:space="preserve">Dr. Gillian Bennett is a folklorist whose work focuses on retelling and analyzing the accounts of individuals, primarily women, and their relationships with spiritual and supernatural experiences. She uses these studies to draw conclusions on how folklore influences our understanding of cultural traditions and how people experience them in a contemporary context. Her work was most prolific in the late 1990s and the early 2000s.</w:t>
      </w:r>
    </w:p>
    <w:p w:rsidR="00000000" w:rsidDel="00000000" w:rsidP="00000000" w:rsidRDefault="00000000" w:rsidRPr="00000000" w14:paraId="00000008">
      <w:pPr>
        <w:spacing w:line="360" w:lineRule="auto"/>
        <w:ind w:firstLine="720"/>
        <w:rPr>
          <w:rFonts w:ascii="Roboto" w:cs="Roboto" w:eastAsia="Roboto" w:hAnsi="Roboto"/>
          <w:u w:val="single"/>
        </w:rPr>
      </w:pPr>
      <w:r w:rsidDel="00000000" w:rsidR="00000000" w:rsidRPr="00000000">
        <w:rPr>
          <w:rFonts w:ascii="Roboto" w:cs="Roboto" w:eastAsia="Roboto" w:hAnsi="Roboto"/>
          <w:rtl w:val="0"/>
        </w:rPr>
        <w:t xml:space="preserve">The paper by Bennett explores the parallels between traditional folklore surrounding the idea of “foreknowledge” among elderly women in her hometown. In her words ‘“The focus of this essay is this "common consent and agreement" about knowledge of the future, as it is understood by a group of elderly women in my hometown, and how I believe that the women's social situa­tion and moral code shape the folklore that they share.’ (Bennett, 122.) Bennett’s paper is part of a more extensive collection of essays in a book that explores the various supernatural experiences across multiple cultures and how those experiences inform the more considerable academic understanding of belief in the supernatural across various traditions.</w:t>
      </w:r>
      <w:r w:rsidDel="00000000" w:rsidR="00000000" w:rsidRPr="00000000">
        <w:rPr>
          <w:rtl w:val="0"/>
        </w:rPr>
      </w:r>
    </w:p>
    <w:p w:rsidR="00000000" w:rsidDel="00000000" w:rsidP="00000000" w:rsidRDefault="00000000" w:rsidRPr="00000000" w14:paraId="00000009">
      <w:pPr>
        <w:spacing w:line="360" w:lineRule="auto"/>
        <w:rPr>
          <w:rFonts w:ascii="Roboto" w:cs="Roboto" w:eastAsia="Roboto" w:hAnsi="Roboto"/>
          <w:u w:val="single"/>
        </w:rPr>
      </w:pPr>
      <w:r w:rsidDel="00000000" w:rsidR="00000000" w:rsidRPr="00000000">
        <w:rPr>
          <w:rtl w:val="0"/>
        </w:rPr>
      </w:r>
    </w:p>
    <w:p w:rsidR="00000000" w:rsidDel="00000000" w:rsidP="00000000" w:rsidRDefault="00000000" w:rsidRPr="00000000" w14:paraId="0000000A">
      <w:pPr>
        <w:spacing w:line="360" w:lineRule="auto"/>
        <w:rPr>
          <w:rFonts w:ascii="Roboto" w:cs="Roboto" w:eastAsia="Roboto" w:hAnsi="Roboto"/>
        </w:rPr>
      </w:pPr>
      <w:r w:rsidDel="00000000" w:rsidR="00000000" w:rsidRPr="00000000">
        <w:rPr>
          <w:rFonts w:ascii="Roboto" w:cs="Roboto" w:eastAsia="Roboto" w:hAnsi="Roboto"/>
          <w:u w:val="single"/>
          <w:rtl w:val="0"/>
        </w:rPr>
        <w:t xml:space="preserve">Bennett: Methodologies </w:t>
      </w:r>
      <w:r w:rsidDel="00000000" w:rsidR="00000000" w:rsidRPr="00000000">
        <w:rPr>
          <w:rtl w:val="0"/>
        </w:rPr>
      </w:r>
    </w:p>
    <w:p w:rsidR="00000000" w:rsidDel="00000000" w:rsidP="00000000" w:rsidRDefault="00000000" w:rsidRPr="00000000" w14:paraId="0000000B">
      <w:pPr>
        <w:spacing w:line="360" w:lineRule="auto"/>
        <w:ind w:left="0" w:firstLine="720"/>
        <w:rPr>
          <w:rFonts w:ascii="Roboto" w:cs="Roboto" w:eastAsia="Roboto" w:hAnsi="Roboto"/>
        </w:rPr>
      </w:pPr>
      <w:r w:rsidDel="00000000" w:rsidR="00000000" w:rsidRPr="00000000">
        <w:rPr>
          <w:rFonts w:ascii="Roboto" w:cs="Roboto" w:eastAsia="Roboto" w:hAnsi="Roboto"/>
          <w:rtl w:val="0"/>
        </w:rPr>
        <w:t xml:space="preserve">Bennett uses a mixed methodological approach to her research, but the paper primarily uses qualitative methods and data. </w:t>
      </w:r>
      <w:r w:rsidDel="00000000" w:rsidR="00000000" w:rsidRPr="00000000">
        <w:rPr>
          <w:rFonts w:ascii="Roboto" w:cs="Roboto" w:eastAsia="Roboto" w:hAnsi="Roboto"/>
          <w:rtl w:val="0"/>
        </w:rPr>
        <w:t xml:space="preserve">Using a mixed methodology “enables you to gain an in-depth understanding (from the qualitative methods) as well as the ability to generalize your findings to a larger population (from the quantitative methods)” (Henninik et al., 2011, p. 42). Bennett notes that “over the course of five months,” she conducted interviews at her father’s podiatry office, which formed her “homogeneous social and cultural group based on the local neighborhood” and did so “with their permission” (Bennett, 127). She notes, "I simply sat in on their treatment, told them what I was researching and how I was planning to use the material, and recorded everything that was said” (Bennett, 127). Bennet does not explicitly explain what questions she asked during the interview and whether she used structured or semi-structured questions, which is one of the pitfalls of her explanation of her methodologies. Still, by choosing to conduct interviews, she can “capture people’s individual voices and stories,” which “reinforces the purposes of gaining a detailed insight into the research issues from the perspective of the study participants themselves” (Henninik et al., 2011, pp. 116-117). </w:t>
      </w:r>
    </w:p>
    <w:p w:rsidR="00000000" w:rsidDel="00000000" w:rsidP="00000000" w:rsidRDefault="00000000" w:rsidRPr="00000000" w14:paraId="0000000C">
      <w:pPr>
        <w:spacing w:line="360" w:lineRule="auto"/>
        <w:ind w:left="0" w:firstLine="720"/>
        <w:rPr>
          <w:rFonts w:ascii="Roboto" w:cs="Roboto" w:eastAsia="Roboto" w:hAnsi="Roboto"/>
        </w:rPr>
      </w:pPr>
      <w:r w:rsidDel="00000000" w:rsidR="00000000" w:rsidRPr="00000000">
        <w:rPr>
          <w:rFonts w:ascii="Roboto" w:cs="Roboto" w:eastAsia="Roboto" w:hAnsi="Roboto"/>
          <w:rtl w:val="0"/>
        </w:rPr>
        <w:t xml:space="preserve">Bennett notes that she “interviewed 120 people of both sexes and all ages from sixteen to ninety-five” (Bennett, 127). From her interviews, she chose to limit the data analysis for this paper to female respondents over the age of “sixty to ninety-five years of age” (Bennett, 127) because the majority of respondents (ninety-six of the 120) were part of that demographic. She does not indicate that she provided her participants with a questionnaire to determine their demographics but rather that her “father was able to give [her] at least a minimum of demographic information… their approximate age, their marital status, and their domestic circumstances” (Bennett, 127). Bennett also uses these quantitative data points, which include statistics about larger demographic belief systems. She compares the responses of the varying demographics she interviewed at the end of her paper to answer the question, “How far are the beliefs [she] described as part of the folklore of a neighborhood group of elderly women common to other social groups,” (Bennett, 140).</w:t>
      </w:r>
    </w:p>
    <w:p w:rsidR="00000000" w:rsidDel="00000000" w:rsidP="00000000" w:rsidRDefault="00000000" w:rsidRPr="00000000" w14:paraId="0000000D">
      <w:pPr>
        <w:spacing w:line="360" w:lineRule="auto"/>
        <w:ind w:left="0" w:firstLine="720"/>
        <w:rPr>
          <w:rFonts w:ascii="Roboto" w:cs="Roboto" w:eastAsia="Roboto" w:hAnsi="Roboto"/>
        </w:rPr>
      </w:pPr>
      <w:r w:rsidDel="00000000" w:rsidR="00000000" w:rsidRPr="00000000">
        <w:rPr>
          <w:rFonts w:ascii="Roboto" w:cs="Roboto" w:eastAsia="Roboto" w:hAnsi="Roboto"/>
          <w:rtl w:val="0"/>
        </w:rPr>
        <w:t xml:space="preserve">Using qualitative and quantitative data, Bennett can add context to the stories she told and draw deeper connections to social groups outside of the leading group she studied. This is beneficial because she can “attribute qualitative findings to different population groups,” (Henninik et al., 2011, p. 45). Bennett addresses this directly, indicating that “my work permits only an impressionistic discussion of this question, but some trends are nevertheless discernible and would be worth following up in a subsequent study” (Bennett, 140). </w:t>
      </w:r>
      <w:r w:rsidDel="00000000" w:rsidR="00000000" w:rsidRPr="00000000">
        <w:rPr>
          <w:rtl w:val="0"/>
        </w:rPr>
      </w:r>
    </w:p>
    <w:p w:rsidR="00000000" w:rsidDel="00000000" w:rsidP="00000000" w:rsidRDefault="00000000" w:rsidRPr="00000000" w14:paraId="0000000E">
      <w:pPr>
        <w:spacing w:line="360" w:lineRule="auto"/>
        <w:rPr>
          <w:rFonts w:ascii="Roboto" w:cs="Roboto" w:eastAsia="Roboto" w:hAnsi="Roboto"/>
          <w:u w:val="single"/>
        </w:rPr>
      </w:pPr>
      <w:r w:rsidDel="00000000" w:rsidR="00000000" w:rsidRPr="00000000">
        <w:rPr>
          <w:rtl w:val="0"/>
        </w:rPr>
      </w:r>
    </w:p>
    <w:p w:rsidR="00000000" w:rsidDel="00000000" w:rsidP="00000000" w:rsidRDefault="00000000" w:rsidRPr="00000000" w14:paraId="0000000F">
      <w:pPr>
        <w:spacing w:line="360" w:lineRule="auto"/>
        <w:rPr>
          <w:rFonts w:ascii="Roboto" w:cs="Roboto" w:eastAsia="Roboto" w:hAnsi="Roboto"/>
          <w:u w:val="single"/>
        </w:rPr>
      </w:pPr>
      <w:r w:rsidDel="00000000" w:rsidR="00000000" w:rsidRPr="00000000">
        <w:rPr>
          <w:rFonts w:ascii="Roboto" w:cs="Roboto" w:eastAsia="Roboto" w:hAnsi="Roboto"/>
          <w:u w:val="single"/>
          <w:rtl w:val="0"/>
        </w:rPr>
        <w:t xml:space="preserve">Bennett: Ethical Considerations </w:t>
      </w:r>
    </w:p>
    <w:p w:rsidR="00000000" w:rsidDel="00000000" w:rsidP="00000000" w:rsidRDefault="00000000" w:rsidRPr="00000000" w14:paraId="00000010">
      <w:pPr>
        <w:spacing w:line="360" w:lineRule="auto"/>
        <w:ind w:left="0" w:firstLine="720"/>
        <w:rPr>
          <w:rFonts w:ascii="Roboto" w:cs="Roboto" w:eastAsia="Roboto" w:hAnsi="Roboto"/>
        </w:rPr>
      </w:pPr>
      <w:r w:rsidDel="00000000" w:rsidR="00000000" w:rsidRPr="00000000">
        <w:rPr>
          <w:rFonts w:ascii="Roboto" w:cs="Roboto" w:eastAsia="Roboto" w:hAnsi="Roboto"/>
          <w:rtl w:val="0"/>
        </w:rPr>
        <w:t xml:space="preserve">On the issue of reflexivity, Bennett explains her relationship with her participants at the beginning of the paper by stating, “the focus of this essay is this “common consent and agreement” about knowledge of the future… by a group of elderly women in my own hometown,” (Bennett, 122). Though Bennett has an “awareness of [her] role in the practice of the research… enabling [her] to acknowledge the way in which she affects both the research process and outcomes,” she does not explicitly address steps that she took beyond acknowledging that these women come from her hometown (Haynes, 72). The lack of acknowledgment of her role in the study raises concerns because “reflexivity goes beyond a simple reflection on the research process and its outcomes, to incorporate multiple layers and levels of reflection within the research” (Haynes, 73). Additionally, Bennett does not address whether she is approaching this paper through an insider or outsider perspective. However, the repeated mention of “elder women” and her understanding of their colloquialisms being “considerably vaguer and more general” leads me to conclude that she is not entirely an insider, as her understanding of the language these informants are using is outside of her realm of colloquial understanding (Bennett, 130). </w:t>
      </w:r>
    </w:p>
    <w:p w:rsidR="00000000" w:rsidDel="00000000" w:rsidP="00000000" w:rsidRDefault="00000000" w:rsidRPr="00000000" w14:paraId="00000011">
      <w:pPr>
        <w:spacing w:line="360" w:lineRule="auto"/>
        <w:ind w:left="0" w:firstLine="720"/>
        <w:rPr>
          <w:rFonts w:ascii="Roboto" w:cs="Roboto" w:eastAsia="Roboto" w:hAnsi="Roboto"/>
        </w:rPr>
      </w:pPr>
      <w:r w:rsidDel="00000000" w:rsidR="00000000" w:rsidRPr="00000000">
        <w:rPr>
          <w:rFonts w:ascii="Roboto" w:cs="Roboto" w:eastAsia="Roboto" w:hAnsi="Roboto"/>
          <w:rtl w:val="0"/>
        </w:rPr>
        <w:t xml:space="preserve">When conducting her research, Bennett notes that “with their permission, I simply sat in on their treatment, told them what I was researching and how I was planning to use the material, and recorded everything that was said” (Bennett 127). This statement and the knowledge that she conducted her research at her father's clinical office during a client's treatment left me with a few questions. 1) Were the participants informed that she would attend their treatment, or was she in the room upon arrival? 2) Was there any feelings of coercion from the respondents that they </w:t>
      </w:r>
      <w:r w:rsidDel="00000000" w:rsidR="00000000" w:rsidRPr="00000000">
        <w:rPr>
          <w:rFonts w:ascii="Roboto" w:cs="Roboto" w:eastAsia="Roboto" w:hAnsi="Roboto"/>
          <w:i w:val="1"/>
          <w:rtl w:val="0"/>
        </w:rPr>
        <w:t xml:space="preserve">should </w:t>
      </w:r>
      <w:r w:rsidDel="00000000" w:rsidR="00000000" w:rsidRPr="00000000">
        <w:rPr>
          <w:rFonts w:ascii="Roboto" w:cs="Roboto" w:eastAsia="Roboto" w:hAnsi="Roboto"/>
          <w:rtl w:val="0"/>
        </w:rPr>
        <w:t xml:space="preserve">respond, given that she is the daughter of their medical caretaker? 3) Were the interviews conducted after the participants received their treatment? As this could intrude on their privacy regarding medical diagnoses. Though Bennett notes this is done “with their permission,” it is unclear exactly how she addressed these ethical concerns or even her reflexive positioning in the research study.</w:t>
      </w:r>
      <w:r w:rsidDel="00000000" w:rsidR="00000000" w:rsidRPr="00000000">
        <w:rPr>
          <w:rtl w:val="0"/>
        </w:rPr>
      </w:r>
    </w:p>
    <w:p w:rsidR="00000000" w:rsidDel="00000000" w:rsidP="00000000" w:rsidRDefault="00000000" w:rsidRPr="00000000" w14:paraId="00000012">
      <w:pPr>
        <w:spacing w:line="360" w:lineRule="auto"/>
        <w:ind w:left="0" w:firstLine="0"/>
        <w:rPr>
          <w:rFonts w:ascii="Roboto" w:cs="Roboto" w:eastAsia="Roboto" w:hAnsi="Roboto"/>
        </w:rPr>
      </w:pPr>
      <w:r w:rsidDel="00000000" w:rsidR="00000000" w:rsidRPr="00000000">
        <w:rPr>
          <w:rFonts w:ascii="Roboto" w:cs="Roboto" w:eastAsia="Roboto" w:hAnsi="Roboto"/>
          <w:rtl w:val="0"/>
        </w:rPr>
        <w:tab/>
        <w:t xml:space="preserve">Furthermore, when reporting her findings, Bennett uses aliases to protect the identities of her participants. The use of aliases covers the need for anonymity: "all identifiable information is removed from the interview transcript, or quotations used from it so that no individual participant can be identified from these documents” (Henninik et al., 2011, p. 79). Given this definition, one concern is that in quoting her respondents, it is unclear if Bennett also uses aliases for the individuals referenced by her participants. For example, in her interview with Barbara, she quotes Barabara: “And when we got home from this holiday – we were staying at Marlborough – I called over our next door neighbor to say we were home, you see, and a strange voice answered me, ‘Oh, do you know Mrs. Warburton’” (Bennett 131). The inclusion of “Mrs. Warburton left me with questions about whether or not this would reveal who Barabara was to any of the participants because this study was conducted within a community.</w:t>
      </w:r>
    </w:p>
    <w:p w:rsidR="00000000" w:rsidDel="00000000" w:rsidP="00000000" w:rsidRDefault="00000000" w:rsidRPr="00000000" w14:paraId="00000013">
      <w:pPr>
        <w:spacing w:line="360" w:lineRule="auto"/>
        <w:ind w:left="0" w:firstLine="0"/>
        <w:rPr>
          <w:rFonts w:ascii="Roboto" w:cs="Roboto" w:eastAsia="Roboto" w:hAnsi="Roboto"/>
        </w:rPr>
      </w:pPr>
      <w:r w:rsidDel="00000000" w:rsidR="00000000" w:rsidRPr="00000000">
        <w:rPr>
          <w:rFonts w:ascii="Roboto" w:cs="Roboto" w:eastAsia="Roboto" w:hAnsi="Roboto"/>
          <w:rtl w:val="0"/>
        </w:rPr>
        <w:tab/>
        <w:t xml:space="preserve">Bennett does not explicitly explain how she addressed any ethical concerns that may have arisen during the research process. Though she indicates that consent was received and aliases were used, it is unclear what steps she took to reduce further harm or bias and keep total anonymity. Though it is implied that no damage was done, an explanation of the steps she took and her understanding of her role as the researcher researching her community would have been beneficial for understanding the potential biases during the research study.</w:t>
      </w:r>
      <w:r w:rsidDel="00000000" w:rsidR="00000000" w:rsidRPr="00000000">
        <w:rPr>
          <w:rFonts w:ascii="Roboto" w:cs="Roboto" w:eastAsia="Roboto" w:hAnsi="Roboto"/>
          <w:rtl w:val="0"/>
        </w:rPr>
        <w:tab/>
      </w:r>
    </w:p>
    <w:p w:rsidR="00000000" w:rsidDel="00000000" w:rsidP="00000000" w:rsidRDefault="00000000" w:rsidRPr="00000000" w14:paraId="00000014">
      <w:pPr>
        <w:spacing w:line="360" w:lineRule="auto"/>
        <w:rPr>
          <w:rFonts w:ascii="Roboto" w:cs="Roboto" w:eastAsia="Roboto" w:hAnsi="Roboto"/>
        </w:rPr>
      </w:pPr>
      <w:r w:rsidDel="00000000" w:rsidR="00000000" w:rsidRPr="00000000">
        <w:rPr>
          <w:rtl w:val="0"/>
        </w:rPr>
      </w:r>
    </w:p>
    <w:p w:rsidR="00000000" w:rsidDel="00000000" w:rsidP="00000000" w:rsidRDefault="00000000" w:rsidRPr="00000000" w14:paraId="00000015">
      <w:pPr>
        <w:spacing w:line="360" w:lineRule="auto"/>
        <w:rPr>
          <w:rFonts w:ascii="Roboto" w:cs="Roboto" w:eastAsia="Roboto" w:hAnsi="Roboto"/>
          <w:u w:val="single"/>
        </w:rPr>
      </w:pPr>
      <w:r w:rsidDel="00000000" w:rsidR="00000000" w:rsidRPr="00000000">
        <w:rPr>
          <w:rFonts w:ascii="Roboto" w:cs="Roboto" w:eastAsia="Roboto" w:hAnsi="Roboto"/>
          <w:u w:val="single"/>
          <w:rtl w:val="0"/>
        </w:rPr>
        <w:t xml:space="preserve">Bennett: Structure &amp; Literary Review </w:t>
      </w:r>
      <w:r w:rsidDel="00000000" w:rsidR="00000000" w:rsidRPr="00000000">
        <w:rPr>
          <w:rtl w:val="0"/>
        </w:rPr>
      </w:r>
    </w:p>
    <w:p w:rsidR="00000000" w:rsidDel="00000000" w:rsidP="00000000" w:rsidRDefault="00000000" w:rsidRPr="00000000" w14:paraId="00000016">
      <w:pPr>
        <w:spacing w:line="360" w:lineRule="auto"/>
        <w:rPr>
          <w:rFonts w:ascii="Roboto" w:cs="Roboto" w:eastAsia="Roboto" w:hAnsi="Roboto"/>
        </w:rPr>
      </w:pPr>
      <w:r w:rsidDel="00000000" w:rsidR="00000000" w:rsidRPr="00000000">
        <w:rPr>
          <w:rFonts w:ascii="Roboto" w:cs="Roboto" w:eastAsia="Roboto" w:hAnsi="Roboto"/>
          <w:rtl w:val="0"/>
        </w:rPr>
        <w:tab/>
        <w:t xml:space="preserve">Bennett’s structure is laid out quite plainly at the beginning of the paper. She says, “I want to begin rather obliquely, however first looking at traditions to get a historical perspective on the present, and then, by way of further contextualization, describing my research strategy and the study group members themselves” (Bennett 122). From this statement, Bennet then lays out the paper with several subheaders, including Historical Perspective, Research Context, Beliefs &amp; Stories about Knowing the Future, Traditional Values &amp; Roles, Negative Aspects of Psychic Powers, and Conclusion. Bennett’s structure coincides with the “Typical Structure of an academic report,” as laid out by Henninik, which typically includes an “abstract, background, methods, results, discussion, conclusion, acknowledgments, and references” (Henninik et al., 2011, p. 295).</w:t>
      </w:r>
    </w:p>
    <w:p w:rsidR="00000000" w:rsidDel="00000000" w:rsidP="00000000" w:rsidRDefault="00000000" w:rsidRPr="00000000" w14:paraId="00000017">
      <w:pPr>
        <w:spacing w:line="360" w:lineRule="auto"/>
        <w:rPr>
          <w:rFonts w:ascii="Roboto" w:cs="Roboto" w:eastAsia="Roboto" w:hAnsi="Roboto"/>
        </w:rPr>
      </w:pPr>
      <w:r w:rsidDel="00000000" w:rsidR="00000000" w:rsidRPr="00000000">
        <w:rPr>
          <w:rFonts w:ascii="Roboto" w:cs="Roboto" w:eastAsia="Roboto" w:hAnsi="Roboto"/>
          <w:rtl w:val="0"/>
        </w:rPr>
        <w:tab/>
        <w:t xml:space="preserve">Regarding her literary review, Bennett uses the section “Historial Perspective” to review </w:t>
      </w:r>
      <w:r w:rsidDel="00000000" w:rsidR="00000000" w:rsidRPr="00000000">
        <w:rPr>
          <w:rFonts w:ascii="Roboto" w:cs="Roboto" w:eastAsia="Roboto" w:hAnsi="Roboto"/>
          <w:i w:val="1"/>
          <w:rtl w:val="0"/>
        </w:rPr>
        <w:t xml:space="preserve">Miscellanies </w:t>
      </w:r>
      <w:r w:rsidDel="00000000" w:rsidR="00000000" w:rsidRPr="00000000">
        <w:rPr>
          <w:rFonts w:ascii="Roboto" w:cs="Roboto" w:eastAsia="Roboto" w:hAnsi="Roboto"/>
          <w:rtl w:val="0"/>
        </w:rPr>
        <w:t xml:space="preserve">by antiquarian John Aubrey, an inventory of contemporary omens by Francis Grose, the work of folklorist William Henderson, a collection of narratives by Catherine Crowe, and several quantitative surveys conducted in the United Kingdom and the United States to give a baseline understanding of how a traditional sense of foreknowledge is reflected in her participants (Bennett 123-124). Through this, Bennett explains how elderly women experience internal and external foreknowledge – internal being through premonitions, omens, and feelings and external being through divination tools such as palmistry, astrology, and fortune telling. It is unclear how this research directly influenced her fieldwork regarding the questions she asked her participants because she never explicitly shared those. Still, she uses historical examples of supernatural experiences to parallel the experiences of the elderly women in her study.</w:t>
      </w:r>
    </w:p>
    <w:p w:rsidR="00000000" w:rsidDel="00000000" w:rsidP="00000000" w:rsidRDefault="00000000" w:rsidRPr="00000000" w14:paraId="00000018">
      <w:pPr>
        <w:spacing w:line="360" w:lineRule="auto"/>
        <w:rPr>
          <w:rFonts w:ascii="Roboto" w:cs="Roboto" w:eastAsia="Roboto" w:hAnsi="Roboto"/>
        </w:rPr>
      </w:pPr>
      <w:r w:rsidDel="00000000" w:rsidR="00000000" w:rsidRPr="00000000">
        <w:rPr>
          <w:rtl w:val="0"/>
        </w:rPr>
      </w:r>
    </w:p>
    <w:p w:rsidR="00000000" w:rsidDel="00000000" w:rsidP="00000000" w:rsidRDefault="00000000" w:rsidRPr="00000000" w14:paraId="00000019">
      <w:pPr>
        <w:spacing w:line="360" w:lineRule="auto"/>
        <w:rPr>
          <w:rFonts w:ascii="Roboto" w:cs="Roboto" w:eastAsia="Roboto" w:hAnsi="Roboto"/>
          <w:b w:val="1"/>
          <w:u w:val="single"/>
        </w:rPr>
      </w:pPr>
      <w:r w:rsidDel="00000000" w:rsidR="00000000" w:rsidRPr="00000000">
        <w:rPr>
          <w:rFonts w:ascii="Roboto" w:cs="Roboto" w:eastAsia="Roboto" w:hAnsi="Roboto"/>
          <w:b w:val="1"/>
          <w:u w:val="single"/>
          <w:rtl w:val="0"/>
        </w:rPr>
        <w:t xml:space="preserve">Jenny Blain’s Speaking Shamanistically: Seidr, Academia &amp; Rationality </w:t>
      </w:r>
    </w:p>
    <w:p w:rsidR="00000000" w:rsidDel="00000000" w:rsidP="00000000" w:rsidRDefault="00000000" w:rsidRPr="00000000" w14:paraId="0000001A">
      <w:pPr>
        <w:spacing w:line="360" w:lineRule="auto"/>
        <w:rPr>
          <w:rFonts w:ascii="Roboto" w:cs="Roboto" w:eastAsia="Roboto" w:hAnsi="Roboto"/>
          <w:b w:val="1"/>
          <w:u w:val="single"/>
        </w:rPr>
      </w:pPr>
      <w:r w:rsidDel="00000000" w:rsidR="00000000" w:rsidRPr="00000000">
        <w:rPr>
          <w:rtl w:val="0"/>
        </w:rPr>
      </w:r>
    </w:p>
    <w:p w:rsidR="00000000" w:rsidDel="00000000" w:rsidP="00000000" w:rsidRDefault="00000000" w:rsidRPr="00000000" w14:paraId="0000001B">
      <w:pPr>
        <w:spacing w:line="360" w:lineRule="auto"/>
        <w:rPr>
          <w:rFonts w:ascii="Roboto" w:cs="Roboto" w:eastAsia="Roboto" w:hAnsi="Roboto"/>
          <w:u w:val="single"/>
        </w:rPr>
      </w:pPr>
      <w:r w:rsidDel="00000000" w:rsidR="00000000" w:rsidRPr="00000000">
        <w:rPr>
          <w:rFonts w:ascii="Roboto" w:cs="Roboto" w:eastAsia="Roboto" w:hAnsi="Roboto"/>
          <w:u w:val="single"/>
          <w:rtl w:val="0"/>
        </w:rPr>
        <w:t xml:space="preserve">Blain: Brief Biography</w:t>
      </w:r>
    </w:p>
    <w:p w:rsidR="00000000" w:rsidDel="00000000" w:rsidP="00000000" w:rsidRDefault="00000000" w:rsidRPr="00000000" w14:paraId="0000001C">
      <w:pPr>
        <w:spacing w:line="360" w:lineRule="auto"/>
        <w:ind w:firstLine="720"/>
        <w:rPr>
          <w:rFonts w:ascii="Roboto" w:cs="Roboto" w:eastAsia="Roboto" w:hAnsi="Roboto"/>
        </w:rPr>
      </w:pPr>
      <w:r w:rsidDel="00000000" w:rsidR="00000000" w:rsidRPr="00000000">
        <w:rPr>
          <w:rFonts w:ascii="Roboto" w:cs="Roboto" w:eastAsia="Roboto" w:hAnsi="Roboto"/>
          <w:rtl w:val="0"/>
        </w:rPr>
        <w:t xml:space="preserve">Jenny Blain is an anthropologist whose studies primarily focus on Paganism, consciousness, and ritual practices. Through her research, she has explored the delicate line between insider and outsider when studying the anthropology of altered states of consciousness. In her academic studies, she has contributed to understanding shamanisms, Paganisms, ritual studies, gender and sexuality, folklore, and heritage studies. </w:t>
      </w:r>
      <w:r w:rsidDel="00000000" w:rsidR="00000000" w:rsidRPr="00000000">
        <w:rPr>
          <w:rFonts w:ascii="Roboto" w:cs="Roboto" w:eastAsia="Roboto" w:hAnsi="Roboto"/>
          <w:rtl w:val="0"/>
        </w:rPr>
        <w:tab/>
      </w:r>
    </w:p>
    <w:p w:rsidR="00000000" w:rsidDel="00000000" w:rsidP="00000000" w:rsidRDefault="00000000" w:rsidRPr="00000000" w14:paraId="0000001D">
      <w:pPr>
        <w:spacing w:line="360" w:lineRule="auto"/>
        <w:ind w:firstLine="720"/>
        <w:rPr>
          <w:rFonts w:ascii="Roboto" w:cs="Roboto" w:eastAsia="Roboto" w:hAnsi="Roboto"/>
        </w:rPr>
      </w:pPr>
      <w:r w:rsidDel="00000000" w:rsidR="00000000" w:rsidRPr="00000000">
        <w:rPr>
          <w:rFonts w:ascii="Roboto" w:cs="Roboto" w:eastAsia="Roboto" w:hAnsi="Roboto"/>
          <w:rtl w:val="0"/>
        </w:rPr>
        <w:t xml:space="preserve">The paper by Jenny Blain is, as laid out in her abstract, “experiential research among shamanistic ‘seidr’ practitioners. This paper reflects not only on what ‘insiders’ do but also on academia and its practices and discourses” (Blain, 1). Blain’s paper was part of the 6th volume of academic journals through DISKUS. Blain’s paper aims to explore the seidr ritual from an anthropological lens (as an outsider) and as an insider. In Blain’s words, “I debate current moves towards intuitive/ experiential anthropology, before linking the ‘otherworld’ seidr experiences with the ‘everyday’ world of the author as academic, inquiring how I move from one to the other and theorizing, within each, informs the other” (Blain 2). </w:t>
      </w:r>
    </w:p>
    <w:p w:rsidR="00000000" w:rsidDel="00000000" w:rsidP="00000000" w:rsidRDefault="00000000" w:rsidRPr="00000000" w14:paraId="0000001E">
      <w:pPr>
        <w:spacing w:line="360" w:lineRule="auto"/>
        <w:rPr>
          <w:rFonts w:ascii="Roboto" w:cs="Roboto" w:eastAsia="Roboto" w:hAnsi="Roboto"/>
        </w:rPr>
      </w:pPr>
      <w:r w:rsidDel="00000000" w:rsidR="00000000" w:rsidRPr="00000000">
        <w:rPr>
          <w:rFonts w:ascii="Roboto" w:cs="Roboto" w:eastAsia="Roboto" w:hAnsi="Roboto"/>
          <w:rtl w:val="0"/>
        </w:rPr>
        <w:tab/>
      </w:r>
    </w:p>
    <w:p w:rsidR="00000000" w:rsidDel="00000000" w:rsidP="00000000" w:rsidRDefault="00000000" w:rsidRPr="00000000" w14:paraId="0000001F">
      <w:pPr>
        <w:spacing w:line="360" w:lineRule="auto"/>
        <w:rPr>
          <w:rFonts w:ascii="Roboto" w:cs="Roboto" w:eastAsia="Roboto" w:hAnsi="Roboto"/>
          <w:u w:val="single"/>
        </w:rPr>
      </w:pPr>
      <w:r w:rsidDel="00000000" w:rsidR="00000000" w:rsidRPr="00000000">
        <w:rPr>
          <w:rFonts w:ascii="Roboto" w:cs="Roboto" w:eastAsia="Roboto" w:hAnsi="Roboto"/>
          <w:u w:val="single"/>
          <w:rtl w:val="0"/>
        </w:rPr>
        <w:t xml:space="preserve">Blain: Methodologies </w:t>
      </w:r>
      <w:r w:rsidDel="00000000" w:rsidR="00000000" w:rsidRPr="00000000">
        <w:rPr>
          <w:rtl w:val="0"/>
        </w:rPr>
      </w:r>
    </w:p>
    <w:p w:rsidR="00000000" w:rsidDel="00000000" w:rsidP="00000000" w:rsidRDefault="00000000" w:rsidRPr="00000000" w14:paraId="00000020">
      <w:pPr>
        <w:spacing w:line="360" w:lineRule="auto"/>
        <w:ind w:left="0" w:firstLine="0"/>
        <w:rPr>
          <w:rFonts w:ascii="Roboto" w:cs="Roboto" w:eastAsia="Roboto" w:hAnsi="Roboto"/>
          <w:highlight w:val="white"/>
        </w:rPr>
      </w:pPr>
      <w:r w:rsidDel="00000000" w:rsidR="00000000" w:rsidRPr="00000000">
        <w:rPr>
          <w:rFonts w:ascii="Roboto" w:cs="Roboto" w:eastAsia="Roboto" w:hAnsi="Roboto"/>
          <w:rtl w:val="0"/>
        </w:rPr>
        <w:tab/>
        <w:t xml:space="preserve">Blain’s research is qualitative, focusing on auto-ethnography through observations. Auto-ethnography is “an attempt at practicing this self-reflexivity by having a closer look at one's own longings and belongings, with the familiarity that—when viewed from a distance—it can change one's perspective considerably” (</w:t>
      </w:r>
      <w:r w:rsidDel="00000000" w:rsidR="00000000" w:rsidRPr="00000000">
        <w:rPr>
          <w:rFonts w:ascii="Roboto" w:cs="Roboto" w:eastAsia="Roboto" w:hAnsi="Roboto"/>
          <w:highlight w:val="white"/>
          <w:rtl w:val="0"/>
        </w:rPr>
        <w:t xml:space="preserve">Alsop, 2002). Blain, however, uses this paper to “reflect not only on what 'insiders' do but also on academia and its practices and discourse,” (Blain 1). So the choice of auto-ethnography is imperative for Blain because her paper also serves as a criticism of how the typical anthropologists’ “tendency is to treat seidr an exotic curiosity, to probe for ethnographic detail, observed by an outsider,” (Blain 3). </w:t>
      </w:r>
    </w:p>
    <w:p w:rsidR="00000000" w:rsidDel="00000000" w:rsidP="00000000" w:rsidRDefault="00000000" w:rsidRPr="00000000" w14:paraId="00000021">
      <w:pPr>
        <w:spacing w:line="360" w:lineRule="auto"/>
        <w:ind w:left="0" w:firstLine="0"/>
        <w:rPr>
          <w:rFonts w:ascii="Roboto" w:cs="Roboto" w:eastAsia="Roboto" w:hAnsi="Roboto"/>
        </w:rPr>
      </w:pPr>
      <w:r w:rsidDel="00000000" w:rsidR="00000000" w:rsidRPr="00000000">
        <w:rPr>
          <w:rFonts w:ascii="Roboto" w:cs="Roboto" w:eastAsia="Roboto" w:hAnsi="Roboto"/>
          <w:highlight w:val="white"/>
          <w:rtl w:val="0"/>
        </w:rPr>
        <w:tab/>
        <w:t xml:space="preserve">Blain’s discussion of her methodologies is brief and non-descript. She indicates parts of her methodology, saying, “One of the people (Winifred) I'm studying is getting married. I'm going to dance at her wedding!” (Blain 2). Blain also notes, “Winifred was the first spae-worker - or seidworker, though she prefers the former term - that I ever saw in action, and I'd greatly enjoyed the discussions, in person and online” (Blain 2). Though not explicitly stated, Blain’s research leans toward participant observation, “which involves the researcher participating in the daily life of an individual, group or community and listening, observing, questioning and understanding (or trying to understand) the life of the individual(s) concerned,” (Bell et al., 2024, p. 272). By doing this, Blain can accomplish her research goal which is “dealing with approaches to seidr and shamanism that look beyond the concept of technique to seeing the shaman within the community,” (Blain 11). However, she lacks sufficient detail to understand how she came in contact with the selected subject and the methodological approach of their conversations before observing her subject’s wedding ceremony. The lack of detail could cause problems if she or other researchers attempt to recreate or expand upon her studies. Without a succinct description, though it honors her wishes to go against the anthropological norm, she could be gatekeeping other potential insiders from effectively reporting on their own experiences. </w:t>
      </w:r>
      <w:r w:rsidDel="00000000" w:rsidR="00000000" w:rsidRPr="00000000">
        <w:rPr>
          <w:rtl w:val="0"/>
        </w:rPr>
      </w:r>
    </w:p>
    <w:p w:rsidR="00000000" w:rsidDel="00000000" w:rsidP="00000000" w:rsidRDefault="00000000" w:rsidRPr="00000000" w14:paraId="00000022">
      <w:pPr>
        <w:spacing w:line="360" w:lineRule="auto"/>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23">
      <w:pPr>
        <w:spacing w:line="360" w:lineRule="auto"/>
        <w:rPr>
          <w:rFonts w:ascii="Roboto" w:cs="Roboto" w:eastAsia="Roboto" w:hAnsi="Roboto"/>
          <w:u w:val="single"/>
        </w:rPr>
      </w:pPr>
      <w:r w:rsidDel="00000000" w:rsidR="00000000" w:rsidRPr="00000000">
        <w:rPr>
          <w:rFonts w:ascii="Roboto" w:cs="Roboto" w:eastAsia="Roboto" w:hAnsi="Roboto"/>
          <w:u w:val="single"/>
          <w:rtl w:val="0"/>
        </w:rPr>
        <w:t xml:space="preserve">Blain: Ethical Considerations</w:t>
      </w:r>
    </w:p>
    <w:p w:rsidR="00000000" w:rsidDel="00000000" w:rsidP="00000000" w:rsidRDefault="00000000" w:rsidRPr="00000000" w14:paraId="00000024">
      <w:pPr>
        <w:spacing w:line="360" w:lineRule="auto"/>
        <w:ind w:firstLine="720"/>
        <w:rPr>
          <w:rFonts w:ascii="Roboto" w:cs="Roboto" w:eastAsia="Roboto" w:hAnsi="Roboto"/>
        </w:rPr>
      </w:pPr>
      <w:r w:rsidDel="00000000" w:rsidR="00000000" w:rsidRPr="00000000">
        <w:rPr>
          <w:rFonts w:ascii="Roboto" w:cs="Roboto" w:eastAsia="Roboto" w:hAnsi="Roboto"/>
          <w:rtl w:val="0"/>
        </w:rPr>
        <w:t xml:space="preserve">Blain approaches this study as an insider. When using examples other than Winifred’s to explain how trance states can be experienced, she states, “It's my own experience, part of an account I gave at a recent conference.” Henninik would describe this as the “emic perspective,” which “means that the approach seeks to understand people’s lived experiences from the perspective of the people themselves” (Henninik et al., 2011, p. 15). Addressing her own experiences gives us insight into Blain’s understanding of her position in the research study – by addressing her experiences and considering them equal to the experiences of others, she directly references her subjectivity and, thus, her reflexivity. She does this by stating, “I seek to understand the construction of seidr and its community, the contradictions and contestations therein, by understanding my 'self' as part/not part of that community, as situated within its relations, with my own knowledges that are not totally shared with others, though specific others have parts therein,” (Blain 13). </w:t>
      </w:r>
    </w:p>
    <w:p w:rsidR="00000000" w:rsidDel="00000000" w:rsidP="00000000" w:rsidRDefault="00000000" w:rsidRPr="00000000" w14:paraId="00000025">
      <w:pPr>
        <w:spacing w:line="360" w:lineRule="auto"/>
        <w:ind w:firstLine="720"/>
        <w:rPr>
          <w:rFonts w:ascii="Roboto" w:cs="Roboto" w:eastAsia="Roboto" w:hAnsi="Roboto"/>
        </w:rPr>
      </w:pPr>
      <w:r w:rsidDel="00000000" w:rsidR="00000000" w:rsidRPr="00000000">
        <w:rPr>
          <w:rFonts w:ascii="Roboto" w:cs="Roboto" w:eastAsia="Roboto" w:hAnsi="Roboto"/>
          <w:rtl w:val="0"/>
        </w:rPr>
        <w:t xml:space="preserve">Through this paper, Blain explains the importance of an insider approach when using ethnographic research to study shamanistic practices. Blain debates that “another problem with taking the view [of an outsider] that 'they [the insider] believe it, so I'll accept it as emic description' is that it posits the researcher as having access to a 'truth' outside, and at odds with that of her participants,” (Blain 12). Blain is essentially exploring the insider/outsider problem, as explored by Michael York. The “insider/outsider problem, as it has been traditionally defined, assumes that there is something specific about religion that makes the question of whether the researcher is an insider or an outsider fundamentally important,” (York 9). Where this raises issues with her research is that her unconventional approach neglects to address anonymity, which could be due to her desire to “to enter the world of the seidworker, as a native-speaker,” (Blain 13). Through her personal experience with Winifred, and only using one subject” she is unable to “guarantee that even the researcher is unable to identify the participant” which is essential to research anonymity (Bell et al., 2024 (84).</w:t>
      </w:r>
      <w:r w:rsidDel="00000000" w:rsidR="00000000" w:rsidRPr="00000000">
        <w:rPr>
          <w:rtl w:val="0"/>
        </w:rPr>
      </w:r>
    </w:p>
    <w:p w:rsidR="00000000" w:rsidDel="00000000" w:rsidP="00000000" w:rsidRDefault="00000000" w:rsidRPr="00000000" w14:paraId="00000026">
      <w:pPr>
        <w:spacing w:line="360" w:lineRule="auto"/>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27">
      <w:pPr>
        <w:spacing w:line="360" w:lineRule="auto"/>
        <w:rPr>
          <w:rFonts w:ascii="Roboto" w:cs="Roboto" w:eastAsia="Roboto" w:hAnsi="Roboto"/>
          <w:u w:val="single"/>
        </w:rPr>
      </w:pPr>
      <w:r w:rsidDel="00000000" w:rsidR="00000000" w:rsidRPr="00000000">
        <w:rPr>
          <w:rFonts w:ascii="Roboto" w:cs="Roboto" w:eastAsia="Roboto" w:hAnsi="Roboto"/>
          <w:u w:val="single"/>
          <w:rtl w:val="0"/>
        </w:rPr>
        <w:t xml:space="preserve">Blain: Structure &amp; Literary Review </w:t>
      </w:r>
      <w:r w:rsidDel="00000000" w:rsidR="00000000" w:rsidRPr="00000000">
        <w:rPr>
          <w:rtl w:val="0"/>
        </w:rPr>
      </w:r>
    </w:p>
    <w:p w:rsidR="00000000" w:rsidDel="00000000" w:rsidP="00000000" w:rsidRDefault="00000000" w:rsidRPr="00000000" w14:paraId="00000028">
      <w:pPr>
        <w:spacing w:line="360" w:lineRule="auto"/>
        <w:ind w:left="0" w:firstLine="0"/>
        <w:rPr>
          <w:rFonts w:ascii="Roboto" w:cs="Roboto" w:eastAsia="Roboto" w:hAnsi="Roboto"/>
        </w:rPr>
      </w:pPr>
      <w:r w:rsidDel="00000000" w:rsidR="00000000" w:rsidRPr="00000000">
        <w:rPr>
          <w:rFonts w:ascii="Roboto" w:cs="Roboto" w:eastAsia="Roboto" w:hAnsi="Roboto"/>
          <w:rtl w:val="0"/>
        </w:rPr>
        <w:tab/>
        <w:t xml:space="preserve">The structure of Blain’s paper has clear categorical elements, such as subheadings (Introduction, A Dance for a Wedding, Seidr and the Anthropologist, Shamans and Anthropologists, Note, &amp; References). Her paper provides an abstract of her research, giving us the general context of her more experiential research style. There is an apparent deviation from the “Typical Structure of an academic report,” as laid out by Henninik, which typically includes an “abstract, background, methods, results, discussion, conclusion, acknowledgments, and references” (Henninik et al., 2011, p. 295). She uses herself several times as an academic and literary source. Still, she includes references to papers by Borovsky, Goodman, Goulet, Guedo, Hoppal, Hultkrantz, Lindquist, Marcus, Turner, Venn, and Wilson to support her findings through her research. These references provide context on the approach of shamans and seidworkers throughout history and the perspectives of academics on these rituals, typically using them as a reference for future research, as opposed to direct quotations, such as when she states “(see, e.g., Lindquist 1997, for description of seid as 're- embedded' shamanistic practice in Sweden)” (Blain 3).</w:t>
      </w:r>
    </w:p>
    <w:p w:rsidR="00000000" w:rsidDel="00000000" w:rsidP="00000000" w:rsidRDefault="00000000" w:rsidRPr="00000000" w14:paraId="00000029">
      <w:pPr>
        <w:spacing w:line="360" w:lineRule="auto"/>
        <w:ind w:left="0" w:firstLine="720"/>
        <w:rPr>
          <w:rFonts w:ascii="Roboto" w:cs="Roboto" w:eastAsia="Roboto" w:hAnsi="Roboto"/>
        </w:rPr>
      </w:pPr>
      <w:r w:rsidDel="00000000" w:rsidR="00000000" w:rsidRPr="00000000">
        <w:rPr>
          <w:rFonts w:ascii="Roboto" w:cs="Roboto" w:eastAsia="Roboto" w:hAnsi="Roboto"/>
          <w:rtl w:val="0"/>
        </w:rPr>
        <w:t xml:space="preserve">Still, there are also several issues with the flow of the paper. Most notably, Blain omits a formal conclusion of her findings. In addition to this, it is unclear when quotes from her sources start and end because the paper is being presented as a Microsoft Word document, which does not include the use of quotation marks – though a small detail, it seemed worth noting since the primary source of data is retellings of an individual’s experience. However, Blain defends her rationale for choosing a non-traditional structure by stating, “Critical awareness and reflexivity are constructed in the intersections of the worlds, in the journeys: in the experience of ecstasy, and my attempts to communicate it in prose or poetry; in the embarrassment I feel when dealing with those who will accept only 'rationality'; and in all the feelings of doubt about the ability to publish without sacrificing a career” (Blain 13).</w:t>
      </w:r>
      <w:r w:rsidDel="00000000" w:rsidR="00000000" w:rsidRPr="00000000">
        <w:rPr>
          <w:rtl w:val="0"/>
        </w:rPr>
      </w:r>
    </w:p>
    <w:p w:rsidR="00000000" w:rsidDel="00000000" w:rsidP="00000000" w:rsidRDefault="00000000" w:rsidRPr="00000000" w14:paraId="0000002A">
      <w:pPr>
        <w:spacing w:line="360" w:lineRule="auto"/>
        <w:rPr>
          <w:rFonts w:ascii="Roboto" w:cs="Roboto" w:eastAsia="Roboto" w:hAnsi="Roboto"/>
        </w:rPr>
      </w:pPr>
      <w:r w:rsidDel="00000000" w:rsidR="00000000" w:rsidRPr="00000000">
        <w:rPr>
          <w:rtl w:val="0"/>
        </w:rPr>
      </w:r>
    </w:p>
    <w:p w:rsidR="00000000" w:rsidDel="00000000" w:rsidP="00000000" w:rsidRDefault="00000000" w:rsidRPr="00000000" w14:paraId="0000002B">
      <w:pPr>
        <w:spacing w:line="360" w:lineRule="auto"/>
        <w:rPr>
          <w:rFonts w:ascii="Roboto" w:cs="Roboto" w:eastAsia="Roboto" w:hAnsi="Roboto"/>
          <w:b w:val="1"/>
        </w:rPr>
      </w:pPr>
      <w:r w:rsidDel="00000000" w:rsidR="00000000" w:rsidRPr="00000000">
        <w:rPr>
          <w:rFonts w:ascii="Roboto" w:cs="Roboto" w:eastAsia="Roboto" w:hAnsi="Roboto"/>
          <w:b w:val="1"/>
          <w:rtl w:val="0"/>
        </w:rPr>
        <w:t xml:space="preserve">3: Comparison &amp; Contrast</w:t>
      </w:r>
    </w:p>
    <w:p w:rsidR="00000000" w:rsidDel="00000000" w:rsidP="00000000" w:rsidRDefault="00000000" w:rsidRPr="00000000" w14:paraId="0000002C">
      <w:pPr>
        <w:spacing w:line="360" w:lineRule="auto"/>
        <w:ind w:firstLine="720"/>
        <w:rPr>
          <w:rFonts w:ascii="Roboto" w:cs="Roboto" w:eastAsia="Roboto" w:hAnsi="Roboto"/>
        </w:rPr>
      </w:pPr>
      <w:r w:rsidDel="00000000" w:rsidR="00000000" w:rsidRPr="00000000">
        <w:rPr>
          <w:rFonts w:ascii="Roboto" w:cs="Roboto" w:eastAsia="Roboto" w:hAnsi="Roboto"/>
          <w:rtl w:val="0"/>
        </w:rPr>
        <w:t xml:space="preserve">When examining their methodologies, Bennett clearly understands her rationale and approach to her study. She, in contrast with Blain, explains to the reader exactly how she went about finding and narrowing down her participants. Additionally, Bennett includes the responses of over 120 participants, whereas Blain focuses on the observations of just one individual. It is also worth noting that Blain intends to challenge the conventional structure of ethnography when studying shamanistic practices – which explains her non-traditional approach to reporting on her study. Blain neglects to detail how she and her subject came into contact and the formalities surrounding the research process, such as the exact form of qualitative research, how she collected data, and the level of consent given. Blain also includes her own experiences as part of her study, stating, “It's my own experience,” after two anecdotes about being in a trance state (Blain 7). However, it is essential to note that both women “explain how the problem was investigated and why particular methods and techniques were employed” (Bell et al., 2024, p. 319). However, Bennet and Blain do not share specifics about those methods with the reader outside of simply stating that they interviewed and observed.</w:t>
      </w:r>
    </w:p>
    <w:p w:rsidR="00000000" w:rsidDel="00000000" w:rsidP="00000000" w:rsidRDefault="00000000" w:rsidRPr="00000000" w14:paraId="0000002D">
      <w:pPr>
        <w:spacing w:line="360" w:lineRule="auto"/>
        <w:ind w:firstLine="720"/>
        <w:rPr>
          <w:rFonts w:ascii="Roboto" w:cs="Roboto" w:eastAsia="Roboto" w:hAnsi="Roboto"/>
        </w:rPr>
      </w:pPr>
      <w:r w:rsidDel="00000000" w:rsidR="00000000" w:rsidRPr="00000000">
        <w:rPr>
          <w:rFonts w:ascii="Roboto" w:cs="Roboto" w:eastAsia="Roboto" w:hAnsi="Roboto"/>
          <w:rtl w:val="0"/>
        </w:rPr>
        <w:t xml:space="preserve">One of the apparent differences between Bennett and Blain is the insider/outsider approach and the need to address ethical concerns. Though coming from the same hometown as her participants, Bennett denotes herself as an outsider, being part of a different demographic and often not understanding some of the colloquialisms of the women in her study. Being an outsider may sometimes limit Bennett’s ability to fully understand or interpret the experiences of her participants, particularly given her partial insider status. Blain, however, clearly states that she is deeply immersed as an insider, though approaching her studies through an anthropological lens – which helps her touch on the outsider lens. Blain’s insider perspective, although it can include more bias, allows her to understand and critique the shamanistic observations better. Each of the researchers has a different approach to addressing their reflexivity. Still, neither explains the clear steps they took to avoid ethical dilemmas. Both papers would have benefited from more succinctly explaining how they gained informed consent and approached the issue of anonymity.</w:t>
      </w:r>
    </w:p>
    <w:p w:rsidR="00000000" w:rsidDel="00000000" w:rsidP="00000000" w:rsidRDefault="00000000" w:rsidRPr="00000000" w14:paraId="0000002E">
      <w:pPr>
        <w:spacing w:line="360" w:lineRule="auto"/>
        <w:rPr>
          <w:rFonts w:ascii="Roboto" w:cs="Roboto" w:eastAsia="Roboto" w:hAnsi="Roboto"/>
          <w:b w:val="1"/>
        </w:rPr>
      </w:pPr>
      <w:r w:rsidDel="00000000" w:rsidR="00000000" w:rsidRPr="00000000">
        <w:rPr>
          <w:rFonts w:ascii="Roboto" w:cs="Roboto" w:eastAsia="Roboto" w:hAnsi="Roboto"/>
          <w:rtl w:val="0"/>
        </w:rPr>
        <w:tab/>
        <w:t xml:space="preserve">When comparing the academic structure of the papers, Bennett adheres to a conventional academic structure. At the same time, Blain intentionally breaks away from it. Bennett uses a linear approach, first covering the scope of the paper, historical context through literary review, her methodologies, her findings, and then concluding. Blain emphasizes her journey and her reflexivity through her structure, allowing the paper to flow more conversationally instead of adhering to a rigid format. Interestingly, the researchers' differing approaches parallel their experiences as both an outsider (Bennett) and insider (Blain), which is one of the critiques Blain made with her paper, that outsiders tend to approach their studies in a more traditional structure. </w:t>
      </w:r>
      <w:r w:rsidDel="00000000" w:rsidR="00000000" w:rsidRPr="00000000">
        <w:rPr>
          <w:rtl w:val="0"/>
        </w:rPr>
      </w:r>
    </w:p>
    <w:p w:rsidR="00000000" w:rsidDel="00000000" w:rsidP="00000000" w:rsidRDefault="00000000" w:rsidRPr="00000000" w14:paraId="0000002F">
      <w:pPr>
        <w:spacing w:line="360" w:lineRule="auto"/>
        <w:rPr>
          <w:rFonts w:ascii="Roboto" w:cs="Roboto" w:eastAsia="Roboto" w:hAnsi="Roboto"/>
          <w:b w:val="1"/>
        </w:rPr>
      </w:pPr>
      <w:r w:rsidDel="00000000" w:rsidR="00000000" w:rsidRPr="00000000">
        <w:rPr>
          <w:rtl w:val="0"/>
        </w:rPr>
      </w:r>
    </w:p>
    <w:p w:rsidR="00000000" w:rsidDel="00000000" w:rsidP="00000000" w:rsidRDefault="00000000" w:rsidRPr="00000000" w14:paraId="00000030">
      <w:pPr>
        <w:spacing w:line="360" w:lineRule="auto"/>
        <w:rPr>
          <w:rFonts w:ascii="Roboto" w:cs="Roboto" w:eastAsia="Roboto" w:hAnsi="Roboto"/>
          <w:b w:val="1"/>
        </w:rPr>
      </w:pPr>
      <w:r w:rsidDel="00000000" w:rsidR="00000000" w:rsidRPr="00000000">
        <w:rPr>
          <w:rFonts w:ascii="Roboto" w:cs="Roboto" w:eastAsia="Roboto" w:hAnsi="Roboto"/>
          <w:b w:val="1"/>
          <w:rtl w:val="0"/>
        </w:rPr>
        <w:t xml:space="preserve">4: Conclusion</w:t>
      </w:r>
    </w:p>
    <w:p w:rsidR="00000000" w:rsidDel="00000000" w:rsidP="00000000" w:rsidRDefault="00000000" w:rsidRPr="00000000" w14:paraId="00000031">
      <w:pPr>
        <w:spacing w:line="360" w:lineRule="auto"/>
        <w:rPr>
          <w:rFonts w:ascii="Roboto" w:cs="Roboto" w:eastAsia="Roboto" w:hAnsi="Roboto"/>
        </w:rPr>
      </w:pPr>
      <w:r w:rsidDel="00000000" w:rsidR="00000000" w:rsidRPr="00000000">
        <w:rPr>
          <w:rFonts w:ascii="Roboto" w:cs="Roboto" w:eastAsia="Roboto" w:hAnsi="Roboto"/>
          <w:rtl w:val="0"/>
        </w:rPr>
        <w:tab/>
        <w:t xml:space="preserve">In conclusion, both papers effectively use qualitative research methods to aid the greater understanding of phenomenology across different cultures. The factor that separates these two papers is each researcher's approach as an insider/outsider. Bennett’s study, as an outsider, emphasizes a traditional academic approach, using extensive historical context and conventional frameworks for gathering and analyzing data. She can report on her findings, which allows for a clear path for expanding her studies through her more structured approaches to research. In contrast, Blain uses her insider perspective to challenge traditional ethnography by incorporating personal experiences into the qualitative research process. Blain, however, is more explicit in exploring her reflexivity as a researcher – which provides an interesting challenge to how anthropologists approach their studies.</w:t>
      </w:r>
    </w:p>
    <w:p w:rsidR="00000000" w:rsidDel="00000000" w:rsidP="00000000" w:rsidRDefault="00000000" w:rsidRPr="00000000" w14:paraId="00000032">
      <w:pPr>
        <w:spacing w:line="360" w:lineRule="auto"/>
        <w:rPr>
          <w:rFonts w:ascii="Roboto" w:cs="Roboto" w:eastAsia="Roboto" w:hAnsi="Roboto"/>
        </w:rPr>
      </w:pPr>
      <w:r w:rsidDel="00000000" w:rsidR="00000000" w:rsidRPr="00000000">
        <w:rPr>
          <w:rFonts w:ascii="Roboto" w:cs="Roboto" w:eastAsia="Roboto" w:hAnsi="Roboto"/>
          <w:rtl w:val="0"/>
        </w:rPr>
        <w:tab/>
        <w:t xml:space="preserve">Upon reflection on these two papers, each would benefit from providing more explicit details, most notably explaining their methodologies. By more explicitly explaining the </w:t>
      </w:r>
      <w:r w:rsidDel="00000000" w:rsidR="00000000" w:rsidRPr="00000000">
        <w:rPr>
          <w:rFonts w:ascii="Roboto" w:cs="Roboto" w:eastAsia="Roboto" w:hAnsi="Roboto"/>
          <w:b w:val="1"/>
          <w:i w:val="1"/>
          <w:rtl w:val="0"/>
        </w:rPr>
        <w:t xml:space="preserve">how</w:t>
      </w:r>
      <w:r w:rsidDel="00000000" w:rsidR="00000000" w:rsidRPr="00000000">
        <w:rPr>
          <w:rFonts w:ascii="Roboto" w:cs="Roboto" w:eastAsia="Roboto" w:hAnsi="Roboto"/>
          <w:rtl w:val="0"/>
        </w:rPr>
        <w:t xml:space="preserve"> behind their research methods, both Bennett and Blain would provide opportunities for future research to be built upon their studies more seamlessly. Though their papers give enough context to approach these topics in future academic studies, the lack of detail risks deviating too significantly from previous studies. </w:t>
      </w:r>
    </w:p>
    <w:p w:rsidR="00000000" w:rsidDel="00000000" w:rsidP="00000000" w:rsidRDefault="00000000" w:rsidRPr="00000000" w14:paraId="00000033">
      <w:pPr>
        <w:spacing w:line="360" w:lineRule="auto"/>
        <w:ind w:firstLine="720"/>
        <w:rPr>
          <w:rFonts w:ascii="Roboto" w:cs="Roboto" w:eastAsia="Roboto" w:hAnsi="Roboto"/>
        </w:rPr>
      </w:pPr>
      <w:r w:rsidDel="00000000" w:rsidR="00000000" w:rsidRPr="00000000">
        <w:rPr>
          <w:rFonts w:ascii="Roboto" w:cs="Roboto" w:eastAsia="Roboto" w:hAnsi="Roboto"/>
          <w:rtl w:val="0"/>
        </w:rPr>
        <w:t xml:space="preserve">That being said, each of these papers succeeds, whereas the other has pitfalls. Bennett's lack of reflexivity is balanced by her incredibly detailed literary review and the structure of her academic paper. On the other hand, Blain effectively criticizes herself and other researchers through her reflexivity, providing ample understanding of her position and potential influence on the study. However, she would have benefited from following a more traditional reporting structure to aid in the understanding of academics reviewing her work. These papers encourage reflection on the value of both methodologies for understanding the study of the supernatural and ritual practices in folklore and anthropology.</w:t>
      </w:r>
      <w:r w:rsidDel="00000000" w:rsidR="00000000" w:rsidRPr="00000000">
        <w:br w:type="page"/>
      </w:r>
      <w:r w:rsidDel="00000000" w:rsidR="00000000" w:rsidRPr="00000000">
        <w:rPr>
          <w:rtl w:val="0"/>
        </w:rPr>
      </w:r>
    </w:p>
    <w:p w:rsidR="00000000" w:rsidDel="00000000" w:rsidP="00000000" w:rsidRDefault="00000000" w:rsidRPr="00000000" w14:paraId="00000034">
      <w:pPr>
        <w:spacing w:line="360" w:lineRule="auto"/>
        <w:rPr>
          <w:rFonts w:ascii="Roboto" w:cs="Roboto" w:eastAsia="Roboto" w:hAnsi="Roboto"/>
          <w:b w:val="1"/>
        </w:rPr>
      </w:pPr>
      <w:r w:rsidDel="00000000" w:rsidR="00000000" w:rsidRPr="00000000">
        <w:rPr>
          <w:rFonts w:ascii="Roboto" w:cs="Roboto" w:eastAsia="Roboto" w:hAnsi="Roboto"/>
          <w:b w:val="1"/>
          <w:rtl w:val="0"/>
        </w:rPr>
        <w:t xml:space="preserve">5: References</w:t>
      </w:r>
    </w:p>
    <w:p w:rsidR="00000000" w:rsidDel="00000000" w:rsidP="00000000" w:rsidRDefault="00000000" w:rsidRPr="00000000" w14:paraId="00000035">
      <w:pPr>
        <w:spacing w:line="360" w:lineRule="auto"/>
        <w:ind w:left="0" w:firstLine="0"/>
        <w:rPr>
          <w:rFonts w:ascii="Roboto" w:cs="Roboto" w:eastAsia="Roboto" w:hAnsi="Roboto"/>
          <w:highlight w:val="white"/>
        </w:rPr>
      </w:pPr>
      <w:r w:rsidDel="00000000" w:rsidR="00000000" w:rsidRPr="00000000">
        <w:rPr>
          <w:rFonts w:ascii="Roboto" w:cs="Roboto" w:eastAsia="Roboto" w:hAnsi="Roboto"/>
          <w:highlight w:val="white"/>
          <w:rtl w:val="0"/>
        </w:rPr>
        <w:t xml:space="preserve">Alsop, Christiane K. (2002). Home and Away: Self-reflexive Auto-/Ethnography [55 paragraphs]. </w:t>
      </w:r>
      <w:r w:rsidDel="00000000" w:rsidR="00000000" w:rsidRPr="00000000">
        <w:rPr>
          <w:rFonts w:ascii="Roboto" w:cs="Roboto" w:eastAsia="Roboto" w:hAnsi="Roboto"/>
          <w:i w:val="1"/>
          <w:highlight w:val="white"/>
          <w:rtl w:val="0"/>
        </w:rPr>
        <w:t xml:space="preserve">Forum Qualitative Sozialforschung / Forum: Qualitative Social Research</w:t>
      </w:r>
      <w:r w:rsidDel="00000000" w:rsidR="00000000" w:rsidRPr="00000000">
        <w:rPr>
          <w:rFonts w:ascii="Roboto" w:cs="Roboto" w:eastAsia="Roboto" w:hAnsi="Roboto"/>
          <w:highlight w:val="white"/>
          <w:rtl w:val="0"/>
        </w:rPr>
        <w:t xml:space="preserve">, </w:t>
      </w:r>
      <w:r w:rsidDel="00000000" w:rsidR="00000000" w:rsidRPr="00000000">
        <w:rPr>
          <w:rFonts w:ascii="Roboto" w:cs="Roboto" w:eastAsia="Roboto" w:hAnsi="Roboto"/>
          <w:i w:val="1"/>
          <w:highlight w:val="white"/>
          <w:rtl w:val="0"/>
        </w:rPr>
        <w:t xml:space="preserve">3</w:t>
      </w:r>
      <w:r w:rsidDel="00000000" w:rsidR="00000000" w:rsidRPr="00000000">
        <w:rPr>
          <w:rFonts w:ascii="Roboto" w:cs="Roboto" w:eastAsia="Roboto" w:hAnsi="Roboto"/>
          <w:highlight w:val="white"/>
          <w:rtl w:val="0"/>
        </w:rPr>
        <w:t xml:space="preserve">(3), Art. 10, </w:t>
      </w:r>
      <w:hyperlink r:id="rId6">
        <w:r w:rsidDel="00000000" w:rsidR="00000000" w:rsidRPr="00000000">
          <w:rPr>
            <w:rFonts w:ascii="Roboto" w:cs="Roboto" w:eastAsia="Roboto" w:hAnsi="Roboto"/>
            <w:color w:val="1155cc"/>
            <w:highlight w:val="white"/>
            <w:u w:val="single"/>
            <w:rtl w:val="0"/>
          </w:rPr>
          <w:t xml:space="preserve">http://nbn-resolving.de/urn:nbn:de:0114-fqs0203105</w:t>
        </w:r>
      </w:hyperlink>
      <w:r w:rsidDel="00000000" w:rsidR="00000000" w:rsidRPr="00000000">
        <w:rPr>
          <w:rFonts w:ascii="Roboto" w:cs="Roboto" w:eastAsia="Roboto" w:hAnsi="Roboto"/>
          <w:highlight w:val="white"/>
          <w:rtl w:val="0"/>
        </w:rPr>
        <w:t xml:space="preserve">.</w:t>
      </w:r>
    </w:p>
    <w:p w:rsidR="00000000" w:rsidDel="00000000" w:rsidP="00000000" w:rsidRDefault="00000000" w:rsidRPr="00000000" w14:paraId="00000036">
      <w:pPr>
        <w:spacing w:line="360" w:lineRule="auto"/>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37">
      <w:pPr>
        <w:spacing w:line="360" w:lineRule="auto"/>
        <w:ind w:left="0" w:firstLine="0"/>
        <w:rPr>
          <w:rFonts w:ascii="Roboto" w:cs="Roboto" w:eastAsia="Roboto" w:hAnsi="Roboto"/>
        </w:rPr>
      </w:pPr>
      <w:r w:rsidDel="00000000" w:rsidR="00000000" w:rsidRPr="00000000">
        <w:rPr>
          <w:rFonts w:ascii="Roboto" w:cs="Roboto" w:eastAsia="Roboto" w:hAnsi="Roboto"/>
          <w:rtl w:val="0"/>
        </w:rPr>
        <w:t xml:space="preserve">Bell, J., Waters, S., &amp; Johnson, H. (2018). </w:t>
      </w:r>
      <w:r w:rsidDel="00000000" w:rsidR="00000000" w:rsidRPr="00000000">
        <w:rPr>
          <w:rFonts w:ascii="Roboto" w:cs="Roboto" w:eastAsia="Roboto" w:hAnsi="Roboto"/>
          <w:i w:val="1"/>
          <w:rtl w:val="0"/>
        </w:rPr>
        <w:t xml:space="preserve">Doing your research project</w:t>
      </w:r>
      <w:r w:rsidDel="00000000" w:rsidR="00000000" w:rsidRPr="00000000">
        <w:rPr>
          <w:rFonts w:ascii="Roboto" w:cs="Roboto" w:eastAsia="Roboto" w:hAnsi="Roboto"/>
          <w:rtl w:val="0"/>
        </w:rPr>
        <w:t xml:space="preserve"> (8th ed.). Open University Press.</w:t>
      </w:r>
    </w:p>
    <w:p w:rsidR="00000000" w:rsidDel="00000000" w:rsidP="00000000" w:rsidRDefault="00000000" w:rsidRPr="00000000" w14:paraId="00000038">
      <w:pPr>
        <w:spacing w:line="360" w:lineRule="auto"/>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39">
      <w:pPr>
        <w:spacing w:line="360" w:lineRule="auto"/>
        <w:ind w:left="0" w:firstLine="0"/>
        <w:rPr>
          <w:rFonts w:ascii="Roboto" w:cs="Roboto" w:eastAsia="Roboto" w:hAnsi="Roboto"/>
        </w:rPr>
      </w:pPr>
      <w:r w:rsidDel="00000000" w:rsidR="00000000" w:rsidRPr="00000000">
        <w:rPr>
          <w:rFonts w:ascii="Roboto" w:cs="Roboto" w:eastAsia="Roboto" w:hAnsi="Roboto"/>
          <w:rtl w:val="0"/>
        </w:rPr>
        <w:t xml:space="preserve">Bennett, G. (1995). “If I Knew You were Coming I'd Have Baked a Cake”: The Folklore of Foreknowledge in a Neighborhood Group. In Out of the Ordinary: Folklore and the  Supernatural, edited by Barbara Walker, 122–142. Logan, Utah: Utah University Press.</w:t>
      </w:r>
    </w:p>
    <w:p w:rsidR="00000000" w:rsidDel="00000000" w:rsidP="00000000" w:rsidRDefault="00000000" w:rsidRPr="00000000" w14:paraId="0000003A">
      <w:pPr>
        <w:spacing w:line="360" w:lineRule="auto"/>
        <w:rPr>
          <w:rFonts w:ascii="Roboto" w:cs="Roboto" w:eastAsia="Roboto" w:hAnsi="Roboto"/>
        </w:rPr>
      </w:pPr>
      <w:r w:rsidDel="00000000" w:rsidR="00000000" w:rsidRPr="00000000">
        <w:rPr>
          <w:rtl w:val="0"/>
        </w:rPr>
      </w:r>
    </w:p>
    <w:p w:rsidR="00000000" w:rsidDel="00000000" w:rsidP="00000000" w:rsidRDefault="00000000" w:rsidRPr="00000000" w14:paraId="0000003B">
      <w:pPr>
        <w:spacing w:line="360" w:lineRule="auto"/>
        <w:rPr>
          <w:rFonts w:ascii="Roboto" w:cs="Roboto" w:eastAsia="Roboto" w:hAnsi="Roboto"/>
        </w:rPr>
      </w:pPr>
      <w:r w:rsidDel="00000000" w:rsidR="00000000" w:rsidRPr="00000000">
        <w:rPr>
          <w:rFonts w:ascii="Roboto" w:cs="Roboto" w:eastAsia="Roboto" w:hAnsi="Roboto"/>
          <w:rtl w:val="0"/>
        </w:rPr>
        <w:t xml:space="preserve">Blain, J. 2000. ‘Speaking Shamanistically: Seidr, Academia and Rationality’. In DISKUS Volume 6 (2000). </w:t>
      </w:r>
    </w:p>
    <w:p w:rsidR="00000000" w:rsidDel="00000000" w:rsidP="00000000" w:rsidRDefault="00000000" w:rsidRPr="00000000" w14:paraId="0000003C">
      <w:pPr>
        <w:spacing w:line="360" w:lineRule="auto"/>
        <w:rPr>
          <w:rFonts w:ascii="Roboto" w:cs="Roboto" w:eastAsia="Roboto" w:hAnsi="Roboto"/>
        </w:rPr>
      </w:pPr>
      <w:r w:rsidDel="00000000" w:rsidR="00000000" w:rsidRPr="00000000">
        <w:rPr>
          <w:rtl w:val="0"/>
        </w:rPr>
      </w:r>
    </w:p>
    <w:p w:rsidR="00000000" w:rsidDel="00000000" w:rsidP="00000000" w:rsidRDefault="00000000" w:rsidRPr="00000000" w14:paraId="0000003D">
      <w:pPr>
        <w:spacing w:line="360" w:lineRule="auto"/>
        <w:rPr>
          <w:rFonts w:ascii="Roboto" w:cs="Roboto" w:eastAsia="Roboto" w:hAnsi="Roboto"/>
        </w:rPr>
      </w:pPr>
      <w:r w:rsidDel="00000000" w:rsidR="00000000" w:rsidRPr="00000000">
        <w:rPr>
          <w:rFonts w:ascii="Roboto" w:cs="Roboto" w:eastAsia="Roboto" w:hAnsi="Roboto"/>
          <w:rtl w:val="0"/>
        </w:rPr>
        <w:t xml:space="preserve">Hennink, M. M., Hutter, I. &amp; Bailey, A. 2011. Qualitative research methods. Los Angeles ; London: Sage. </w:t>
      </w:r>
    </w:p>
    <w:p w:rsidR="00000000" w:rsidDel="00000000" w:rsidP="00000000" w:rsidRDefault="00000000" w:rsidRPr="00000000" w14:paraId="0000003E">
      <w:pPr>
        <w:spacing w:line="360" w:lineRule="auto"/>
        <w:rPr>
          <w:rFonts w:ascii="Roboto" w:cs="Roboto" w:eastAsia="Roboto" w:hAnsi="Roboto"/>
        </w:rPr>
      </w:pPr>
      <w:r w:rsidDel="00000000" w:rsidR="00000000" w:rsidRPr="00000000">
        <w:rPr>
          <w:rtl w:val="0"/>
        </w:rPr>
      </w:r>
    </w:p>
    <w:p w:rsidR="00000000" w:rsidDel="00000000" w:rsidP="00000000" w:rsidRDefault="00000000" w:rsidRPr="00000000" w14:paraId="0000003F">
      <w:pPr>
        <w:spacing w:line="360" w:lineRule="auto"/>
        <w:rPr>
          <w:rFonts w:ascii="Roboto" w:cs="Roboto" w:eastAsia="Roboto" w:hAnsi="Roboto"/>
        </w:rPr>
      </w:pPr>
      <w:r w:rsidDel="00000000" w:rsidR="00000000" w:rsidRPr="00000000">
        <w:rPr>
          <w:rFonts w:ascii="Roboto" w:cs="Roboto" w:eastAsia="Roboto" w:hAnsi="Roboto"/>
          <w:rtl w:val="0"/>
        </w:rPr>
        <w:t xml:space="preserve">York, M. (2004, September 13–16). Insider/outsider methodological problems with the study of astrology. British Association for the Study of Religion 50th Anniversary Conference, Oxford, UK.</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nbn-resolving.de/urn:nbn:de:0114-fqs0203105"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