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4BDDB" w14:textId="77777777" w:rsidR="00E675FE" w:rsidRDefault="00E675FE" w:rsidP="00D60397">
      <w:pPr>
        <w:jc w:val="center"/>
        <w:rPr>
          <w:sz w:val="40"/>
          <w:szCs w:val="40"/>
        </w:rPr>
      </w:pPr>
    </w:p>
    <w:p w14:paraId="09914690" w14:textId="77777777" w:rsidR="00E675FE" w:rsidRDefault="00E675FE" w:rsidP="00D60397">
      <w:pPr>
        <w:jc w:val="center"/>
        <w:rPr>
          <w:sz w:val="40"/>
          <w:szCs w:val="40"/>
        </w:rPr>
      </w:pPr>
    </w:p>
    <w:p w14:paraId="50130E9A" w14:textId="77777777" w:rsidR="00764B8B" w:rsidRDefault="00764B8B" w:rsidP="00D60397">
      <w:pPr>
        <w:jc w:val="center"/>
        <w:rPr>
          <w:sz w:val="40"/>
          <w:szCs w:val="40"/>
        </w:rPr>
      </w:pPr>
    </w:p>
    <w:p w14:paraId="0B59D2E3" w14:textId="51A249CE" w:rsidR="00E675FE" w:rsidRDefault="008B239E" w:rsidP="00D60397">
      <w:pPr>
        <w:jc w:val="center"/>
        <w:rPr>
          <w:sz w:val="40"/>
          <w:szCs w:val="40"/>
        </w:rPr>
      </w:pPr>
      <w:r w:rsidRPr="00FE155E">
        <w:rPr>
          <w:rFonts w:ascii="Arial" w:hAnsi="Arial" w:cs="Arial"/>
          <w:noProof/>
        </w:rPr>
        <w:drawing>
          <wp:inline distT="0" distB="0" distL="0" distR="0" wp14:anchorId="59F64F95" wp14:editId="5957E89C">
            <wp:extent cx="5242508" cy="1776222"/>
            <wp:effectExtent l="0" t="0" r="0" b="0"/>
            <wp:docPr id="1" name="image1.jpeg"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close up of black text&#10;&#10;Description automatically generated"/>
                    <pic:cNvPicPr/>
                  </pic:nvPicPr>
                  <pic:blipFill>
                    <a:blip r:embed="rId7" cstate="print"/>
                    <a:stretch>
                      <a:fillRect/>
                    </a:stretch>
                  </pic:blipFill>
                  <pic:spPr>
                    <a:xfrm>
                      <a:off x="0" y="0"/>
                      <a:ext cx="5242508" cy="1776222"/>
                    </a:xfrm>
                    <a:prstGeom prst="rect">
                      <a:avLst/>
                    </a:prstGeom>
                  </pic:spPr>
                </pic:pic>
              </a:graphicData>
            </a:graphic>
          </wp:inline>
        </w:drawing>
      </w:r>
    </w:p>
    <w:p w14:paraId="501D20A8" w14:textId="77777777" w:rsidR="00E675FE" w:rsidRDefault="00E675FE" w:rsidP="00D60397">
      <w:pPr>
        <w:jc w:val="center"/>
        <w:rPr>
          <w:sz w:val="40"/>
          <w:szCs w:val="40"/>
        </w:rPr>
      </w:pPr>
    </w:p>
    <w:p w14:paraId="64270D45" w14:textId="77777777" w:rsidR="00E675FE" w:rsidRDefault="00E675FE" w:rsidP="00D60397">
      <w:pPr>
        <w:jc w:val="center"/>
        <w:rPr>
          <w:sz w:val="40"/>
          <w:szCs w:val="40"/>
        </w:rPr>
      </w:pPr>
    </w:p>
    <w:p w14:paraId="0EC771E7" w14:textId="77777777" w:rsidR="00E675FE" w:rsidRDefault="00E675FE" w:rsidP="00D60397">
      <w:pPr>
        <w:jc w:val="center"/>
        <w:rPr>
          <w:sz w:val="40"/>
          <w:szCs w:val="40"/>
        </w:rPr>
      </w:pPr>
    </w:p>
    <w:p w14:paraId="2C08FB54" w14:textId="77777777" w:rsidR="00E675FE" w:rsidRPr="00F242C1" w:rsidRDefault="00E675FE" w:rsidP="00D60397">
      <w:pPr>
        <w:jc w:val="center"/>
        <w:rPr>
          <w:b/>
          <w:bCs/>
          <w:sz w:val="40"/>
          <w:szCs w:val="40"/>
        </w:rPr>
      </w:pPr>
    </w:p>
    <w:p w14:paraId="055553C5" w14:textId="31202C31" w:rsidR="00EC3EDB" w:rsidRPr="00EC3EDB" w:rsidRDefault="00D60397" w:rsidP="00EC3EDB">
      <w:pPr>
        <w:jc w:val="center"/>
        <w:rPr>
          <w:b/>
          <w:bCs/>
          <w:sz w:val="40"/>
          <w:szCs w:val="40"/>
        </w:rPr>
      </w:pPr>
      <w:r w:rsidRPr="00F242C1">
        <w:rPr>
          <w:b/>
          <w:bCs/>
          <w:sz w:val="40"/>
          <w:szCs w:val="40"/>
        </w:rPr>
        <w:t>FROM CURRY HOUSE TO MICHELIN STARS -THE EVOLUTION OF INDIAN CUISINE IN THE UK AND IT’S IMPACT ON BRITISH CULINARY IDENTITY</w:t>
      </w:r>
    </w:p>
    <w:p w14:paraId="357B6C7B" w14:textId="35C7410C" w:rsidR="00EC3EDB" w:rsidRPr="00052434" w:rsidRDefault="00EC3EDB" w:rsidP="00EC3EDB">
      <w:pPr>
        <w:pStyle w:val="Heading1"/>
        <w:spacing w:line="360" w:lineRule="auto"/>
      </w:pPr>
    </w:p>
    <w:p w14:paraId="5AFD8233" w14:textId="77777777" w:rsidR="00EC3EDB" w:rsidRDefault="00EC3EDB" w:rsidP="00EC3EDB">
      <w:pPr>
        <w:spacing w:before="188" w:line="360" w:lineRule="auto"/>
        <w:ind w:left="290" w:right="290"/>
        <w:jc w:val="center"/>
        <w:rPr>
          <w:rFonts w:ascii="Arial" w:hAnsi="Arial" w:cs="Arial"/>
          <w:b/>
          <w:bCs/>
          <w:sz w:val="32"/>
          <w:szCs w:val="32"/>
        </w:rPr>
      </w:pPr>
      <w:r w:rsidRPr="00052434">
        <w:rPr>
          <w:rFonts w:ascii="Arial" w:hAnsi="Arial" w:cs="Arial"/>
          <w:b/>
          <w:bCs/>
          <w:sz w:val="32"/>
          <w:szCs w:val="32"/>
        </w:rPr>
        <w:t>CLINTO PALAPPILLY PUTHENPURAYIL WILSON</w:t>
      </w:r>
    </w:p>
    <w:p w14:paraId="6E68B97C" w14:textId="1921DBFB" w:rsidR="00764B8B" w:rsidRPr="00052434" w:rsidRDefault="00764B8B" w:rsidP="00EC3EDB">
      <w:pPr>
        <w:spacing w:before="188" w:line="360" w:lineRule="auto"/>
        <w:ind w:left="290" w:right="290"/>
        <w:jc w:val="center"/>
        <w:rPr>
          <w:rFonts w:ascii="Arial" w:hAnsi="Arial" w:cs="Arial"/>
          <w:b/>
          <w:bCs/>
          <w:sz w:val="32"/>
          <w:szCs w:val="32"/>
        </w:rPr>
      </w:pPr>
      <w:r>
        <w:rPr>
          <w:rFonts w:ascii="Arial" w:hAnsi="Arial" w:cs="Arial"/>
          <w:b/>
          <w:bCs/>
          <w:sz w:val="32"/>
          <w:szCs w:val="32"/>
        </w:rPr>
        <w:t>STUDENT ID :2244104</w:t>
      </w:r>
    </w:p>
    <w:p w14:paraId="1A432DE3" w14:textId="0A23E2F1" w:rsidR="00D60397" w:rsidRDefault="00191CAB" w:rsidP="00191CAB">
      <w:pPr>
        <w:spacing w:line="360" w:lineRule="auto"/>
        <w:ind w:left="1440" w:right="290" w:firstLine="720"/>
        <w:rPr>
          <w:rFonts w:ascii="Arial" w:hAnsi="Arial" w:cs="Arial"/>
          <w:b/>
          <w:bCs/>
          <w:sz w:val="32"/>
          <w:szCs w:val="32"/>
        </w:rPr>
      </w:pPr>
      <w:r>
        <w:rPr>
          <w:rFonts w:ascii="Arial" w:hAnsi="Arial" w:cs="Arial"/>
          <w:b/>
          <w:bCs/>
          <w:sz w:val="32"/>
          <w:szCs w:val="32"/>
        </w:rPr>
        <w:t xml:space="preserve">       </w:t>
      </w:r>
      <w:r w:rsidR="00EC3EDB" w:rsidRPr="00052434">
        <w:rPr>
          <w:rFonts w:ascii="Arial" w:hAnsi="Arial" w:cs="Arial"/>
          <w:b/>
          <w:bCs/>
          <w:sz w:val="32"/>
          <w:szCs w:val="32"/>
        </w:rPr>
        <w:t>SUBMITTED</w:t>
      </w:r>
      <w:r w:rsidR="00EC3EDB" w:rsidRPr="00052434">
        <w:rPr>
          <w:rFonts w:ascii="Arial" w:hAnsi="Arial" w:cs="Arial"/>
          <w:b/>
          <w:bCs/>
          <w:spacing w:val="70"/>
          <w:sz w:val="32"/>
          <w:szCs w:val="32"/>
        </w:rPr>
        <w:t xml:space="preserve"> </w:t>
      </w:r>
      <w:r w:rsidR="00EC3EDB" w:rsidRPr="00052434">
        <w:rPr>
          <w:rFonts w:ascii="Arial" w:hAnsi="Arial" w:cs="Arial"/>
          <w:b/>
          <w:bCs/>
          <w:sz w:val="32"/>
          <w:szCs w:val="32"/>
        </w:rPr>
        <w:t>TO</w:t>
      </w:r>
    </w:p>
    <w:p w14:paraId="2D535778" w14:textId="3EEA23EF" w:rsidR="00764B8B" w:rsidRDefault="00381955" w:rsidP="00B542F5">
      <w:pPr>
        <w:spacing w:line="360" w:lineRule="auto"/>
        <w:ind w:left="2160" w:right="290" w:firstLine="720"/>
        <w:rPr>
          <w:rFonts w:ascii="Arial" w:hAnsi="Arial" w:cs="Arial"/>
          <w:b/>
          <w:bCs/>
          <w:sz w:val="32"/>
          <w:szCs w:val="32"/>
        </w:rPr>
      </w:pPr>
      <w:r>
        <w:rPr>
          <w:rFonts w:ascii="Arial" w:hAnsi="Arial" w:cs="Arial"/>
          <w:b/>
          <w:bCs/>
          <w:sz w:val="32"/>
          <w:szCs w:val="32"/>
        </w:rPr>
        <w:t>ADEREMI</w:t>
      </w:r>
      <w:r w:rsidR="00094D67">
        <w:rPr>
          <w:rFonts w:ascii="Arial" w:hAnsi="Arial" w:cs="Arial"/>
          <w:b/>
          <w:bCs/>
          <w:sz w:val="32"/>
          <w:szCs w:val="32"/>
        </w:rPr>
        <w:t xml:space="preserve"> OJEBODE</w:t>
      </w:r>
    </w:p>
    <w:p w14:paraId="4EDC0527" w14:textId="77777777" w:rsidR="00764B8B" w:rsidRPr="00764B8B" w:rsidRDefault="00764B8B" w:rsidP="00764B8B">
      <w:pPr>
        <w:spacing w:line="360" w:lineRule="auto"/>
        <w:ind w:left="2880" w:right="290" w:firstLine="720"/>
        <w:rPr>
          <w:rFonts w:ascii="Arial" w:hAnsi="Arial" w:cs="Arial"/>
          <w:b/>
          <w:bCs/>
          <w:sz w:val="32"/>
          <w:szCs w:val="32"/>
        </w:rPr>
      </w:pPr>
    </w:p>
    <w:p w14:paraId="374A3CB2" w14:textId="77777777" w:rsidR="00D60397" w:rsidRDefault="00D60397" w:rsidP="00D60397">
      <w:pPr>
        <w:rPr>
          <w:sz w:val="22"/>
          <w:szCs w:val="22"/>
        </w:rPr>
      </w:pPr>
    </w:p>
    <w:p w14:paraId="1154E5C8" w14:textId="77777777" w:rsidR="00E675FE" w:rsidRDefault="00E675FE" w:rsidP="00D60397">
      <w:pPr>
        <w:rPr>
          <w:sz w:val="22"/>
          <w:szCs w:val="22"/>
        </w:rPr>
      </w:pPr>
    </w:p>
    <w:p w14:paraId="211BCEF7" w14:textId="2EC331A9" w:rsidR="00D60397" w:rsidRPr="0021514E" w:rsidRDefault="00D60397" w:rsidP="00D60397">
      <w:pPr>
        <w:rPr>
          <w:rFonts w:ascii="Arial" w:hAnsi="Arial" w:cs="Arial"/>
          <w:sz w:val="22"/>
          <w:szCs w:val="22"/>
        </w:rPr>
      </w:pPr>
      <w:r w:rsidRPr="0021514E">
        <w:rPr>
          <w:rFonts w:ascii="Arial" w:hAnsi="Arial" w:cs="Arial"/>
          <w:sz w:val="22"/>
          <w:szCs w:val="22"/>
        </w:rPr>
        <w:t>INTRODUCTION:</w:t>
      </w:r>
    </w:p>
    <w:p w14:paraId="6FA47511" w14:textId="77777777" w:rsidR="00032F46" w:rsidRPr="0021514E" w:rsidRDefault="00D91FFB" w:rsidP="00D60397">
      <w:pPr>
        <w:rPr>
          <w:rFonts w:ascii="Arial" w:hAnsi="Arial" w:cs="Arial"/>
          <w:sz w:val="22"/>
          <w:szCs w:val="22"/>
        </w:rPr>
      </w:pPr>
      <w:r w:rsidRPr="0021514E">
        <w:rPr>
          <w:rFonts w:ascii="Arial" w:hAnsi="Arial" w:cs="Arial"/>
          <w:sz w:val="22"/>
          <w:szCs w:val="22"/>
        </w:rPr>
        <w:t xml:space="preserve">The diverse range of cultures that have settled in the United Kingdom has had a profound impact on the country's culinary scene. Among them, Indian food is particularly noteworthy since it has come a long way from its modest origins in curry restaurants to receiving a Michelin star, signifying the highest </w:t>
      </w:r>
      <w:proofErr w:type="spellStart"/>
      <w:r w:rsidRPr="0021514E">
        <w:rPr>
          <w:rFonts w:ascii="Arial" w:hAnsi="Arial" w:cs="Arial"/>
          <w:sz w:val="22"/>
          <w:szCs w:val="22"/>
        </w:rPr>
        <w:t>honor</w:t>
      </w:r>
      <w:proofErr w:type="spellEnd"/>
      <w:r w:rsidRPr="0021514E">
        <w:rPr>
          <w:rFonts w:ascii="Arial" w:hAnsi="Arial" w:cs="Arial"/>
          <w:sz w:val="22"/>
          <w:szCs w:val="22"/>
        </w:rPr>
        <w:t xml:space="preserve"> in culinary perfection. This metamorphosis highlights the fluidity of British culinary identity while also mirroring the experiences of Indian immigrants. This introduction delves into the development of Indian food in the United Kingdom, following its path from conventional restaurants to the pinnacles of culinary refinement, and examines its significant influence on British culinary customs.</w:t>
      </w:r>
      <w:r w:rsidR="00032F46" w:rsidRPr="0021514E">
        <w:rPr>
          <w:rFonts w:ascii="Arial" w:hAnsi="Arial" w:cs="Arial"/>
          <w:sz w:val="22"/>
          <w:szCs w:val="22"/>
        </w:rPr>
        <w:t xml:space="preserve"> </w:t>
      </w:r>
    </w:p>
    <w:p w14:paraId="171F1CF7" w14:textId="749C1957" w:rsidR="00AA3580" w:rsidRDefault="00032F46" w:rsidP="00D60397">
      <w:pPr>
        <w:rPr>
          <w:rFonts w:ascii="Arial" w:hAnsi="Arial" w:cs="Arial"/>
          <w:sz w:val="22"/>
          <w:szCs w:val="22"/>
        </w:rPr>
      </w:pPr>
      <w:r w:rsidRPr="0021514E">
        <w:rPr>
          <w:rFonts w:ascii="Arial" w:hAnsi="Arial" w:cs="Arial"/>
          <w:sz w:val="22"/>
          <w:szCs w:val="22"/>
        </w:rPr>
        <w:t>With its vivid aromas and fragrant spices, Indian food has become an essential component of British culinary identity, permeating daily dining experiences. Indian food in the UK has come a long way, from the busy curry joints that sprang up in the post-war era to the prestigious Michelin-starred restaurants of today. This story is one of invention, cultural interaction, and culinary talent. In this introduction, we take a tour through the evolving scene of Indian cuisine in Britain, examining how it has influenced the country's tastes, as well as its culinary goals and cultural legacy, by transcending its roots.</w:t>
      </w:r>
    </w:p>
    <w:p w14:paraId="41894493" w14:textId="77777777" w:rsidR="00844986" w:rsidRPr="0021514E" w:rsidRDefault="00844986" w:rsidP="00D60397">
      <w:pPr>
        <w:rPr>
          <w:rFonts w:ascii="Arial" w:hAnsi="Arial" w:cs="Arial"/>
          <w:sz w:val="22"/>
          <w:szCs w:val="22"/>
        </w:rPr>
      </w:pPr>
    </w:p>
    <w:p w14:paraId="0ED22AB5" w14:textId="1FA6E395" w:rsidR="00911191" w:rsidRPr="0021514E" w:rsidRDefault="00AA3580" w:rsidP="00D60397">
      <w:pPr>
        <w:rPr>
          <w:rFonts w:ascii="Arial" w:hAnsi="Arial" w:cs="Arial"/>
          <w:sz w:val="22"/>
          <w:szCs w:val="22"/>
        </w:rPr>
      </w:pPr>
      <w:r w:rsidRPr="0021514E">
        <w:rPr>
          <w:rFonts w:ascii="Arial" w:hAnsi="Arial" w:cs="Arial"/>
          <w:sz w:val="22"/>
          <w:szCs w:val="22"/>
        </w:rPr>
        <w:t>PROBLEM STATEMENT:</w:t>
      </w:r>
    </w:p>
    <w:p w14:paraId="138CC1C3" w14:textId="38D6EEA0" w:rsidR="00FD3E57" w:rsidRPr="0021514E" w:rsidRDefault="00F164D3" w:rsidP="00D60397">
      <w:pPr>
        <w:rPr>
          <w:rFonts w:ascii="Arial" w:hAnsi="Arial" w:cs="Arial"/>
          <w:sz w:val="22"/>
          <w:szCs w:val="22"/>
        </w:rPr>
      </w:pPr>
      <w:r w:rsidRPr="0021514E">
        <w:rPr>
          <w:rFonts w:ascii="Arial" w:hAnsi="Arial" w:cs="Arial"/>
          <w:sz w:val="22"/>
          <w:szCs w:val="22"/>
        </w:rPr>
        <w:t xml:space="preserve">Even while Indian food has come a long way in the UK, little is known about the subtle ways that this change in cuisine has affected British culinary identity. Although the rise of Michelin-starred Indian restaurants and the proliferation of curry houses demonstrate the deep integration of Indian </w:t>
      </w:r>
      <w:proofErr w:type="spellStart"/>
      <w:r w:rsidRPr="0021514E">
        <w:rPr>
          <w:rFonts w:ascii="Arial" w:hAnsi="Arial" w:cs="Arial"/>
          <w:sz w:val="22"/>
          <w:szCs w:val="22"/>
        </w:rPr>
        <w:t>flavors</w:t>
      </w:r>
      <w:proofErr w:type="spellEnd"/>
      <w:r w:rsidRPr="0021514E">
        <w:rPr>
          <w:rFonts w:ascii="Arial" w:hAnsi="Arial" w:cs="Arial"/>
          <w:sz w:val="22"/>
          <w:szCs w:val="22"/>
        </w:rPr>
        <w:t xml:space="preserve"> and techniques into British food culture, it is important to consider the wider implications of this evolution on the perception, consumption patterns, and culinary aspirations of the British public. We may learn more about the intricate interactions between globalization, cultural interchange, and culinary innovation as well as how they have shaped the modern British culinary identity by filling up this knowledge gap.</w:t>
      </w:r>
    </w:p>
    <w:p w14:paraId="2BF15F65" w14:textId="77777777" w:rsidR="00844986" w:rsidRDefault="00844986" w:rsidP="00D60397">
      <w:pPr>
        <w:rPr>
          <w:rFonts w:ascii="Arial" w:hAnsi="Arial" w:cs="Arial"/>
          <w:sz w:val="22"/>
          <w:szCs w:val="22"/>
        </w:rPr>
      </w:pPr>
    </w:p>
    <w:p w14:paraId="71EFDD8E" w14:textId="4A1893F8" w:rsidR="00FD3E57" w:rsidRPr="0021514E" w:rsidRDefault="00FD3E57" w:rsidP="00D60397">
      <w:pPr>
        <w:rPr>
          <w:rFonts w:ascii="Arial" w:hAnsi="Arial" w:cs="Arial"/>
          <w:sz w:val="22"/>
          <w:szCs w:val="22"/>
        </w:rPr>
      </w:pPr>
      <w:r w:rsidRPr="0021514E">
        <w:rPr>
          <w:rFonts w:ascii="Arial" w:hAnsi="Arial" w:cs="Arial"/>
          <w:sz w:val="22"/>
          <w:szCs w:val="22"/>
        </w:rPr>
        <w:t xml:space="preserve"> RESEARCH AIM:</w:t>
      </w:r>
    </w:p>
    <w:p w14:paraId="03C1377A" w14:textId="265138AD" w:rsidR="003F7A9D" w:rsidRPr="0021514E" w:rsidRDefault="00FD3E57" w:rsidP="00D60397">
      <w:pPr>
        <w:rPr>
          <w:rFonts w:ascii="Arial" w:hAnsi="Arial" w:cs="Arial"/>
          <w:sz w:val="22"/>
          <w:szCs w:val="22"/>
        </w:rPr>
      </w:pPr>
      <w:r w:rsidRPr="0021514E">
        <w:rPr>
          <w:rFonts w:ascii="Arial" w:hAnsi="Arial" w:cs="Arial"/>
          <w:sz w:val="22"/>
          <w:szCs w:val="22"/>
        </w:rPr>
        <w:t>Understanding the development of Indian food in the UK—from its modest origins in curry houses to its modern manifestation in Michelin-starred restaurants—is the goal of this investigation. We want to learn more about the cultural, social, and economic forces that have shaped Indian food in Britain and how it has affected British culinary identity by following this gastronomic trip. We hope to shed insight on the dynamic character of food culture, the potency of culinary innovation, and the long-lasting impact of diversity on the UK's gastronomic environment through our investigation.</w:t>
      </w:r>
    </w:p>
    <w:p w14:paraId="2D20C2C3" w14:textId="77777777" w:rsidR="003F7A9D" w:rsidRPr="0021514E" w:rsidRDefault="003F7A9D" w:rsidP="00D60397">
      <w:pPr>
        <w:rPr>
          <w:rFonts w:ascii="Arial" w:hAnsi="Arial" w:cs="Arial"/>
          <w:sz w:val="22"/>
          <w:szCs w:val="22"/>
        </w:rPr>
      </w:pPr>
    </w:p>
    <w:p w14:paraId="797B8996" w14:textId="71D4BC54" w:rsidR="0064528C" w:rsidRPr="0021514E" w:rsidRDefault="0064528C" w:rsidP="00D60397">
      <w:pPr>
        <w:rPr>
          <w:rFonts w:ascii="Arial" w:hAnsi="Arial" w:cs="Arial"/>
          <w:sz w:val="22"/>
          <w:szCs w:val="22"/>
        </w:rPr>
      </w:pPr>
      <w:r w:rsidRPr="0021514E">
        <w:rPr>
          <w:rFonts w:ascii="Arial" w:hAnsi="Arial" w:cs="Arial"/>
          <w:sz w:val="22"/>
          <w:szCs w:val="22"/>
        </w:rPr>
        <w:lastRenderedPageBreak/>
        <w:t>RESEARCH OBJECTIVE:</w:t>
      </w:r>
    </w:p>
    <w:p w14:paraId="71FBC50E" w14:textId="3457F4EA" w:rsidR="0064528C" w:rsidRPr="0021514E" w:rsidRDefault="0064528C" w:rsidP="0064528C">
      <w:pPr>
        <w:pStyle w:val="ListParagraph"/>
        <w:numPr>
          <w:ilvl w:val="0"/>
          <w:numId w:val="1"/>
        </w:numPr>
        <w:rPr>
          <w:rFonts w:ascii="Arial" w:hAnsi="Arial" w:cs="Arial"/>
          <w:sz w:val="22"/>
          <w:szCs w:val="22"/>
        </w:rPr>
      </w:pPr>
      <w:r w:rsidRPr="0021514E">
        <w:rPr>
          <w:rFonts w:ascii="Arial" w:hAnsi="Arial" w:cs="Arial"/>
          <w:sz w:val="22"/>
          <w:szCs w:val="22"/>
        </w:rPr>
        <w:t>Describe the growth of Indian food in the UK's past, emphasizing significant turning points including the opening of the first curry establishments, the rise of regional variants, and the development of cooking methods.</w:t>
      </w:r>
    </w:p>
    <w:p w14:paraId="59854397" w14:textId="34EC42C2" w:rsidR="0064528C" w:rsidRPr="0021514E" w:rsidRDefault="0064528C" w:rsidP="0064528C">
      <w:pPr>
        <w:pStyle w:val="ListParagraph"/>
        <w:numPr>
          <w:ilvl w:val="0"/>
          <w:numId w:val="1"/>
        </w:numPr>
        <w:rPr>
          <w:rFonts w:ascii="Arial" w:hAnsi="Arial" w:cs="Arial"/>
          <w:sz w:val="22"/>
          <w:szCs w:val="22"/>
        </w:rPr>
      </w:pPr>
      <w:r w:rsidRPr="0021514E">
        <w:rPr>
          <w:rFonts w:ascii="Arial" w:hAnsi="Arial" w:cs="Arial"/>
          <w:sz w:val="22"/>
          <w:szCs w:val="22"/>
        </w:rPr>
        <w:t>Examine the cultural and societal elements that have shaped the acceptance and appeal of Indian food in British culture, such as consumer choice shifts, immigration trends, and the effects of globalization on eating habits.</w:t>
      </w:r>
    </w:p>
    <w:p w14:paraId="46AECDCA" w14:textId="77777777" w:rsidR="00570820" w:rsidRPr="0021514E" w:rsidRDefault="0064528C" w:rsidP="00570820">
      <w:pPr>
        <w:pStyle w:val="ListParagraph"/>
        <w:numPr>
          <w:ilvl w:val="0"/>
          <w:numId w:val="1"/>
        </w:numPr>
        <w:rPr>
          <w:rFonts w:ascii="Arial" w:hAnsi="Arial" w:cs="Arial"/>
          <w:sz w:val="22"/>
          <w:szCs w:val="22"/>
        </w:rPr>
      </w:pPr>
      <w:r w:rsidRPr="0021514E">
        <w:rPr>
          <w:rFonts w:ascii="Arial" w:hAnsi="Arial" w:cs="Arial"/>
          <w:sz w:val="22"/>
          <w:szCs w:val="22"/>
        </w:rPr>
        <w:t>Examine the changes in Indian food that have taken place in the UK, especially the shift from the traditional foods found in curry houses to the establishment of high-end, Michelin-starred restaurants. To fulfil the needs of a more discriminating and diversified audience, this entails evaluating how chefs have upgraded Indian tastes, ingredients, and presentation techniques.</w:t>
      </w:r>
    </w:p>
    <w:p w14:paraId="0BCFADDB" w14:textId="77777777" w:rsidR="00844986" w:rsidRDefault="00844986" w:rsidP="00570820">
      <w:pPr>
        <w:rPr>
          <w:rFonts w:ascii="Arial" w:hAnsi="Arial" w:cs="Arial"/>
          <w:sz w:val="22"/>
          <w:szCs w:val="22"/>
        </w:rPr>
      </w:pPr>
    </w:p>
    <w:p w14:paraId="27F953C7" w14:textId="14F811CD" w:rsidR="00570820" w:rsidRPr="0021514E" w:rsidRDefault="00570820" w:rsidP="00570820">
      <w:pPr>
        <w:rPr>
          <w:rFonts w:ascii="Arial" w:hAnsi="Arial" w:cs="Arial"/>
          <w:sz w:val="22"/>
          <w:szCs w:val="22"/>
        </w:rPr>
      </w:pPr>
      <w:r w:rsidRPr="0021514E">
        <w:rPr>
          <w:rFonts w:ascii="Arial" w:hAnsi="Arial" w:cs="Arial"/>
          <w:sz w:val="22"/>
          <w:szCs w:val="22"/>
        </w:rPr>
        <w:t>RESEARCH QU</w:t>
      </w:r>
      <w:r w:rsidR="00B7336E" w:rsidRPr="0021514E">
        <w:rPr>
          <w:rFonts w:ascii="Arial" w:hAnsi="Arial" w:cs="Arial"/>
          <w:sz w:val="22"/>
          <w:szCs w:val="22"/>
        </w:rPr>
        <w:t>ESTION:</w:t>
      </w:r>
    </w:p>
    <w:p w14:paraId="16747612" w14:textId="5B7A4F25" w:rsidR="00B7336E" w:rsidRPr="0021514E" w:rsidRDefault="00112F0C" w:rsidP="00112F0C">
      <w:pPr>
        <w:pStyle w:val="ListParagraph"/>
        <w:numPr>
          <w:ilvl w:val="0"/>
          <w:numId w:val="2"/>
        </w:numPr>
        <w:rPr>
          <w:rFonts w:ascii="Arial" w:hAnsi="Arial" w:cs="Arial"/>
          <w:sz w:val="22"/>
          <w:szCs w:val="22"/>
        </w:rPr>
      </w:pPr>
      <w:r w:rsidRPr="0021514E">
        <w:rPr>
          <w:rFonts w:ascii="Arial" w:hAnsi="Arial" w:cs="Arial"/>
          <w:sz w:val="22"/>
          <w:szCs w:val="22"/>
        </w:rPr>
        <w:t>What role have curry houses had in influencing British culinary preferences, and how have they helped to popularize and accept Indian food in the mainstream in the UK?</w:t>
      </w:r>
    </w:p>
    <w:p w14:paraId="3B8B5242" w14:textId="43151FDE" w:rsidR="00F226F7" w:rsidRPr="0021514E" w:rsidRDefault="00F226F7" w:rsidP="00112F0C">
      <w:pPr>
        <w:pStyle w:val="ListParagraph"/>
        <w:numPr>
          <w:ilvl w:val="0"/>
          <w:numId w:val="2"/>
        </w:numPr>
        <w:rPr>
          <w:rFonts w:ascii="Arial" w:hAnsi="Arial" w:cs="Arial"/>
          <w:sz w:val="22"/>
          <w:szCs w:val="22"/>
        </w:rPr>
      </w:pPr>
      <w:r w:rsidRPr="0021514E">
        <w:rPr>
          <w:rFonts w:ascii="Arial" w:hAnsi="Arial" w:cs="Arial"/>
          <w:sz w:val="22"/>
          <w:szCs w:val="22"/>
        </w:rPr>
        <w:t>What sociocultural elements have shaped Indian food's development in the UK and how have they affected how Indian food is viewed, eaten, and assimilated into British cuisine?</w:t>
      </w:r>
    </w:p>
    <w:p w14:paraId="3C875E1E" w14:textId="2A31F48E" w:rsidR="00342B52" w:rsidRPr="0021514E" w:rsidRDefault="00342B52" w:rsidP="00112F0C">
      <w:pPr>
        <w:pStyle w:val="ListParagraph"/>
        <w:numPr>
          <w:ilvl w:val="0"/>
          <w:numId w:val="2"/>
        </w:numPr>
        <w:rPr>
          <w:rFonts w:ascii="Arial" w:hAnsi="Arial" w:cs="Arial"/>
          <w:sz w:val="22"/>
          <w:szCs w:val="22"/>
        </w:rPr>
      </w:pPr>
      <w:r w:rsidRPr="0021514E">
        <w:rPr>
          <w:rFonts w:ascii="Arial" w:hAnsi="Arial" w:cs="Arial"/>
          <w:sz w:val="22"/>
          <w:szCs w:val="22"/>
        </w:rPr>
        <w:t>What are the main reasons for the shift in Indian food from cheap, family-run curry joints to fancy, Michelin-starred restaurants in the UK, and what improvements and changes have been made to the cuisine along the way?</w:t>
      </w:r>
    </w:p>
    <w:p w14:paraId="0960FA33" w14:textId="77777777" w:rsidR="00342B52" w:rsidRPr="0021514E" w:rsidRDefault="00342B52" w:rsidP="00342B52">
      <w:pPr>
        <w:ind w:left="360"/>
        <w:rPr>
          <w:rFonts w:ascii="Arial" w:hAnsi="Arial" w:cs="Arial"/>
          <w:sz w:val="22"/>
          <w:szCs w:val="22"/>
        </w:rPr>
      </w:pPr>
    </w:p>
    <w:p w14:paraId="262405B8" w14:textId="328C9B37" w:rsidR="00342B52" w:rsidRPr="0021514E" w:rsidRDefault="00F82B84" w:rsidP="00966A38">
      <w:pPr>
        <w:rPr>
          <w:rFonts w:ascii="Arial" w:hAnsi="Arial" w:cs="Arial"/>
          <w:sz w:val="22"/>
          <w:szCs w:val="22"/>
        </w:rPr>
      </w:pPr>
      <w:r w:rsidRPr="0021514E">
        <w:rPr>
          <w:rFonts w:ascii="Arial" w:hAnsi="Arial" w:cs="Arial"/>
          <w:sz w:val="22"/>
          <w:szCs w:val="22"/>
        </w:rPr>
        <w:t>LITERATURE REVIEW</w:t>
      </w:r>
      <w:r w:rsidR="00A9356F" w:rsidRPr="0021514E">
        <w:rPr>
          <w:rFonts w:ascii="Arial" w:hAnsi="Arial" w:cs="Arial"/>
          <w:sz w:val="22"/>
          <w:szCs w:val="22"/>
        </w:rPr>
        <w:t>:</w:t>
      </w:r>
    </w:p>
    <w:p w14:paraId="145E1C19" w14:textId="5E64C74D" w:rsidR="00F164D3" w:rsidRPr="0021514E" w:rsidRDefault="006D3E6A" w:rsidP="006D3E6A">
      <w:pPr>
        <w:ind w:left="360"/>
        <w:rPr>
          <w:rFonts w:ascii="Arial" w:hAnsi="Arial" w:cs="Arial"/>
          <w:sz w:val="22"/>
          <w:szCs w:val="22"/>
        </w:rPr>
      </w:pPr>
      <w:r w:rsidRPr="0021514E">
        <w:rPr>
          <w:rFonts w:ascii="Arial" w:hAnsi="Arial" w:cs="Arial"/>
          <w:sz w:val="22"/>
          <w:szCs w:val="22"/>
        </w:rPr>
        <w:t xml:space="preserve">Empire, </w:t>
      </w:r>
      <w:proofErr w:type="gramStart"/>
      <w:r w:rsidRPr="0021514E">
        <w:rPr>
          <w:rFonts w:ascii="Arial" w:hAnsi="Arial" w:cs="Arial"/>
          <w:sz w:val="22"/>
          <w:szCs w:val="22"/>
        </w:rPr>
        <w:t>Food</w:t>
      </w:r>
      <w:proofErr w:type="gramEnd"/>
      <w:r w:rsidRPr="0021514E">
        <w:rPr>
          <w:rFonts w:ascii="Arial" w:hAnsi="Arial" w:cs="Arial"/>
          <w:sz w:val="22"/>
          <w:szCs w:val="22"/>
        </w:rPr>
        <w:t xml:space="preserve"> and the Diaspora: Indian Restaurants in Britain</w:t>
      </w:r>
      <w:r w:rsidR="00DB1FD9" w:rsidRPr="0021514E">
        <w:rPr>
          <w:rFonts w:ascii="Arial" w:hAnsi="Arial" w:cs="Arial"/>
          <w:sz w:val="22"/>
          <w:szCs w:val="22"/>
        </w:rPr>
        <w:t>-</w:t>
      </w:r>
      <w:r w:rsidR="00DE731D" w:rsidRPr="0021514E">
        <w:rPr>
          <w:rFonts w:ascii="Arial" w:hAnsi="Arial" w:cs="Arial"/>
          <w:sz w:val="22"/>
          <w:szCs w:val="22"/>
        </w:rPr>
        <w:t xml:space="preserve"> </w:t>
      </w:r>
      <w:r w:rsidR="00BB7B95" w:rsidRPr="0021514E">
        <w:rPr>
          <w:rFonts w:ascii="Arial" w:hAnsi="Arial" w:cs="Arial"/>
          <w:sz w:val="22"/>
          <w:szCs w:val="22"/>
        </w:rPr>
        <w:t xml:space="preserve">Even though they are referred to as "Indian restaurants," the family-run curry establishments that line Britain's high streets are mostly owned and operated by immigrants from Bangladesh, India, and Pakistan. This article relates the development of these eateries in Britain to the history of colonialism, immigration following independence, and current political shifts. It examines colonial history, migratory trends, and the shifting industrial fortunes of India and Britain in the wake of World War II in relation to the popularity of curry houses and the ongoing bigotry committed by white Britons against the wait staff and customers. Upmarket restaurants have sprung up, and diasporic groups have sharply divided </w:t>
      </w:r>
      <w:proofErr w:type="gramStart"/>
      <w:r w:rsidR="00BB7B95" w:rsidRPr="0021514E">
        <w:rPr>
          <w:rFonts w:ascii="Arial" w:hAnsi="Arial" w:cs="Arial"/>
          <w:sz w:val="22"/>
          <w:szCs w:val="22"/>
        </w:rPr>
        <w:t>as a result of</w:t>
      </w:r>
      <w:proofErr w:type="gramEnd"/>
      <w:r w:rsidR="00BB7B95" w:rsidRPr="0021514E">
        <w:rPr>
          <w:rFonts w:ascii="Arial" w:hAnsi="Arial" w:cs="Arial"/>
          <w:sz w:val="22"/>
          <w:szCs w:val="22"/>
        </w:rPr>
        <w:t xml:space="preserve"> the development of rich and well-respected Indians and Asians who were born in Britain.</w:t>
      </w:r>
    </w:p>
    <w:p w14:paraId="5D729EDF" w14:textId="77777777" w:rsidR="007E7B19" w:rsidRPr="0021514E" w:rsidRDefault="007E28FA" w:rsidP="006D3E6A">
      <w:pPr>
        <w:ind w:left="360"/>
        <w:rPr>
          <w:rFonts w:ascii="Arial" w:hAnsi="Arial" w:cs="Arial"/>
          <w:sz w:val="22"/>
          <w:szCs w:val="22"/>
        </w:rPr>
      </w:pPr>
      <w:r w:rsidRPr="0021514E">
        <w:rPr>
          <w:rFonts w:ascii="Arial" w:hAnsi="Arial" w:cs="Arial"/>
          <w:sz w:val="22"/>
          <w:szCs w:val="22"/>
        </w:rPr>
        <w:t>Indian Cuisine—The Cultural Connection</w:t>
      </w:r>
      <w:r w:rsidR="00FF405D" w:rsidRPr="0021514E">
        <w:rPr>
          <w:rFonts w:ascii="Arial" w:hAnsi="Arial" w:cs="Arial"/>
          <w:sz w:val="22"/>
          <w:szCs w:val="22"/>
        </w:rPr>
        <w:t xml:space="preserve">- </w:t>
      </w:r>
      <w:r w:rsidR="002E2872" w:rsidRPr="0021514E">
        <w:rPr>
          <w:rFonts w:ascii="Arial" w:hAnsi="Arial" w:cs="Arial"/>
          <w:sz w:val="22"/>
          <w:szCs w:val="22"/>
        </w:rPr>
        <w:t>Due to globalization, immigration, the ease of access to online recipe books, and a rise in tourism, Indian food has become increasingly popular, particularly in the West. Indian cuisine has cemented its position on the new global menu, with dishes like "chicken tikka masala" becoming the national dish of Britain and several Indian specialties showing up on various international flights. Indian food has changed over time and is closely related to the country's geography, history, and culture.</w:t>
      </w:r>
      <w:r w:rsidR="00235A42" w:rsidRPr="0021514E">
        <w:rPr>
          <w:rFonts w:ascii="Arial" w:hAnsi="Arial" w:cs="Arial"/>
          <w:sz w:val="22"/>
          <w:szCs w:val="22"/>
        </w:rPr>
        <w:t xml:space="preserve"> Dietary habits have also changed in response to different religious beliefs. Ayurveda, the popular traditional Indian medical system, has unquestionably had a significant impact on many Indian cuisine dishes and eating customs. A defining </w:t>
      </w:r>
      <w:r w:rsidR="00235A42" w:rsidRPr="0021514E">
        <w:rPr>
          <w:rFonts w:ascii="Arial" w:hAnsi="Arial" w:cs="Arial"/>
          <w:sz w:val="22"/>
          <w:szCs w:val="22"/>
        </w:rPr>
        <w:lastRenderedPageBreak/>
        <w:t xml:space="preserve">characteristic of Indian cuisine has always been the availability and production of a wide variety of spices, as well as their widespread application in several recipes. Indian cuisine is undergoing a lot of new changes in addition to the classic recipes to suit the fast-food lifestyle. Indian food is anticipated to become more and more popular in the future because of recent nutritional study that suggests many of the components used in Indian cuisine have tremendous health advantages and because Indian dishes are becoming more and more popular worldwide. </w:t>
      </w:r>
      <w:r w:rsidR="00235A42" w:rsidRPr="0021514E">
        <w:rPr>
          <w:rFonts w:ascii="Arial" w:hAnsi="Arial" w:cs="Arial"/>
          <w:sz w:val="22"/>
          <w:szCs w:val="22"/>
        </w:rPr>
        <w:br/>
      </w:r>
    </w:p>
    <w:p w14:paraId="355F3B74" w14:textId="77777777" w:rsidR="00313C93" w:rsidRPr="0021514E" w:rsidRDefault="007E7B19" w:rsidP="006D3E6A">
      <w:pPr>
        <w:ind w:left="360"/>
        <w:rPr>
          <w:rFonts w:ascii="Arial" w:hAnsi="Arial" w:cs="Arial"/>
          <w:sz w:val="22"/>
          <w:szCs w:val="22"/>
        </w:rPr>
      </w:pPr>
      <w:r w:rsidRPr="0021514E">
        <w:rPr>
          <w:rFonts w:ascii="Arial" w:hAnsi="Arial" w:cs="Arial"/>
          <w:sz w:val="22"/>
          <w:szCs w:val="22"/>
        </w:rPr>
        <w:t>RESEARCH RISK</w:t>
      </w:r>
      <w:r w:rsidR="00313C93" w:rsidRPr="0021514E">
        <w:rPr>
          <w:rFonts w:ascii="Arial" w:hAnsi="Arial" w:cs="Arial"/>
          <w:sz w:val="22"/>
          <w:szCs w:val="22"/>
        </w:rPr>
        <w:t>:</w:t>
      </w:r>
    </w:p>
    <w:p w14:paraId="3DCDE510" w14:textId="77777777" w:rsidR="006F0C4D" w:rsidRPr="0021514E" w:rsidRDefault="00313C93" w:rsidP="006D3E6A">
      <w:pPr>
        <w:ind w:left="360"/>
        <w:rPr>
          <w:rFonts w:ascii="Arial" w:hAnsi="Arial" w:cs="Arial"/>
          <w:sz w:val="22"/>
          <w:szCs w:val="22"/>
        </w:rPr>
      </w:pPr>
      <w:r w:rsidRPr="0021514E">
        <w:rPr>
          <w:rFonts w:ascii="Arial" w:hAnsi="Arial" w:cs="Arial"/>
          <w:sz w:val="22"/>
          <w:szCs w:val="22"/>
        </w:rPr>
        <w:t>Research on how Indian food has developed in the UK and how it has influenced British culinary identity may run the risk of oversimplifying or generalizing a variety of culinary experiences and cultural dynamics. It is easy to forget about the geographical differences in Indian food and the complexity of British culinary culture, which includes influences from different immigrant groups and historical customs. The validity and depth of the research findings may be compromised if this intricacy is not taken into consideration, since it might promote preconceptions or misrepresent culinary practices.</w:t>
      </w:r>
      <w:r w:rsidR="00267BEB" w:rsidRPr="0021514E">
        <w:rPr>
          <w:rFonts w:ascii="Arial" w:hAnsi="Arial" w:cs="Arial"/>
          <w:sz w:val="22"/>
          <w:szCs w:val="22"/>
        </w:rPr>
        <w:t xml:space="preserve"> </w:t>
      </w:r>
      <w:proofErr w:type="gramStart"/>
      <w:r w:rsidR="00267BEB" w:rsidRPr="0021514E">
        <w:rPr>
          <w:rFonts w:ascii="Arial" w:hAnsi="Arial" w:cs="Arial"/>
          <w:sz w:val="22"/>
          <w:szCs w:val="22"/>
        </w:rPr>
        <w:t>In order to</w:t>
      </w:r>
      <w:proofErr w:type="gramEnd"/>
      <w:r w:rsidR="00267BEB" w:rsidRPr="0021514E">
        <w:rPr>
          <w:rFonts w:ascii="Arial" w:hAnsi="Arial" w:cs="Arial"/>
          <w:sz w:val="22"/>
          <w:szCs w:val="22"/>
        </w:rPr>
        <w:t xml:space="preserve"> reduce this risk, researchers ought to take a nuanced and inclusive stance that recognizes the variety of culinary customs and cultural influences while actively attempting to include the voices and viewpoints of people from various backgrounds in both the Indian and British communities. A more thorough and nuanced grasp of the subject may also be ensured by utilizing multidisciplinary approaches and interacting with stakeholders like chefs, restaurateurs, and customers.</w:t>
      </w:r>
    </w:p>
    <w:p w14:paraId="4445218C" w14:textId="77777777" w:rsidR="00336449" w:rsidRPr="0021514E" w:rsidRDefault="00336449" w:rsidP="006D3E6A">
      <w:pPr>
        <w:ind w:left="360"/>
        <w:rPr>
          <w:rFonts w:ascii="Arial" w:hAnsi="Arial" w:cs="Arial"/>
          <w:sz w:val="22"/>
          <w:szCs w:val="22"/>
        </w:rPr>
      </w:pPr>
    </w:p>
    <w:p w14:paraId="5164EACD" w14:textId="6AA3C5E9" w:rsidR="00CD68E3" w:rsidRPr="0021514E" w:rsidRDefault="00BF52B6" w:rsidP="006D3E6A">
      <w:pPr>
        <w:ind w:left="360"/>
        <w:rPr>
          <w:rFonts w:ascii="Arial" w:hAnsi="Arial" w:cs="Arial"/>
          <w:sz w:val="22"/>
          <w:szCs w:val="22"/>
        </w:rPr>
      </w:pPr>
      <w:r w:rsidRPr="0021514E">
        <w:rPr>
          <w:rFonts w:ascii="Arial" w:hAnsi="Arial" w:cs="Arial"/>
          <w:sz w:val="22"/>
          <w:szCs w:val="22"/>
        </w:rPr>
        <w:t>METHODOLOGY:</w:t>
      </w:r>
    </w:p>
    <w:p w14:paraId="35948E4D" w14:textId="1021697B" w:rsidR="00BF52B6" w:rsidRPr="0021514E" w:rsidRDefault="001B3D9A" w:rsidP="006D3E6A">
      <w:pPr>
        <w:ind w:left="360"/>
        <w:rPr>
          <w:rFonts w:ascii="Arial" w:hAnsi="Arial" w:cs="Arial"/>
          <w:sz w:val="22"/>
          <w:szCs w:val="22"/>
        </w:rPr>
      </w:pPr>
      <w:r w:rsidRPr="0021514E">
        <w:rPr>
          <w:rFonts w:ascii="Arial" w:hAnsi="Arial" w:cs="Arial"/>
          <w:sz w:val="22"/>
          <w:szCs w:val="22"/>
        </w:rPr>
        <w:t xml:space="preserve">Research techniques, both qualitative and quantitative, can offer insightful information about how Indian food has changed in the UK and how it has influenced British culinary identity. Selecting between qualitative and quantitative methods is contingent upon the </w:t>
      </w:r>
      <w:proofErr w:type="gramStart"/>
      <w:r w:rsidRPr="0021514E">
        <w:rPr>
          <w:rFonts w:ascii="Arial" w:hAnsi="Arial" w:cs="Arial"/>
          <w:sz w:val="22"/>
          <w:szCs w:val="22"/>
        </w:rPr>
        <w:t>particular study</w:t>
      </w:r>
      <w:proofErr w:type="gramEnd"/>
      <w:r w:rsidRPr="0021514E">
        <w:rPr>
          <w:rFonts w:ascii="Arial" w:hAnsi="Arial" w:cs="Arial"/>
          <w:sz w:val="22"/>
          <w:szCs w:val="22"/>
        </w:rPr>
        <w:t xml:space="preserve"> questions, goals, and level of comprehension needed.</w:t>
      </w:r>
    </w:p>
    <w:p w14:paraId="70DE6F80" w14:textId="6FA1A6A1" w:rsidR="00CD68E3" w:rsidRPr="0021514E" w:rsidRDefault="00E85198" w:rsidP="006D3E6A">
      <w:pPr>
        <w:ind w:left="360"/>
        <w:rPr>
          <w:rFonts w:ascii="Arial" w:hAnsi="Arial" w:cs="Arial"/>
          <w:sz w:val="22"/>
          <w:szCs w:val="22"/>
        </w:rPr>
      </w:pPr>
      <w:r w:rsidRPr="0021514E">
        <w:rPr>
          <w:rFonts w:ascii="Arial" w:hAnsi="Arial" w:cs="Arial"/>
          <w:sz w:val="22"/>
          <w:szCs w:val="22"/>
        </w:rPr>
        <w:t>But qu</w:t>
      </w:r>
      <w:r w:rsidR="00CA4683" w:rsidRPr="0021514E">
        <w:rPr>
          <w:rFonts w:ascii="Arial" w:hAnsi="Arial" w:cs="Arial"/>
          <w:sz w:val="22"/>
          <w:szCs w:val="22"/>
        </w:rPr>
        <w:t>alitative technique is used here,</w:t>
      </w:r>
    </w:p>
    <w:p w14:paraId="2A382CC1" w14:textId="77777777" w:rsidR="00897DA8" w:rsidRPr="0021514E" w:rsidRDefault="00897DA8" w:rsidP="00897DA8">
      <w:pPr>
        <w:pStyle w:val="ListParagraph"/>
        <w:numPr>
          <w:ilvl w:val="0"/>
          <w:numId w:val="3"/>
        </w:numPr>
        <w:rPr>
          <w:rFonts w:ascii="Arial" w:hAnsi="Arial" w:cs="Arial"/>
          <w:sz w:val="22"/>
          <w:szCs w:val="22"/>
        </w:rPr>
      </w:pPr>
      <w:r w:rsidRPr="0021514E">
        <w:rPr>
          <w:rFonts w:ascii="Arial" w:hAnsi="Arial" w:cs="Arial"/>
          <w:sz w:val="22"/>
          <w:szCs w:val="22"/>
        </w:rPr>
        <w:t xml:space="preserve">Focus groups and interviews are examples of qualitative research methods that work well for examining complicated phenomena, gathering varied viewpoints, and comprehending people's lived experiences. </w:t>
      </w:r>
    </w:p>
    <w:p w14:paraId="1154C988" w14:textId="77777777" w:rsidR="00897DA8" w:rsidRPr="0021514E" w:rsidRDefault="00897DA8" w:rsidP="00897DA8">
      <w:pPr>
        <w:pStyle w:val="ListParagraph"/>
        <w:numPr>
          <w:ilvl w:val="0"/>
          <w:numId w:val="3"/>
        </w:numPr>
        <w:rPr>
          <w:rFonts w:ascii="Arial" w:hAnsi="Arial" w:cs="Arial"/>
          <w:sz w:val="22"/>
          <w:szCs w:val="22"/>
        </w:rPr>
      </w:pPr>
      <w:r w:rsidRPr="0021514E">
        <w:rPr>
          <w:rFonts w:ascii="Arial" w:hAnsi="Arial" w:cs="Arial"/>
          <w:sz w:val="22"/>
          <w:szCs w:val="22"/>
        </w:rPr>
        <w:t>Qualitative research offers deep and complex insights into the subject by enabling in-depth investigation of attitudes, beliefs, motives, and cultural influences pertaining to Indian food in the UK.</w:t>
      </w:r>
    </w:p>
    <w:p w14:paraId="02C35A09" w14:textId="77777777" w:rsidR="001F4A18" w:rsidRPr="0021514E" w:rsidRDefault="001F4A18" w:rsidP="00897DA8">
      <w:pPr>
        <w:pStyle w:val="ListParagraph"/>
        <w:numPr>
          <w:ilvl w:val="0"/>
          <w:numId w:val="3"/>
        </w:numPr>
        <w:rPr>
          <w:rFonts w:ascii="Arial" w:hAnsi="Arial" w:cs="Arial"/>
          <w:sz w:val="22"/>
          <w:szCs w:val="22"/>
        </w:rPr>
      </w:pPr>
      <w:r w:rsidRPr="0021514E">
        <w:rPr>
          <w:rFonts w:ascii="Arial" w:hAnsi="Arial" w:cs="Arial"/>
          <w:sz w:val="22"/>
          <w:szCs w:val="22"/>
        </w:rPr>
        <w:t xml:space="preserve">It can assist in revealing social dynamics, underlying meanings, and patterns that might not be immediately obvious from quantitative data alone. </w:t>
      </w:r>
    </w:p>
    <w:p w14:paraId="2E2BDC44" w14:textId="6DE3934D" w:rsidR="00CD68E3" w:rsidRPr="0021514E" w:rsidRDefault="00F94D66" w:rsidP="00B84021">
      <w:pPr>
        <w:pStyle w:val="ListParagraph"/>
        <w:numPr>
          <w:ilvl w:val="0"/>
          <w:numId w:val="3"/>
        </w:numPr>
        <w:rPr>
          <w:rFonts w:ascii="Arial" w:hAnsi="Arial" w:cs="Arial"/>
          <w:sz w:val="22"/>
          <w:szCs w:val="22"/>
        </w:rPr>
      </w:pPr>
      <w:r w:rsidRPr="0021514E">
        <w:rPr>
          <w:rFonts w:ascii="Arial" w:hAnsi="Arial" w:cs="Arial"/>
          <w:sz w:val="22"/>
          <w:szCs w:val="22"/>
        </w:rPr>
        <w:t>Investigating subjective experiences, cultural quirks, and the social context of culinary practices are areas where qualitative research excels.</w:t>
      </w:r>
      <w:r w:rsidRPr="0021514E">
        <w:rPr>
          <w:rFonts w:ascii="Arial" w:hAnsi="Arial" w:cs="Arial"/>
          <w:sz w:val="22"/>
          <w:szCs w:val="22"/>
        </w:rPr>
        <w:br/>
      </w:r>
    </w:p>
    <w:p w14:paraId="233CCB27" w14:textId="77777777" w:rsidR="00CD68E3" w:rsidRDefault="00CD68E3" w:rsidP="006D3E6A">
      <w:pPr>
        <w:ind w:left="360"/>
      </w:pPr>
    </w:p>
    <w:p w14:paraId="5C736F95" w14:textId="77777777" w:rsidR="00844986" w:rsidRDefault="00844986" w:rsidP="006D3E6A">
      <w:pPr>
        <w:ind w:left="360"/>
      </w:pPr>
    </w:p>
    <w:p w14:paraId="6AC97229" w14:textId="77777777" w:rsidR="00844986" w:rsidRDefault="00844986" w:rsidP="006D3E6A">
      <w:pPr>
        <w:ind w:left="360"/>
      </w:pPr>
    </w:p>
    <w:p w14:paraId="6484AA1B" w14:textId="77777777" w:rsidR="00844986" w:rsidRDefault="00844986" w:rsidP="006D3E6A">
      <w:pPr>
        <w:ind w:left="360"/>
      </w:pPr>
    </w:p>
    <w:p w14:paraId="470EC79B" w14:textId="4D2D78EB" w:rsidR="00ED2B46" w:rsidRDefault="000D7144" w:rsidP="006D3E6A">
      <w:pPr>
        <w:ind w:left="360"/>
      </w:pPr>
      <w:r>
        <w:t>G</w:t>
      </w:r>
      <w:r w:rsidR="00ED2B46">
        <w:t>ANTT CHART:</w:t>
      </w:r>
    </w:p>
    <w:p w14:paraId="0F8A1EB4" w14:textId="7C60A0DB" w:rsidR="007E28FA" w:rsidRPr="000F1A5E" w:rsidRDefault="00ED2B46" w:rsidP="006D3E6A">
      <w:pPr>
        <w:ind w:left="360"/>
        <w:rPr>
          <w:rFonts w:ascii="Arial" w:hAnsi="Arial" w:cs="Arial"/>
          <w:sz w:val="22"/>
          <w:szCs w:val="22"/>
        </w:rPr>
      </w:pPr>
      <w:r>
        <w:rPr>
          <w:noProof/>
        </w:rPr>
        <w:drawing>
          <wp:inline distT="0" distB="0" distL="0" distR="0" wp14:anchorId="2207EE04" wp14:editId="47B0FFC7">
            <wp:extent cx="5486400" cy="3200400"/>
            <wp:effectExtent l="0" t="0" r="0" b="0"/>
            <wp:docPr id="208468468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235A42">
        <w:br/>
      </w:r>
    </w:p>
    <w:p w14:paraId="531B9BB6" w14:textId="77777777" w:rsidR="00096927" w:rsidRDefault="00096927" w:rsidP="00342B52">
      <w:pPr>
        <w:ind w:left="360"/>
        <w:rPr>
          <w:rFonts w:ascii="Arial" w:hAnsi="Arial" w:cs="Arial"/>
          <w:sz w:val="22"/>
          <w:szCs w:val="22"/>
        </w:rPr>
      </w:pPr>
    </w:p>
    <w:p w14:paraId="331AC5BE" w14:textId="3B2D4778" w:rsidR="00A9356F" w:rsidRDefault="00AE1F51" w:rsidP="00342B52">
      <w:pPr>
        <w:ind w:left="360"/>
        <w:rPr>
          <w:rFonts w:ascii="Arial" w:hAnsi="Arial" w:cs="Arial"/>
          <w:sz w:val="22"/>
          <w:szCs w:val="22"/>
        </w:rPr>
      </w:pPr>
      <w:r>
        <w:rPr>
          <w:rFonts w:ascii="Arial" w:hAnsi="Arial" w:cs="Arial"/>
          <w:sz w:val="22"/>
          <w:szCs w:val="22"/>
        </w:rPr>
        <w:t>REFERENCE:</w:t>
      </w:r>
    </w:p>
    <w:p w14:paraId="1120E8E2" w14:textId="1FC84D70" w:rsidR="00AE1F51" w:rsidRPr="00C34A2F" w:rsidRDefault="00CD49F6" w:rsidP="00AE1F51">
      <w:pPr>
        <w:pStyle w:val="ListParagraph"/>
        <w:numPr>
          <w:ilvl w:val="0"/>
          <w:numId w:val="4"/>
        </w:numPr>
        <w:rPr>
          <w:rFonts w:ascii="Arial" w:hAnsi="Arial" w:cs="Arial"/>
          <w:sz w:val="22"/>
          <w:szCs w:val="22"/>
        </w:rPr>
      </w:pPr>
      <w:r>
        <w:rPr>
          <w:rFonts w:ascii="Arial" w:hAnsi="Arial" w:cs="Arial"/>
          <w:color w:val="222222"/>
          <w:sz w:val="20"/>
          <w:szCs w:val="20"/>
          <w:shd w:val="clear" w:color="auto" w:fill="FFFFFF"/>
        </w:rPr>
        <w:t xml:space="preserve">Fielding, S.A., 2014. Currying </w:t>
      </w:r>
      <w:proofErr w:type="spellStart"/>
      <w:r>
        <w:rPr>
          <w:rFonts w:ascii="Arial" w:hAnsi="Arial" w:cs="Arial"/>
          <w:color w:val="222222"/>
          <w:sz w:val="20"/>
          <w:szCs w:val="20"/>
          <w:shd w:val="clear" w:color="auto" w:fill="FFFFFF"/>
        </w:rPr>
        <w:t>Flavor</w:t>
      </w:r>
      <w:proofErr w:type="spellEnd"/>
      <w:r>
        <w:rPr>
          <w:rFonts w:ascii="Arial" w:hAnsi="Arial" w:cs="Arial"/>
          <w:color w:val="222222"/>
          <w:sz w:val="20"/>
          <w:szCs w:val="20"/>
          <w:shd w:val="clear" w:color="auto" w:fill="FFFFFF"/>
        </w:rPr>
        <w:t>: Authenticity, Cultural Capital, and the Rise of Indian Food in the United Kingdom. In </w:t>
      </w:r>
      <w:r>
        <w:rPr>
          <w:rFonts w:ascii="Arial" w:hAnsi="Arial" w:cs="Arial"/>
          <w:i/>
          <w:iCs/>
          <w:color w:val="222222"/>
          <w:sz w:val="20"/>
          <w:szCs w:val="20"/>
          <w:shd w:val="clear" w:color="auto" w:fill="FFFFFF"/>
        </w:rPr>
        <w:t>The paradox of authenticity in a globalized world</w:t>
      </w:r>
      <w:r>
        <w:rPr>
          <w:rFonts w:ascii="Arial" w:hAnsi="Arial" w:cs="Arial"/>
          <w:color w:val="222222"/>
          <w:sz w:val="20"/>
          <w:szCs w:val="20"/>
          <w:shd w:val="clear" w:color="auto" w:fill="FFFFFF"/>
        </w:rPr>
        <w:t> (pp. 35-52). New York: Palgrave Macmillan US.</w:t>
      </w:r>
    </w:p>
    <w:p w14:paraId="62E5C1C8" w14:textId="4FAFB6D5" w:rsidR="00C34A2F" w:rsidRPr="00096927" w:rsidRDefault="00C34A2F" w:rsidP="00AE1F51">
      <w:pPr>
        <w:pStyle w:val="ListParagraph"/>
        <w:numPr>
          <w:ilvl w:val="0"/>
          <w:numId w:val="4"/>
        </w:numPr>
        <w:rPr>
          <w:rFonts w:ascii="Arial" w:hAnsi="Arial" w:cs="Arial"/>
          <w:sz w:val="22"/>
          <w:szCs w:val="22"/>
        </w:rPr>
      </w:pPr>
      <w:r>
        <w:rPr>
          <w:rFonts w:ascii="Arial" w:hAnsi="Arial" w:cs="Arial"/>
          <w:color w:val="222222"/>
          <w:sz w:val="20"/>
          <w:szCs w:val="20"/>
          <w:shd w:val="clear" w:color="auto" w:fill="FFFFFF"/>
        </w:rPr>
        <w:t xml:space="preserve">Palat, R.A., 2015. Empire, </w:t>
      </w:r>
      <w:proofErr w:type="gramStart"/>
      <w:r>
        <w:rPr>
          <w:rFonts w:ascii="Arial" w:hAnsi="Arial" w:cs="Arial"/>
          <w:color w:val="222222"/>
          <w:sz w:val="20"/>
          <w:szCs w:val="20"/>
          <w:shd w:val="clear" w:color="auto" w:fill="FFFFFF"/>
        </w:rPr>
        <w:t>food</w:t>
      </w:r>
      <w:proofErr w:type="gramEnd"/>
      <w:r>
        <w:rPr>
          <w:rFonts w:ascii="Arial" w:hAnsi="Arial" w:cs="Arial"/>
          <w:color w:val="222222"/>
          <w:sz w:val="20"/>
          <w:szCs w:val="20"/>
          <w:shd w:val="clear" w:color="auto" w:fill="FFFFFF"/>
        </w:rPr>
        <w:t xml:space="preserve"> and the diaspora: Indian restaurants in Britain. </w:t>
      </w:r>
      <w:r>
        <w:rPr>
          <w:rFonts w:ascii="Arial" w:hAnsi="Arial" w:cs="Arial"/>
          <w:i/>
          <w:iCs/>
          <w:color w:val="222222"/>
          <w:sz w:val="20"/>
          <w:szCs w:val="20"/>
          <w:shd w:val="clear" w:color="auto" w:fill="FFFFFF"/>
        </w:rPr>
        <w:t>South Asia: Journal of South Asian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w:t>
      </w:r>
      <w:r>
        <w:rPr>
          <w:rFonts w:ascii="Arial" w:hAnsi="Arial" w:cs="Arial"/>
          <w:color w:val="222222"/>
          <w:sz w:val="20"/>
          <w:szCs w:val="20"/>
          <w:shd w:val="clear" w:color="auto" w:fill="FFFFFF"/>
        </w:rPr>
        <w:t>(2), pp.171-186.</w:t>
      </w:r>
    </w:p>
    <w:p w14:paraId="45BEBDAE" w14:textId="45EE22D0" w:rsidR="00096927" w:rsidRPr="00AE1F51" w:rsidRDefault="00096927" w:rsidP="00AE1F51">
      <w:pPr>
        <w:pStyle w:val="ListParagraph"/>
        <w:numPr>
          <w:ilvl w:val="0"/>
          <w:numId w:val="4"/>
        </w:numPr>
        <w:rPr>
          <w:rFonts w:ascii="Arial" w:hAnsi="Arial" w:cs="Arial"/>
          <w:sz w:val="22"/>
          <w:szCs w:val="22"/>
        </w:rPr>
      </w:pPr>
      <w:proofErr w:type="spellStart"/>
      <w:r>
        <w:rPr>
          <w:rFonts w:ascii="Arial" w:hAnsi="Arial" w:cs="Arial"/>
          <w:color w:val="222222"/>
          <w:sz w:val="20"/>
          <w:szCs w:val="20"/>
          <w:shd w:val="clear" w:color="auto" w:fill="FFFFFF"/>
        </w:rPr>
        <w:t>Mangalassary</w:t>
      </w:r>
      <w:proofErr w:type="spellEnd"/>
      <w:r>
        <w:rPr>
          <w:rFonts w:ascii="Arial" w:hAnsi="Arial" w:cs="Arial"/>
          <w:color w:val="222222"/>
          <w:sz w:val="20"/>
          <w:szCs w:val="20"/>
          <w:shd w:val="clear" w:color="auto" w:fill="FFFFFF"/>
        </w:rPr>
        <w:t>, S., 2016. Indian cuisine—the cultural connection. </w:t>
      </w:r>
      <w:r>
        <w:rPr>
          <w:rFonts w:ascii="Arial" w:hAnsi="Arial" w:cs="Arial"/>
          <w:i/>
          <w:iCs/>
          <w:color w:val="222222"/>
          <w:sz w:val="20"/>
          <w:szCs w:val="20"/>
          <w:shd w:val="clear" w:color="auto" w:fill="FFFFFF"/>
        </w:rPr>
        <w:t>Indigenous Culture, Education and Globalization: Critical Perspectives from Asia</w:t>
      </w:r>
      <w:r>
        <w:rPr>
          <w:rFonts w:ascii="Arial" w:hAnsi="Arial" w:cs="Arial"/>
          <w:color w:val="222222"/>
          <w:sz w:val="20"/>
          <w:szCs w:val="20"/>
          <w:shd w:val="clear" w:color="auto" w:fill="FFFFFF"/>
        </w:rPr>
        <w:t>, pp.119-134.</w:t>
      </w:r>
    </w:p>
    <w:p w14:paraId="2077CB9E" w14:textId="77777777" w:rsidR="00FD3E57" w:rsidRPr="000F1A5E" w:rsidRDefault="00FD3E57" w:rsidP="00D60397">
      <w:pPr>
        <w:rPr>
          <w:rFonts w:ascii="Arial" w:hAnsi="Arial" w:cs="Arial"/>
          <w:sz w:val="22"/>
          <w:szCs w:val="22"/>
        </w:rPr>
      </w:pPr>
    </w:p>
    <w:p w14:paraId="430B351B" w14:textId="77777777" w:rsidR="00FD3E57" w:rsidRPr="000F1A5E" w:rsidRDefault="00FD3E57" w:rsidP="00D60397">
      <w:pPr>
        <w:rPr>
          <w:rFonts w:ascii="Arial" w:hAnsi="Arial" w:cs="Arial"/>
          <w:b/>
          <w:bCs/>
          <w:sz w:val="22"/>
          <w:szCs w:val="22"/>
        </w:rPr>
      </w:pPr>
    </w:p>
    <w:p w14:paraId="5F03B0AD" w14:textId="77777777" w:rsidR="00FD3E57" w:rsidRPr="000F1A5E" w:rsidRDefault="00FD3E57" w:rsidP="00D60397">
      <w:pPr>
        <w:rPr>
          <w:rFonts w:ascii="Arial" w:hAnsi="Arial" w:cs="Arial"/>
          <w:sz w:val="22"/>
          <w:szCs w:val="22"/>
        </w:rPr>
      </w:pPr>
    </w:p>
    <w:sectPr w:rsidR="00FD3E57" w:rsidRPr="000F1A5E" w:rsidSect="008B3D5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9C958" w14:textId="77777777" w:rsidR="008B3D54" w:rsidRDefault="008B3D54" w:rsidP="002E025B">
      <w:pPr>
        <w:spacing w:after="0" w:line="240" w:lineRule="auto"/>
      </w:pPr>
      <w:r>
        <w:separator/>
      </w:r>
    </w:p>
  </w:endnote>
  <w:endnote w:type="continuationSeparator" w:id="0">
    <w:p w14:paraId="6B56A42A" w14:textId="77777777" w:rsidR="008B3D54" w:rsidRDefault="008B3D54" w:rsidP="002E0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61C7D" w14:textId="77777777" w:rsidR="002E025B" w:rsidRDefault="002E02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6990531"/>
      <w:docPartObj>
        <w:docPartGallery w:val="Page Numbers (Bottom of Page)"/>
        <w:docPartUnique/>
      </w:docPartObj>
    </w:sdtPr>
    <w:sdtEndPr>
      <w:rPr>
        <w:noProof/>
      </w:rPr>
    </w:sdtEndPr>
    <w:sdtContent>
      <w:p w14:paraId="1E50A92C" w14:textId="28DC2035" w:rsidR="002E025B" w:rsidRDefault="002E02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121F45" w14:textId="77777777" w:rsidR="002E025B" w:rsidRDefault="002E02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E1A3AB" w14:textId="77777777" w:rsidR="002E025B" w:rsidRDefault="002E0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790F1" w14:textId="77777777" w:rsidR="008B3D54" w:rsidRDefault="008B3D54" w:rsidP="002E025B">
      <w:pPr>
        <w:spacing w:after="0" w:line="240" w:lineRule="auto"/>
      </w:pPr>
      <w:r>
        <w:separator/>
      </w:r>
    </w:p>
  </w:footnote>
  <w:footnote w:type="continuationSeparator" w:id="0">
    <w:p w14:paraId="0CC0DC8E" w14:textId="77777777" w:rsidR="008B3D54" w:rsidRDefault="008B3D54" w:rsidP="002E02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A2DF5" w14:textId="77777777" w:rsidR="002E025B" w:rsidRDefault="002E02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F1F545" w14:textId="77777777" w:rsidR="002E025B" w:rsidRDefault="002E02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89A1B" w14:textId="77777777" w:rsidR="002E025B" w:rsidRDefault="002E02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2FFA"/>
    <w:multiLevelType w:val="hybridMultilevel"/>
    <w:tmpl w:val="742C4B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C06CF8"/>
    <w:multiLevelType w:val="hybridMultilevel"/>
    <w:tmpl w:val="885E1F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0A4202"/>
    <w:multiLevelType w:val="hybridMultilevel"/>
    <w:tmpl w:val="099279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0691641"/>
    <w:multiLevelType w:val="hybridMultilevel"/>
    <w:tmpl w:val="FB5CAE6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56882373">
    <w:abstractNumId w:val="1"/>
  </w:num>
  <w:num w:numId="2" w16cid:durableId="68777221">
    <w:abstractNumId w:val="0"/>
  </w:num>
  <w:num w:numId="3" w16cid:durableId="1579629148">
    <w:abstractNumId w:val="2"/>
  </w:num>
  <w:num w:numId="4" w16cid:durableId="15874187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397"/>
    <w:rsid w:val="00032F46"/>
    <w:rsid w:val="00094D67"/>
    <w:rsid w:val="00096927"/>
    <w:rsid w:val="000D7144"/>
    <w:rsid w:val="000F1A5E"/>
    <w:rsid w:val="0010606F"/>
    <w:rsid w:val="00112F0C"/>
    <w:rsid w:val="0012689D"/>
    <w:rsid w:val="001433DE"/>
    <w:rsid w:val="0014390A"/>
    <w:rsid w:val="00191CAB"/>
    <w:rsid w:val="00196B03"/>
    <w:rsid w:val="001B3D9A"/>
    <w:rsid w:val="001C064E"/>
    <w:rsid w:val="001C6699"/>
    <w:rsid w:val="001E2C61"/>
    <w:rsid w:val="001F09FC"/>
    <w:rsid w:val="001F4A18"/>
    <w:rsid w:val="0021514E"/>
    <w:rsid w:val="00235A42"/>
    <w:rsid w:val="00267BEB"/>
    <w:rsid w:val="002E025B"/>
    <w:rsid w:val="002E2872"/>
    <w:rsid w:val="00313C93"/>
    <w:rsid w:val="00336449"/>
    <w:rsid w:val="00342B52"/>
    <w:rsid w:val="00355A0C"/>
    <w:rsid w:val="00381955"/>
    <w:rsid w:val="003F7A9D"/>
    <w:rsid w:val="004949C2"/>
    <w:rsid w:val="00500952"/>
    <w:rsid w:val="00570820"/>
    <w:rsid w:val="006227FF"/>
    <w:rsid w:val="0064528C"/>
    <w:rsid w:val="006D3E6A"/>
    <w:rsid w:val="006F0C4D"/>
    <w:rsid w:val="00764B8B"/>
    <w:rsid w:val="00796F51"/>
    <w:rsid w:val="007A28F5"/>
    <w:rsid w:val="007C4912"/>
    <w:rsid w:val="007D60AB"/>
    <w:rsid w:val="007E28FA"/>
    <w:rsid w:val="007E7B19"/>
    <w:rsid w:val="00844986"/>
    <w:rsid w:val="00897DA8"/>
    <w:rsid w:val="008B239E"/>
    <w:rsid w:val="008B3D54"/>
    <w:rsid w:val="00901FD9"/>
    <w:rsid w:val="00911191"/>
    <w:rsid w:val="0092280B"/>
    <w:rsid w:val="00966A38"/>
    <w:rsid w:val="00A47ED0"/>
    <w:rsid w:val="00A9356F"/>
    <w:rsid w:val="00AA3580"/>
    <w:rsid w:val="00AE1F51"/>
    <w:rsid w:val="00B542F5"/>
    <w:rsid w:val="00B7336E"/>
    <w:rsid w:val="00B84021"/>
    <w:rsid w:val="00BB7B95"/>
    <w:rsid w:val="00BD2526"/>
    <w:rsid w:val="00BF52B6"/>
    <w:rsid w:val="00C34A2F"/>
    <w:rsid w:val="00CA4683"/>
    <w:rsid w:val="00CD49F6"/>
    <w:rsid w:val="00CD68E3"/>
    <w:rsid w:val="00CF4591"/>
    <w:rsid w:val="00D60397"/>
    <w:rsid w:val="00D7633F"/>
    <w:rsid w:val="00D91FFB"/>
    <w:rsid w:val="00DB1FD9"/>
    <w:rsid w:val="00DE731D"/>
    <w:rsid w:val="00E039CD"/>
    <w:rsid w:val="00E265E8"/>
    <w:rsid w:val="00E675FE"/>
    <w:rsid w:val="00E85198"/>
    <w:rsid w:val="00EC3EDB"/>
    <w:rsid w:val="00ED2B46"/>
    <w:rsid w:val="00F164D3"/>
    <w:rsid w:val="00F226F7"/>
    <w:rsid w:val="00F242C1"/>
    <w:rsid w:val="00F6129C"/>
    <w:rsid w:val="00F82B84"/>
    <w:rsid w:val="00F94D66"/>
    <w:rsid w:val="00FA2EC0"/>
    <w:rsid w:val="00FD3E57"/>
    <w:rsid w:val="00FF4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FBF3E"/>
  <w15:chartTrackingRefBased/>
  <w15:docId w15:val="{68559CB8-58D1-45BA-8E5E-C5C835DC5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03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03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03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03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03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03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03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03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03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3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03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03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03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03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03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03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03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0397"/>
    <w:rPr>
      <w:rFonts w:eastAsiaTheme="majorEastAsia" w:cstheme="majorBidi"/>
      <w:color w:val="272727" w:themeColor="text1" w:themeTint="D8"/>
    </w:rPr>
  </w:style>
  <w:style w:type="paragraph" w:styleId="Title">
    <w:name w:val="Title"/>
    <w:basedOn w:val="Normal"/>
    <w:next w:val="Normal"/>
    <w:link w:val="TitleChar"/>
    <w:uiPriority w:val="10"/>
    <w:qFormat/>
    <w:rsid w:val="00D603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03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03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03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0397"/>
    <w:pPr>
      <w:spacing w:before="160"/>
      <w:jc w:val="center"/>
    </w:pPr>
    <w:rPr>
      <w:i/>
      <w:iCs/>
      <w:color w:val="404040" w:themeColor="text1" w:themeTint="BF"/>
    </w:rPr>
  </w:style>
  <w:style w:type="character" w:customStyle="1" w:styleId="QuoteChar">
    <w:name w:val="Quote Char"/>
    <w:basedOn w:val="DefaultParagraphFont"/>
    <w:link w:val="Quote"/>
    <w:uiPriority w:val="29"/>
    <w:rsid w:val="00D60397"/>
    <w:rPr>
      <w:i/>
      <w:iCs/>
      <w:color w:val="404040" w:themeColor="text1" w:themeTint="BF"/>
    </w:rPr>
  </w:style>
  <w:style w:type="paragraph" w:styleId="ListParagraph">
    <w:name w:val="List Paragraph"/>
    <w:basedOn w:val="Normal"/>
    <w:uiPriority w:val="34"/>
    <w:qFormat/>
    <w:rsid w:val="00D60397"/>
    <w:pPr>
      <w:ind w:left="720"/>
      <w:contextualSpacing/>
    </w:pPr>
  </w:style>
  <w:style w:type="character" w:styleId="IntenseEmphasis">
    <w:name w:val="Intense Emphasis"/>
    <w:basedOn w:val="DefaultParagraphFont"/>
    <w:uiPriority w:val="21"/>
    <w:qFormat/>
    <w:rsid w:val="00D60397"/>
    <w:rPr>
      <w:i/>
      <w:iCs/>
      <w:color w:val="0F4761" w:themeColor="accent1" w:themeShade="BF"/>
    </w:rPr>
  </w:style>
  <w:style w:type="paragraph" w:styleId="IntenseQuote">
    <w:name w:val="Intense Quote"/>
    <w:basedOn w:val="Normal"/>
    <w:next w:val="Normal"/>
    <w:link w:val="IntenseQuoteChar"/>
    <w:uiPriority w:val="30"/>
    <w:qFormat/>
    <w:rsid w:val="00D603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0397"/>
    <w:rPr>
      <w:i/>
      <w:iCs/>
      <w:color w:val="0F4761" w:themeColor="accent1" w:themeShade="BF"/>
    </w:rPr>
  </w:style>
  <w:style w:type="character" w:styleId="IntenseReference">
    <w:name w:val="Intense Reference"/>
    <w:basedOn w:val="DefaultParagraphFont"/>
    <w:uiPriority w:val="32"/>
    <w:qFormat/>
    <w:rsid w:val="00D60397"/>
    <w:rPr>
      <w:b/>
      <w:bCs/>
      <w:smallCaps/>
      <w:color w:val="0F4761" w:themeColor="accent1" w:themeShade="BF"/>
      <w:spacing w:val="5"/>
    </w:rPr>
  </w:style>
  <w:style w:type="paragraph" w:styleId="Header">
    <w:name w:val="header"/>
    <w:basedOn w:val="Normal"/>
    <w:link w:val="HeaderChar"/>
    <w:uiPriority w:val="99"/>
    <w:unhideWhenUsed/>
    <w:rsid w:val="002E02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25B"/>
  </w:style>
  <w:style w:type="paragraph" w:styleId="Footer">
    <w:name w:val="footer"/>
    <w:basedOn w:val="Normal"/>
    <w:link w:val="FooterChar"/>
    <w:uiPriority w:val="99"/>
    <w:unhideWhenUsed/>
    <w:rsid w:val="002E02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25B"/>
  </w:style>
  <w:style w:type="paragraph" w:styleId="BodyText">
    <w:name w:val="Body Text"/>
    <w:basedOn w:val="Normal"/>
    <w:link w:val="BodyTextChar"/>
    <w:uiPriority w:val="1"/>
    <w:qFormat/>
    <w:rsid w:val="00EC3EDB"/>
    <w:pPr>
      <w:widowControl w:val="0"/>
      <w:autoSpaceDE w:val="0"/>
      <w:autoSpaceDN w:val="0"/>
      <w:spacing w:after="0" w:line="240" w:lineRule="auto"/>
    </w:pPr>
    <w:rPr>
      <w:rFonts w:ascii="Arial MT" w:eastAsia="Arial MT" w:hAnsi="Arial MT" w:cs="Arial MT"/>
      <w:kern w:val="0"/>
      <w:sz w:val="22"/>
      <w:szCs w:val="22"/>
      <w:lang w:val="en-US"/>
      <w14:ligatures w14:val="none"/>
    </w:rPr>
  </w:style>
  <w:style w:type="character" w:customStyle="1" w:styleId="BodyTextChar">
    <w:name w:val="Body Text Char"/>
    <w:basedOn w:val="DefaultParagraphFont"/>
    <w:link w:val="BodyText"/>
    <w:uiPriority w:val="1"/>
    <w:rsid w:val="00EC3EDB"/>
    <w:rPr>
      <w:rFonts w:ascii="Arial MT" w:eastAsia="Arial MT" w:hAnsi="Arial MT" w:cs="Arial MT"/>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GANTT</a:t>
            </a:r>
            <a:r>
              <a:rPr lang="en-GB" baseline="0"/>
              <a:t>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WEEK</c:v>
                </c:pt>
              </c:strCache>
            </c:strRef>
          </c:tx>
          <c:spPr>
            <a:noFill/>
            <a:ln>
              <a:noFill/>
            </a:ln>
            <a:effectLst/>
          </c:spPr>
          <c:invertIfNegative val="0"/>
          <c:cat>
            <c:strRef>
              <c:f>Sheet1!$A$2:$A$7</c:f>
              <c:strCache>
                <c:ptCount val="6"/>
                <c:pt idx="0">
                  <c:v>CHAPTER 1</c:v>
                </c:pt>
                <c:pt idx="1">
                  <c:v>CHAPTER 2</c:v>
                </c:pt>
                <c:pt idx="2">
                  <c:v>CHAPTER  3</c:v>
                </c:pt>
                <c:pt idx="3">
                  <c:v>CHAPTER 4</c:v>
                </c:pt>
                <c:pt idx="4">
                  <c:v>CHAPTER 5</c:v>
                </c:pt>
                <c:pt idx="5">
                  <c:v>SUBMISSION</c:v>
                </c:pt>
              </c:strCache>
            </c:strRef>
          </c:cat>
          <c:val>
            <c:numRef>
              <c:f>Sheet1!$B$2:$B$7</c:f>
              <c:numCache>
                <c:formatCode>General</c:formatCode>
                <c:ptCount val="6"/>
                <c:pt idx="0">
                  <c:v>0</c:v>
                </c:pt>
                <c:pt idx="1">
                  <c:v>4.5</c:v>
                </c:pt>
                <c:pt idx="2">
                  <c:v>6</c:v>
                </c:pt>
                <c:pt idx="3">
                  <c:v>10</c:v>
                </c:pt>
                <c:pt idx="4">
                  <c:v>12</c:v>
                </c:pt>
                <c:pt idx="5">
                  <c:v>14</c:v>
                </c:pt>
              </c:numCache>
            </c:numRef>
          </c:val>
          <c:extLst>
            <c:ext xmlns:c16="http://schemas.microsoft.com/office/drawing/2014/chart" uri="{C3380CC4-5D6E-409C-BE32-E72D297353CC}">
              <c16:uniqueId val="{00000000-041C-4E8B-B4DA-BE8569E5C6CA}"/>
            </c:ext>
          </c:extLst>
        </c:ser>
        <c:ser>
          <c:idx val="2"/>
          <c:order val="1"/>
          <c:tx>
            <c:strRef>
              <c:f>Sheet1!$D$1</c:f>
              <c:strCache>
                <c:ptCount val="1"/>
                <c:pt idx="0">
                  <c:v>DURATION IN WEEKS</c:v>
                </c:pt>
              </c:strCache>
            </c:strRef>
          </c:tx>
          <c:spPr>
            <a:solidFill>
              <a:schemeClr val="accent3"/>
            </a:solidFill>
            <a:ln>
              <a:noFill/>
            </a:ln>
            <a:effectLst/>
          </c:spPr>
          <c:invertIfNegative val="0"/>
          <c:cat>
            <c:strRef>
              <c:f>Sheet1!$A$2:$A$7</c:f>
              <c:strCache>
                <c:ptCount val="6"/>
                <c:pt idx="0">
                  <c:v>CHAPTER 1</c:v>
                </c:pt>
                <c:pt idx="1">
                  <c:v>CHAPTER 2</c:v>
                </c:pt>
                <c:pt idx="2">
                  <c:v>CHAPTER  3</c:v>
                </c:pt>
                <c:pt idx="3">
                  <c:v>CHAPTER 4</c:v>
                </c:pt>
                <c:pt idx="4">
                  <c:v>CHAPTER 5</c:v>
                </c:pt>
                <c:pt idx="5">
                  <c:v>SUBMISSION</c:v>
                </c:pt>
              </c:strCache>
            </c:strRef>
          </c:cat>
          <c:val>
            <c:numRef>
              <c:f>Sheet1!$D$2:$D$7</c:f>
              <c:numCache>
                <c:formatCode>General</c:formatCode>
                <c:ptCount val="6"/>
                <c:pt idx="0">
                  <c:v>4.5</c:v>
                </c:pt>
                <c:pt idx="1">
                  <c:v>1.5</c:v>
                </c:pt>
                <c:pt idx="2">
                  <c:v>4</c:v>
                </c:pt>
                <c:pt idx="3">
                  <c:v>2</c:v>
                </c:pt>
                <c:pt idx="4">
                  <c:v>2</c:v>
                </c:pt>
                <c:pt idx="5">
                  <c:v>2</c:v>
                </c:pt>
              </c:numCache>
            </c:numRef>
          </c:val>
          <c:extLst>
            <c:ext xmlns:c16="http://schemas.microsoft.com/office/drawing/2014/chart" uri="{C3380CC4-5D6E-409C-BE32-E72D297353CC}">
              <c16:uniqueId val="{00000002-041C-4E8B-B4DA-BE8569E5C6CA}"/>
            </c:ext>
          </c:extLst>
        </c:ser>
        <c:dLbls>
          <c:showLegendKey val="0"/>
          <c:showVal val="0"/>
          <c:showCatName val="0"/>
          <c:showSerName val="0"/>
          <c:showPercent val="0"/>
          <c:showBubbleSize val="0"/>
        </c:dLbls>
        <c:gapWidth val="150"/>
        <c:overlap val="100"/>
        <c:axId val="543753327"/>
        <c:axId val="1587757504"/>
      </c:barChart>
      <c:catAx>
        <c:axId val="543753327"/>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7757504"/>
        <c:crosses val="autoZero"/>
        <c:auto val="1"/>
        <c:lblAlgn val="ctr"/>
        <c:lblOffset val="100"/>
        <c:noMultiLvlLbl val="0"/>
      </c:catAx>
      <c:valAx>
        <c:axId val="1587757504"/>
        <c:scaling>
          <c:orientation val="minMax"/>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753327"/>
        <c:crosses val="autoZero"/>
        <c:crossBetween val="between"/>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230</TotalTime>
  <Pages>5</Pages>
  <Words>1396</Words>
  <Characters>7958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Clinto Wilson</dc:creator>
  <cp:keywords/>
  <dc:description/>
  <cp:lastModifiedBy>Clinto Wilson</cp:lastModifiedBy>
  <cp:revision>79</cp:revision>
  <dcterms:created xsi:type="dcterms:W3CDTF">2024-02-12T13:48:00Z</dcterms:created>
  <dcterms:modified xsi:type="dcterms:W3CDTF">2024-02-16T09:35:00Z</dcterms:modified>
</cp:coreProperties>
</file>