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38C392" w14:textId="77777777" w:rsidR="00C73F4A" w:rsidRPr="00854F17" w:rsidRDefault="00C73F4A" w:rsidP="00C73F4A">
      <w:pPr>
        <w:jc w:val="center"/>
        <w:rPr>
          <w:rFonts w:eastAsia="Aptos"/>
        </w:rPr>
      </w:pPr>
      <w:r w:rsidRPr="00854F17">
        <w:rPr>
          <w:rFonts w:eastAsia="Aptos"/>
          <w:noProof/>
        </w:rPr>
        <w:drawing>
          <wp:inline distT="0" distB="0" distL="0" distR="0" wp14:anchorId="19A48767" wp14:editId="57EB2C65">
            <wp:extent cx="2636520" cy="1181100"/>
            <wp:effectExtent l="0" t="0" r="0" b="0"/>
            <wp:docPr id="32581502"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o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6520" cy="1181100"/>
                    </a:xfrm>
                    <a:prstGeom prst="rect">
                      <a:avLst/>
                    </a:prstGeom>
                    <a:noFill/>
                    <a:ln>
                      <a:noFill/>
                    </a:ln>
                  </pic:spPr>
                </pic:pic>
              </a:graphicData>
            </a:graphic>
          </wp:inline>
        </w:drawing>
      </w:r>
    </w:p>
    <w:p w14:paraId="5CB37D59" w14:textId="77777777" w:rsidR="00C73F4A" w:rsidRPr="00854F17" w:rsidRDefault="00C73F4A" w:rsidP="00C73F4A">
      <w:pPr>
        <w:spacing w:after="80" w:line="240" w:lineRule="auto"/>
        <w:contextualSpacing/>
        <w:rPr>
          <w:rFonts w:eastAsia="Times New Roman"/>
          <w:spacing w:val="-10"/>
          <w:kern w:val="28"/>
          <w:sz w:val="44"/>
          <w:szCs w:val="40"/>
        </w:rPr>
      </w:pPr>
    </w:p>
    <w:p w14:paraId="6CDC99D8" w14:textId="77777777" w:rsidR="00C73F4A" w:rsidRPr="00854F17" w:rsidRDefault="00C73F4A" w:rsidP="00C73F4A">
      <w:pPr>
        <w:rPr>
          <w:rFonts w:ascii="Aptos" w:eastAsia="Aptos" w:hAnsi="Aptos" w:cs="Times New Roman"/>
        </w:rPr>
      </w:pPr>
    </w:p>
    <w:p w14:paraId="6606DD7E" w14:textId="77777777" w:rsidR="00C73F4A" w:rsidRPr="00854F17" w:rsidRDefault="00C73F4A" w:rsidP="00C73F4A">
      <w:pPr>
        <w:rPr>
          <w:rFonts w:ascii="Aptos" w:eastAsia="Aptos" w:hAnsi="Aptos" w:cs="Times New Roman"/>
        </w:rPr>
      </w:pPr>
    </w:p>
    <w:p w14:paraId="306C0583" w14:textId="77777777" w:rsidR="00C73F4A" w:rsidRPr="00854F17" w:rsidRDefault="00C73F4A" w:rsidP="00C73F4A">
      <w:pPr>
        <w:spacing w:after="80" w:line="240" w:lineRule="auto"/>
        <w:contextualSpacing/>
        <w:jc w:val="center"/>
        <w:rPr>
          <w:rFonts w:eastAsia="Times New Roman"/>
          <w:b/>
          <w:bCs/>
          <w:spacing w:val="-10"/>
          <w:kern w:val="28"/>
          <w:sz w:val="44"/>
          <w:szCs w:val="40"/>
        </w:rPr>
      </w:pPr>
      <w:r w:rsidRPr="00854F17">
        <w:rPr>
          <w:rFonts w:eastAsia="Times New Roman"/>
          <w:b/>
          <w:bCs/>
          <w:spacing w:val="-10"/>
          <w:kern w:val="28"/>
          <w:sz w:val="44"/>
          <w:szCs w:val="40"/>
        </w:rPr>
        <w:t>School of International Hotel Management</w:t>
      </w:r>
    </w:p>
    <w:p w14:paraId="3B1C4B28" w14:textId="77777777" w:rsidR="00C73F4A" w:rsidRPr="00854F17" w:rsidRDefault="00C73F4A" w:rsidP="00C73F4A">
      <w:pPr>
        <w:jc w:val="center"/>
        <w:rPr>
          <w:rFonts w:eastAsia="Aptos"/>
          <w:b/>
          <w:bCs/>
          <w:sz w:val="44"/>
          <w:szCs w:val="44"/>
        </w:rPr>
      </w:pPr>
      <w:r w:rsidRPr="00854F17">
        <w:rPr>
          <w:rFonts w:eastAsia="Aptos"/>
          <w:b/>
          <w:bCs/>
          <w:sz w:val="44"/>
          <w:szCs w:val="44"/>
        </w:rPr>
        <w:t>BA International Hotel Management</w:t>
      </w:r>
    </w:p>
    <w:p w14:paraId="477C0BD5" w14:textId="77777777" w:rsidR="00C73F4A" w:rsidRPr="00854F17" w:rsidRDefault="00C73F4A" w:rsidP="00C73F4A">
      <w:pPr>
        <w:jc w:val="center"/>
        <w:rPr>
          <w:rFonts w:ascii="Aptos" w:eastAsia="Aptos" w:hAnsi="Aptos" w:cs="Times New Roman"/>
          <w:b/>
          <w:bCs/>
          <w:sz w:val="44"/>
          <w:szCs w:val="44"/>
          <w:lang w:bidi="hi-IN"/>
        </w:rPr>
      </w:pPr>
    </w:p>
    <w:p w14:paraId="7CDEBD19" w14:textId="2F2143BF" w:rsidR="00C73F4A" w:rsidRDefault="0042288D" w:rsidP="00C73F4A">
      <w:pPr>
        <w:jc w:val="center"/>
        <w:rPr>
          <w:rFonts w:ascii="Aptos" w:eastAsia="Aptos" w:hAnsi="Aptos" w:cs="Times New Roman"/>
          <w:bCs/>
          <w:sz w:val="44"/>
          <w:szCs w:val="44"/>
          <w:lang w:bidi="hi-IN"/>
        </w:rPr>
      </w:pPr>
      <w:r>
        <w:rPr>
          <w:rFonts w:ascii="Aptos" w:eastAsia="Aptos" w:hAnsi="Aptos" w:cs="Times New Roman"/>
          <w:bCs/>
          <w:sz w:val="44"/>
          <w:szCs w:val="44"/>
          <w:lang w:bidi="hi-IN"/>
        </w:rPr>
        <w:t>REPORT</w:t>
      </w:r>
    </w:p>
    <w:p w14:paraId="0C741C77" w14:textId="77777777" w:rsidR="00E94368" w:rsidRPr="00854F17" w:rsidRDefault="00E94368" w:rsidP="00C73F4A">
      <w:pPr>
        <w:jc w:val="center"/>
        <w:rPr>
          <w:rFonts w:ascii="Aptos" w:eastAsia="Aptos" w:hAnsi="Aptos" w:cs="Times New Roman"/>
          <w:bCs/>
          <w:sz w:val="44"/>
          <w:szCs w:val="44"/>
          <w:lang w:bidi="hi-IN"/>
        </w:rPr>
      </w:pPr>
    </w:p>
    <w:p w14:paraId="0809564E" w14:textId="4C6BC5EE" w:rsidR="00C73F4A" w:rsidRDefault="00C73F4A" w:rsidP="00A92675">
      <w:pPr>
        <w:rPr>
          <w:rFonts w:ascii="Aptos" w:eastAsia="Aptos" w:hAnsi="Aptos" w:cs="Times New Roman"/>
          <w:bCs/>
          <w:sz w:val="44"/>
          <w:szCs w:val="44"/>
          <w:lang w:bidi="hi-IN"/>
        </w:rPr>
      </w:pPr>
    </w:p>
    <w:p w14:paraId="39904878" w14:textId="77777777" w:rsidR="00A92675" w:rsidRDefault="00A92675" w:rsidP="00A92675">
      <w:pPr>
        <w:rPr>
          <w:rFonts w:ascii="Aptos" w:eastAsia="Aptos" w:hAnsi="Aptos" w:cs="Times New Roman"/>
          <w:bCs/>
          <w:sz w:val="44"/>
          <w:szCs w:val="44"/>
          <w:lang w:bidi="hi-IN"/>
        </w:rPr>
      </w:pPr>
    </w:p>
    <w:p w14:paraId="78A459E4" w14:textId="77777777" w:rsidR="00A92675" w:rsidRDefault="00A92675" w:rsidP="00A92675">
      <w:pPr>
        <w:rPr>
          <w:rFonts w:ascii="Aptos" w:eastAsia="Aptos" w:hAnsi="Aptos" w:cs="Times New Roman"/>
          <w:bCs/>
          <w:sz w:val="44"/>
          <w:szCs w:val="44"/>
          <w:lang w:bidi="hi-IN"/>
        </w:rPr>
      </w:pPr>
    </w:p>
    <w:p w14:paraId="6DF32B73" w14:textId="77777777" w:rsidR="00A92675" w:rsidRPr="00854F17" w:rsidRDefault="00A92675" w:rsidP="00A92675">
      <w:pPr>
        <w:rPr>
          <w:rFonts w:ascii="Aptos" w:eastAsia="Aptos" w:hAnsi="Aptos" w:cs="Times New Roman"/>
          <w:bCs/>
          <w:sz w:val="44"/>
          <w:szCs w:val="44"/>
          <w:lang w:bidi="hi-IN"/>
        </w:rPr>
      </w:pPr>
    </w:p>
    <w:p w14:paraId="6940A94D" w14:textId="77777777" w:rsidR="00C73F4A" w:rsidRPr="00854F17" w:rsidRDefault="00C73F4A" w:rsidP="00C73F4A">
      <w:pPr>
        <w:spacing w:after="80" w:line="240" w:lineRule="auto"/>
        <w:contextualSpacing/>
        <w:jc w:val="both"/>
        <w:rPr>
          <w:rFonts w:eastAsia="Times New Roman"/>
          <w:b/>
          <w:bCs/>
          <w:spacing w:val="-10"/>
          <w:kern w:val="28"/>
          <w:sz w:val="36"/>
          <w:szCs w:val="36"/>
        </w:rPr>
      </w:pPr>
      <w:r w:rsidRPr="00854F17">
        <w:rPr>
          <w:rFonts w:eastAsia="Times New Roman"/>
          <w:b/>
          <w:bCs/>
          <w:spacing w:val="-10"/>
          <w:kern w:val="28"/>
          <w:sz w:val="36"/>
          <w:szCs w:val="36"/>
        </w:rPr>
        <w:t xml:space="preserve"> </w:t>
      </w:r>
    </w:p>
    <w:p w14:paraId="70ABED4D" w14:textId="77777777" w:rsidR="00C73F4A" w:rsidRPr="00854F17" w:rsidRDefault="00C73F4A" w:rsidP="00C73F4A">
      <w:pPr>
        <w:rPr>
          <w:rFonts w:ascii="Aptos" w:eastAsia="Aptos" w:hAnsi="Aptos" w:cs="Times New Roman"/>
        </w:rPr>
      </w:pPr>
    </w:p>
    <w:p w14:paraId="0EBB8642" w14:textId="77777777" w:rsidR="00C73F4A" w:rsidRPr="00854F17" w:rsidRDefault="00C73F4A" w:rsidP="00C73F4A">
      <w:pPr>
        <w:rPr>
          <w:rFonts w:ascii="Aptos" w:eastAsia="Aptos" w:hAnsi="Aptos" w:cs="Times New Roman"/>
        </w:rPr>
      </w:pPr>
    </w:p>
    <w:p w14:paraId="4B1A3904" w14:textId="77777777" w:rsidR="00C73F4A" w:rsidRPr="00854F17" w:rsidRDefault="00C73F4A" w:rsidP="00C73F4A">
      <w:pPr>
        <w:rPr>
          <w:rFonts w:ascii="Aptos" w:eastAsia="Aptos" w:hAnsi="Aptos" w:cs="Times New Roman"/>
        </w:rPr>
      </w:pPr>
    </w:p>
    <w:p w14:paraId="480A1A48" w14:textId="77777777" w:rsidR="00C73F4A" w:rsidRPr="00854F17" w:rsidRDefault="00C73F4A" w:rsidP="00C73F4A">
      <w:pPr>
        <w:rPr>
          <w:rFonts w:ascii="Aptos" w:eastAsia="Aptos" w:hAnsi="Aptos" w:cs="Times New Roman"/>
        </w:rPr>
      </w:pPr>
    </w:p>
    <w:p w14:paraId="469F0F1A" w14:textId="77777777" w:rsidR="00C73F4A" w:rsidRPr="00854F17" w:rsidRDefault="00C73F4A" w:rsidP="00C73F4A">
      <w:pPr>
        <w:rPr>
          <w:rFonts w:eastAsia="Aptos"/>
          <w:sz w:val="28"/>
          <w:szCs w:val="28"/>
        </w:rPr>
      </w:pPr>
      <w:r w:rsidRPr="00854F17">
        <w:rPr>
          <w:rFonts w:eastAsia="Aptos"/>
          <w:sz w:val="28"/>
          <w:szCs w:val="28"/>
        </w:rPr>
        <w:t>Student Name: Oleg Goncear</w:t>
      </w:r>
    </w:p>
    <w:p w14:paraId="5F133534" w14:textId="77777777" w:rsidR="00C73F4A" w:rsidRPr="00854F17" w:rsidRDefault="00C73F4A" w:rsidP="00C73F4A">
      <w:pPr>
        <w:rPr>
          <w:rFonts w:eastAsia="Aptos"/>
          <w:sz w:val="28"/>
          <w:szCs w:val="28"/>
          <w:lang w:bidi="hi-IN"/>
        </w:rPr>
      </w:pPr>
      <w:r w:rsidRPr="00854F17">
        <w:rPr>
          <w:rFonts w:eastAsia="Aptos"/>
          <w:sz w:val="28"/>
          <w:szCs w:val="28"/>
          <w:lang w:bidi="hi-IN"/>
        </w:rPr>
        <w:t>Student ID: 2231041</w:t>
      </w:r>
    </w:p>
    <w:p w14:paraId="7EED0725" w14:textId="77777777" w:rsidR="00C73F4A" w:rsidRPr="00854F17" w:rsidRDefault="00C73F4A" w:rsidP="00C73F4A">
      <w:pPr>
        <w:spacing w:after="80" w:line="360" w:lineRule="auto"/>
        <w:contextualSpacing/>
        <w:jc w:val="both"/>
        <w:rPr>
          <w:rFonts w:eastAsia="Times New Roman"/>
          <w:spacing w:val="-10"/>
          <w:kern w:val="28"/>
          <w:sz w:val="28"/>
          <w:szCs w:val="28"/>
        </w:rPr>
      </w:pPr>
      <w:r w:rsidRPr="00854F17">
        <w:rPr>
          <w:rFonts w:eastAsia="Times New Roman"/>
          <w:spacing w:val="-10"/>
          <w:kern w:val="28"/>
          <w:sz w:val="28"/>
          <w:szCs w:val="28"/>
        </w:rPr>
        <w:t>Module: Sustainable Hospitality &amp; Tourism Management</w:t>
      </w:r>
    </w:p>
    <w:p w14:paraId="66380EED" w14:textId="77777777" w:rsidR="00C73F4A" w:rsidRPr="00854F17" w:rsidRDefault="00C73F4A" w:rsidP="00C73F4A">
      <w:pPr>
        <w:spacing w:after="80" w:line="360" w:lineRule="auto"/>
        <w:contextualSpacing/>
        <w:jc w:val="both"/>
        <w:rPr>
          <w:rFonts w:eastAsia="Times New Roman"/>
          <w:spacing w:val="-10"/>
          <w:kern w:val="28"/>
          <w:sz w:val="28"/>
          <w:szCs w:val="28"/>
        </w:rPr>
      </w:pPr>
      <w:r w:rsidRPr="00854F17">
        <w:rPr>
          <w:rFonts w:eastAsia="Times New Roman"/>
          <w:spacing w:val="-10"/>
          <w:kern w:val="28"/>
          <w:sz w:val="28"/>
          <w:szCs w:val="28"/>
        </w:rPr>
        <w:t>Module code: BMIH 5006</w:t>
      </w:r>
    </w:p>
    <w:p w14:paraId="0FA176F0" w14:textId="77777777" w:rsidR="00C73F4A" w:rsidRPr="00854F17" w:rsidRDefault="00C73F4A" w:rsidP="00C73F4A">
      <w:pPr>
        <w:spacing w:after="80" w:line="360" w:lineRule="auto"/>
        <w:contextualSpacing/>
        <w:jc w:val="both"/>
        <w:rPr>
          <w:rFonts w:eastAsia="Times New Roman"/>
          <w:spacing w:val="-10"/>
          <w:kern w:val="28"/>
          <w:sz w:val="28"/>
          <w:szCs w:val="28"/>
        </w:rPr>
      </w:pPr>
      <w:r w:rsidRPr="00854F17">
        <w:rPr>
          <w:rFonts w:eastAsia="Times New Roman"/>
          <w:spacing w:val="-10"/>
          <w:kern w:val="28"/>
          <w:sz w:val="28"/>
          <w:szCs w:val="28"/>
        </w:rPr>
        <w:t>Lecturer: Lisa Knight</w:t>
      </w:r>
    </w:p>
    <w:p w14:paraId="405C8AB0" w14:textId="77777777" w:rsidR="00C73F4A" w:rsidRPr="00854F17" w:rsidRDefault="00C73F4A" w:rsidP="00C73F4A">
      <w:pPr>
        <w:jc w:val="center"/>
        <w:rPr>
          <w:rFonts w:ascii="Aptos" w:eastAsia="Aptos" w:hAnsi="Aptos" w:cs="Times New Roman"/>
        </w:rPr>
      </w:pPr>
    </w:p>
    <w:p w14:paraId="7449AFE6" w14:textId="77777777" w:rsidR="00C73F4A" w:rsidRDefault="00C73F4A" w:rsidP="00C73F4A">
      <w:pPr>
        <w:spacing w:line="360" w:lineRule="auto"/>
        <w:jc w:val="both"/>
        <w:rPr>
          <w:rFonts w:ascii="Aptos" w:eastAsia="Aptos" w:hAnsi="Aptos" w:cs="Times New Roman"/>
        </w:rPr>
      </w:pPr>
    </w:p>
    <w:p w14:paraId="49D80067" w14:textId="77777777" w:rsidR="00C73F4A" w:rsidRDefault="00C73F4A" w:rsidP="00C73F4A">
      <w:pPr>
        <w:spacing w:line="360" w:lineRule="auto"/>
        <w:jc w:val="both"/>
        <w:rPr>
          <w:rFonts w:ascii="Aptos" w:eastAsia="Aptos" w:hAnsi="Aptos" w:cs="Times New Roman"/>
        </w:rPr>
      </w:pPr>
    </w:p>
    <w:p w14:paraId="189D683B" w14:textId="77777777" w:rsidR="00C73F4A" w:rsidRDefault="00C73F4A" w:rsidP="00C73F4A">
      <w:pPr>
        <w:spacing w:line="360" w:lineRule="auto"/>
        <w:jc w:val="both"/>
        <w:rPr>
          <w:rFonts w:ascii="Aptos" w:eastAsia="Aptos" w:hAnsi="Aptos" w:cs="Times New Roman"/>
        </w:rPr>
      </w:pPr>
    </w:p>
    <w:p w14:paraId="4D3E6324" w14:textId="77777777" w:rsidR="00E4371E" w:rsidRDefault="00E4371E" w:rsidP="00C73F4A">
      <w:pPr>
        <w:spacing w:line="360" w:lineRule="auto"/>
        <w:jc w:val="both"/>
        <w:rPr>
          <w:rFonts w:ascii="Aptos" w:eastAsia="Aptos" w:hAnsi="Aptos" w:cs="Times New Roman"/>
          <w:sz w:val="28"/>
          <w:szCs w:val="28"/>
        </w:rPr>
      </w:pPr>
    </w:p>
    <w:p w14:paraId="39414FF0" w14:textId="4ECDEE5E" w:rsidR="00C73F4A" w:rsidRPr="00C73F4A" w:rsidRDefault="00C73F4A" w:rsidP="00C73F4A">
      <w:pPr>
        <w:spacing w:line="360" w:lineRule="auto"/>
        <w:jc w:val="both"/>
        <w:rPr>
          <w:rFonts w:ascii="Aptos" w:eastAsia="Aptos" w:hAnsi="Aptos" w:cs="Times New Roman"/>
          <w:sz w:val="28"/>
          <w:szCs w:val="28"/>
        </w:rPr>
      </w:pPr>
      <w:r w:rsidRPr="00C73F4A">
        <w:rPr>
          <w:rFonts w:ascii="Aptos" w:eastAsia="Aptos" w:hAnsi="Aptos" w:cs="Times New Roman"/>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76872D3" w14:textId="4EB37C23" w:rsidR="00207213" w:rsidRDefault="00207213" w:rsidP="00C73F4A">
      <w:pPr>
        <w:rPr>
          <w:b/>
          <w:color w:val="000000" w:themeColor="text1"/>
          <w:sz w:val="24"/>
          <w:szCs w:val="24"/>
        </w:rPr>
      </w:pPr>
      <w:r w:rsidRPr="00021E64">
        <w:rPr>
          <w:b/>
          <w:color w:val="000000" w:themeColor="text1"/>
          <w:sz w:val="24"/>
          <w:szCs w:val="24"/>
        </w:rPr>
        <w:br w:type="page"/>
      </w:r>
    </w:p>
    <w:p w14:paraId="68A944A1" w14:textId="77777777" w:rsidR="002D4235" w:rsidRDefault="002D4235" w:rsidP="00C73F4A">
      <w:pPr>
        <w:rPr>
          <w:b/>
          <w:color w:val="000000" w:themeColor="text1"/>
          <w:sz w:val="24"/>
          <w:szCs w:val="24"/>
        </w:rPr>
      </w:pPr>
    </w:p>
    <w:p w14:paraId="19A70B5E" w14:textId="5E3DD0E8" w:rsidR="002D4235" w:rsidRPr="003B73DA" w:rsidRDefault="00034413" w:rsidP="00034413">
      <w:pPr>
        <w:pStyle w:val="TOCHeading"/>
        <w:spacing w:line="360" w:lineRule="auto"/>
        <w:jc w:val="both"/>
        <w:rPr>
          <w:rFonts w:ascii="Arial" w:eastAsia="Arial" w:hAnsi="Arial" w:cs="Arial"/>
          <w:b/>
          <w:bCs/>
          <w:color w:val="auto"/>
          <w:sz w:val="24"/>
          <w:szCs w:val="24"/>
          <w:lang w:val=""/>
        </w:rPr>
      </w:pPr>
      <w:r>
        <w:rPr>
          <w:rFonts w:ascii="Arial" w:eastAsia="Arial" w:hAnsi="Arial" w:cs="Arial"/>
          <w:b/>
          <w:bCs/>
          <w:color w:val="auto"/>
          <w:sz w:val="24"/>
          <w:szCs w:val="24"/>
          <w:lang w:val=""/>
        </w:rPr>
        <w:t xml:space="preserve">                                                </w:t>
      </w:r>
      <w:r w:rsidR="002D4235" w:rsidRPr="003B73DA">
        <w:rPr>
          <w:rFonts w:ascii="Arial" w:eastAsia="Arial" w:hAnsi="Arial" w:cs="Arial"/>
          <w:b/>
          <w:bCs/>
          <w:color w:val="auto"/>
          <w:sz w:val="24"/>
          <w:szCs w:val="24"/>
          <w:lang w:val=""/>
        </w:rPr>
        <w:t>Executive summary</w:t>
      </w:r>
    </w:p>
    <w:p w14:paraId="353D7B89" w14:textId="77777777" w:rsidR="002D4235" w:rsidRDefault="002D4235" w:rsidP="00034413">
      <w:pPr>
        <w:pStyle w:val="TOCHeading"/>
        <w:spacing w:line="360" w:lineRule="auto"/>
        <w:jc w:val="both"/>
        <w:rPr>
          <w:rFonts w:ascii="Arial" w:eastAsia="Arial" w:hAnsi="Arial" w:cs="Arial"/>
          <w:color w:val="auto"/>
          <w:sz w:val="24"/>
          <w:szCs w:val="24"/>
        </w:rPr>
      </w:pPr>
      <w:r w:rsidRPr="003B73DA">
        <w:rPr>
          <w:rFonts w:ascii="Arial" w:eastAsia="Arial" w:hAnsi="Arial" w:cs="Arial"/>
          <w:color w:val="auto"/>
          <w:sz w:val="24"/>
          <w:szCs w:val="24"/>
        </w:rPr>
        <w:t>This report focusses at how Fairmont St Andrews, a luxury hotel in Scotland, is integrating renewable energy and sustainable practices to meet the growing demand for eco-friendly operations in the hospitality industry. The use of renewable energy technologies, such as solar panels and wind turbines, has the potential to significantly reduce reliance on fossil fuels, lower operational costs, and improve the hotel's environmental impact. These initiatives are consistent with Scotland's goal of achieving net-zero emissions by 2045, establishing Fairmont St Andrews as a forward-thinking leader in sustainable hospitality. Examples from QO Amsterdam and JW Marriott Los Angeles demonstrate the tangible benefits of renewable energy adoption, including lower energy costs, smaller carbon footprints, and increased customer appeal. While the initial costs of implementing renewable energy are high, strategic approaches such as government subsidies, phased rollouts, and collaborations with local green energy providers can help to alleviate financial constraints. Long-term savings, combined with operational independence, enhance the economic benefits. Sustainable practices, such as reducing single-use plastics and encouraging the use of refillable containers, not only help the environment but also align with customer preferences for eco-friendly services, which strengthens guest loyalty. Employee engagement through targeted training and communication improves the effectiveness of green initiatives. By implementing these measures, Fairmont St Andrews can achieve its sustainability goals, strengthen its reputation as a sustainable luxury brand, and set a standard for responsible hospitality, appealing to an increasingly environmentally conscious market.</w:t>
      </w:r>
    </w:p>
    <w:sdt>
      <w:sdtPr>
        <w:rPr>
          <w:sz w:val="24"/>
          <w:szCs w:val="24"/>
        </w:rPr>
        <w:id w:val="1759645275"/>
        <w:docPartObj>
          <w:docPartGallery w:val="Table of Contents"/>
          <w:docPartUnique/>
        </w:docPartObj>
      </w:sdtPr>
      <w:sdtEndPr>
        <w:rPr>
          <w:b/>
          <w:bCs/>
          <w:noProof/>
        </w:rPr>
      </w:sdtEndPr>
      <w:sdtContent>
        <w:p w14:paraId="12A2D646" w14:textId="12B90B24" w:rsidR="002D4235" w:rsidRDefault="002D4235" w:rsidP="002D4235">
          <w:pPr>
            <w:rPr>
              <w:sz w:val="24"/>
              <w:szCs w:val="24"/>
            </w:rPr>
          </w:pPr>
        </w:p>
        <w:p w14:paraId="2D6EA5CD" w14:textId="77777777" w:rsidR="002D4235" w:rsidRDefault="002D4235" w:rsidP="002D4235"/>
        <w:p w14:paraId="687763AA" w14:textId="77777777" w:rsidR="002D4235" w:rsidRDefault="002D4235" w:rsidP="002D4235"/>
        <w:p w14:paraId="30C24F68" w14:textId="77777777" w:rsidR="002D4235" w:rsidRDefault="002D4235" w:rsidP="002D4235"/>
        <w:p w14:paraId="5BC77492" w14:textId="77777777" w:rsidR="002D4235" w:rsidRDefault="002D4235" w:rsidP="002D4235"/>
        <w:p w14:paraId="7A7271BC" w14:textId="77777777" w:rsidR="002D4235" w:rsidRDefault="002D4235" w:rsidP="002D4235"/>
        <w:p w14:paraId="0571BA6C" w14:textId="77777777" w:rsidR="002D4235" w:rsidRDefault="002D4235" w:rsidP="002D4235"/>
        <w:p w14:paraId="437E3CE1" w14:textId="77777777" w:rsidR="002D4235" w:rsidRDefault="002D4235" w:rsidP="002D4235"/>
        <w:p w14:paraId="5ACE737C" w14:textId="77777777" w:rsidR="002D4235" w:rsidRDefault="002D4235" w:rsidP="002D4235"/>
        <w:p w14:paraId="274B7057" w14:textId="77777777" w:rsidR="002D4235" w:rsidRDefault="002D4235" w:rsidP="002D4235"/>
        <w:p w14:paraId="65C39DDD" w14:textId="77777777" w:rsidR="002D4235" w:rsidRPr="002D4235" w:rsidRDefault="002D4235" w:rsidP="002D4235"/>
        <w:p w14:paraId="2D09F23A" w14:textId="1133415E" w:rsidR="009E29E3" w:rsidRPr="009E29E3" w:rsidRDefault="00034413" w:rsidP="00034413">
          <w:pPr>
            <w:pStyle w:val="TOCHeading"/>
            <w:spacing w:line="360" w:lineRule="auto"/>
            <w:rPr>
              <w:rFonts w:ascii="Arial" w:hAnsi="Arial" w:cs="Arial"/>
              <w:b/>
              <w:color w:val="000000" w:themeColor="text1"/>
              <w:sz w:val="28"/>
              <w:szCs w:val="28"/>
            </w:rPr>
          </w:pPr>
          <w:r>
            <w:rPr>
              <w:rFonts w:ascii="Arial" w:hAnsi="Arial" w:cs="Arial"/>
              <w:b/>
              <w:color w:val="000000" w:themeColor="text1"/>
              <w:sz w:val="28"/>
              <w:szCs w:val="28"/>
            </w:rPr>
            <w:t xml:space="preserve">                                         </w:t>
          </w:r>
          <w:r w:rsidR="009E29E3" w:rsidRPr="009E29E3">
            <w:rPr>
              <w:rFonts w:ascii="Arial" w:hAnsi="Arial" w:cs="Arial"/>
              <w:b/>
              <w:color w:val="000000" w:themeColor="text1"/>
              <w:sz w:val="28"/>
              <w:szCs w:val="28"/>
            </w:rPr>
            <w:t>Table of Contents</w:t>
          </w:r>
        </w:p>
        <w:p w14:paraId="719E7249" w14:textId="3597C5EF" w:rsidR="009E29E3" w:rsidRPr="009E29E3" w:rsidRDefault="009E29E3" w:rsidP="009E29E3">
          <w:pPr>
            <w:pStyle w:val="TOC1"/>
            <w:tabs>
              <w:tab w:val="right" w:leader="dot" w:pos="9350"/>
            </w:tabs>
            <w:spacing w:line="360" w:lineRule="auto"/>
            <w:jc w:val="both"/>
            <w:rPr>
              <w:noProof/>
              <w:sz w:val="24"/>
              <w:szCs w:val="24"/>
            </w:rPr>
          </w:pPr>
          <w:r w:rsidRPr="009E29E3">
            <w:rPr>
              <w:sz w:val="24"/>
              <w:szCs w:val="24"/>
            </w:rPr>
            <w:fldChar w:fldCharType="begin"/>
          </w:r>
          <w:r w:rsidRPr="009E29E3">
            <w:rPr>
              <w:sz w:val="24"/>
              <w:szCs w:val="24"/>
            </w:rPr>
            <w:instrText xml:space="preserve"> TOC \o "1-3" \h \z \u </w:instrText>
          </w:r>
          <w:r w:rsidRPr="009E29E3">
            <w:rPr>
              <w:sz w:val="24"/>
              <w:szCs w:val="24"/>
            </w:rPr>
            <w:fldChar w:fldCharType="separate"/>
          </w:r>
          <w:hyperlink w:anchor="_Toc182052374" w:history="1">
            <w:r w:rsidRPr="009E29E3">
              <w:rPr>
                <w:rStyle w:val="Hyperlink"/>
                <w:noProof/>
                <w:sz w:val="24"/>
                <w:szCs w:val="24"/>
              </w:rPr>
              <w:t>Introduction</w:t>
            </w:r>
            <w:r w:rsidRPr="009E29E3">
              <w:rPr>
                <w:noProof/>
                <w:webHidden/>
                <w:sz w:val="24"/>
                <w:szCs w:val="24"/>
              </w:rPr>
              <w:tab/>
            </w:r>
            <w:r w:rsidR="00AA550F">
              <w:rPr>
                <w:noProof/>
                <w:webHidden/>
                <w:sz w:val="24"/>
                <w:szCs w:val="24"/>
              </w:rPr>
              <w:t>5</w:t>
            </w:r>
          </w:hyperlink>
        </w:p>
        <w:p w14:paraId="669344D7" w14:textId="4F128CCB" w:rsidR="009E29E3" w:rsidRPr="009E29E3" w:rsidRDefault="009E29E3" w:rsidP="009E29E3">
          <w:pPr>
            <w:pStyle w:val="TOC1"/>
            <w:tabs>
              <w:tab w:val="right" w:leader="dot" w:pos="9350"/>
            </w:tabs>
            <w:spacing w:line="360" w:lineRule="auto"/>
            <w:jc w:val="both"/>
            <w:rPr>
              <w:noProof/>
              <w:sz w:val="24"/>
              <w:szCs w:val="24"/>
            </w:rPr>
          </w:pPr>
          <w:hyperlink w:anchor="_Toc182052375" w:history="1">
            <w:r w:rsidRPr="009E29E3">
              <w:rPr>
                <w:rStyle w:val="Hyperlink"/>
                <w:noProof/>
                <w:sz w:val="24"/>
                <w:szCs w:val="24"/>
              </w:rPr>
              <w:t>Main Findings</w:t>
            </w:r>
            <w:r w:rsidRPr="009E29E3">
              <w:rPr>
                <w:noProof/>
                <w:webHidden/>
                <w:sz w:val="24"/>
                <w:szCs w:val="24"/>
              </w:rPr>
              <w:tab/>
            </w:r>
            <w:r w:rsidR="00AA550F">
              <w:rPr>
                <w:noProof/>
                <w:webHidden/>
                <w:sz w:val="24"/>
                <w:szCs w:val="24"/>
              </w:rPr>
              <w:t>5</w:t>
            </w:r>
          </w:hyperlink>
        </w:p>
        <w:p w14:paraId="3AC4E2B8" w14:textId="2269B921" w:rsidR="009E29E3" w:rsidRPr="009E29E3" w:rsidRDefault="009E29E3" w:rsidP="009E29E3">
          <w:pPr>
            <w:pStyle w:val="TOC2"/>
            <w:tabs>
              <w:tab w:val="right" w:leader="dot" w:pos="9350"/>
            </w:tabs>
            <w:spacing w:line="360" w:lineRule="auto"/>
            <w:jc w:val="both"/>
            <w:rPr>
              <w:noProof/>
              <w:sz w:val="24"/>
              <w:szCs w:val="24"/>
            </w:rPr>
          </w:pPr>
          <w:hyperlink w:anchor="_Toc182052376" w:history="1">
            <w:r w:rsidRPr="009E29E3">
              <w:rPr>
                <w:rStyle w:val="Hyperlink"/>
                <w:noProof/>
                <w:sz w:val="24"/>
                <w:szCs w:val="24"/>
              </w:rPr>
              <w:t>Identified Greener Practice Initiative</w:t>
            </w:r>
            <w:r w:rsidRPr="009E29E3">
              <w:rPr>
                <w:noProof/>
                <w:webHidden/>
                <w:sz w:val="24"/>
                <w:szCs w:val="24"/>
              </w:rPr>
              <w:tab/>
            </w:r>
            <w:r w:rsidR="00AA550F">
              <w:rPr>
                <w:noProof/>
                <w:webHidden/>
                <w:sz w:val="24"/>
                <w:szCs w:val="24"/>
              </w:rPr>
              <w:t>5</w:t>
            </w:r>
          </w:hyperlink>
        </w:p>
        <w:p w14:paraId="2E3A74ED" w14:textId="2C73ECAD" w:rsidR="009E29E3" w:rsidRPr="009E29E3" w:rsidRDefault="009E29E3" w:rsidP="009E29E3">
          <w:pPr>
            <w:pStyle w:val="TOC2"/>
            <w:tabs>
              <w:tab w:val="right" w:leader="dot" w:pos="9350"/>
            </w:tabs>
            <w:spacing w:line="360" w:lineRule="auto"/>
            <w:jc w:val="both"/>
            <w:rPr>
              <w:noProof/>
              <w:sz w:val="24"/>
              <w:szCs w:val="24"/>
            </w:rPr>
          </w:pPr>
          <w:hyperlink w:anchor="_Toc182052377" w:history="1">
            <w:r w:rsidRPr="009E29E3">
              <w:rPr>
                <w:rStyle w:val="Hyperlink"/>
                <w:noProof/>
                <w:sz w:val="24"/>
                <w:szCs w:val="24"/>
              </w:rPr>
              <w:t>Case Studies and Examples in the Hospitality Sector</w:t>
            </w:r>
            <w:r w:rsidRPr="009E29E3">
              <w:rPr>
                <w:noProof/>
                <w:webHidden/>
                <w:sz w:val="24"/>
                <w:szCs w:val="24"/>
              </w:rPr>
              <w:tab/>
            </w:r>
            <w:r w:rsidR="00AA550F">
              <w:rPr>
                <w:noProof/>
                <w:webHidden/>
                <w:sz w:val="24"/>
                <w:szCs w:val="24"/>
              </w:rPr>
              <w:t>7</w:t>
            </w:r>
          </w:hyperlink>
        </w:p>
        <w:p w14:paraId="13A477E6" w14:textId="45919D45" w:rsidR="009E29E3" w:rsidRPr="009E29E3" w:rsidRDefault="009E29E3" w:rsidP="009E29E3">
          <w:pPr>
            <w:pStyle w:val="TOC2"/>
            <w:tabs>
              <w:tab w:val="right" w:leader="dot" w:pos="9350"/>
            </w:tabs>
            <w:spacing w:line="360" w:lineRule="auto"/>
            <w:jc w:val="both"/>
            <w:rPr>
              <w:noProof/>
              <w:sz w:val="24"/>
              <w:szCs w:val="24"/>
            </w:rPr>
          </w:pPr>
          <w:hyperlink w:anchor="_Toc182052378" w:history="1">
            <w:r w:rsidRPr="009E29E3">
              <w:rPr>
                <w:rStyle w:val="Hyperlink"/>
                <w:noProof/>
                <w:sz w:val="24"/>
                <w:szCs w:val="24"/>
              </w:rPr>
              <w:t>Benefits to Fairmont St Andrews</w:t>
            </w:r>
            <w:r w:rsidRPr="009E29E3">
              <w:rPr>
                <w:noProof/>
                <w:webHidden/>
                <w:sz w:val="24"/>
                <w:szCs w:val="24"/>
              </w:rPr>
              <w:tab/>
            </w:r>
            <w:r w:rsidR="00AA550F">
              <w:rPr>
                <w:noProof/>
                <w:webHidden/>
                <w:sz w:val="24"/>
                <w:szCs w:val="24"/>
              </w:rPr>
              <w:t>7</w:t>
            </w:r>
          </w:hyperlink>
        </w:p>
        <w:p w14:paraId="27987731" w14:textId="285DBAEB" w:rsidR="009E29E3" w:rsidRPr="009E29E3" w:rsidRDefault="009E29E3" w:rsidP="009E29E3">
          <w:pPr>
            <w:pStyle w:val="TOC2"/>
            <w:tabs>
              <w:tab w:val="right" w:leader="dot" w:pos="9350"/>
            </w:tabs>
            <w:spacing w:line="360" w:lineRule="auto"/>
            <w:jc w:val="both"/>
            <w:rPr>
              <w:noProof/>
              <w:sz w:val="24"/>
              <w:szCs w:val="24"/>
            </w:rPr>
          </w:pPr>
          <w:hyperlink w:anchor="_Toc182052379" w:history="1">
            <w:r w:rsidRPr="009E29E3">
              <w:rPr>
                <w:rStyle w:val="Hyperlink"/>
                <w:noProof/>
                <w:sz w:val="24"/>
                <w:szCs w:val="24"/>
              </w:rPr>
              <w:t>Challenges and Feasibility</w:t>
            </w:r>
            <w:r w:rsidRPr="009E29E3">
              <w:rPr>
                <w:noProof/>
                <w:webHidden/>
                <w:sz w:val="24"/>
                <w:szCs w:val="24"/>
              </w:rPr>
              <w:tab/>
            </w:r>
            <w:r w:rsidR="00AA550F">
              <w:rPr>
                <w:noProof/>
                <w:webHidden/>
                <w:sz w:val="24"/>
                <w:szCs w:val="24"/>
              </w:rPr>
              <w:t>9</w:t>
            </w:r>
          </w:hyperlink>
        </w:p>
        <w:p w14:paraId="1F2154F7" w14:textId="46173604" w:rsidR="009E29E3" w:rsidRPr="009E29E3" w:rsidRDefault="009E29E3" w:rsidP="009E29E3">
          <w:pPr>
            <w:pStyle w:val="TOC2"/>
            <w:tabs>
              <w:tab w:val="right" w:leader="dot" w:pos="9350"/>
            </w:tabs>
            <w:spacing w:line="360" w:lineRule="auto"/>
            <w:jc w:val="both"/>
            <w:rPr>
              <w:noProof/>
              <w:sz w:val="24"/>
              <w:szCs w:val="24"/>
            </w:rPr>
          </w:pPr>
          <w:hyperlink w:anchor="_Toc182052380" w:history="1">
            <w:r w:rsidRPr="009E29E3">
              <w:rPr>
                <w:rStyle w:val="Hyperlink"/>
                <w:noProof/>
                <w:sz w:val="24"/>
                <w:szCs w:val="24"/>
              </w:rPr>
              <w:t>Cost-Effectiveness</w:t>
            </w:r>
            <w:r w:rsidRPr="009E29E3">
              <w:rPr>
                <w:noProof/>
                <w:webHidden/>
                <w:sz w:val="24"/>
                <w:szCs w:val="24"/>
              </w:rPr>
              <w:tab/>
            </w:r>
            <w:r w:rsidR="00AA550F">
              <w:rPr>
                <w:noProof/>
                <w:webHidden/>
                <w:sz w:val="24"/>
                <w:szCs w:val="24"/>
              </w:rPr>
              <w:t>9</w:t>
            </w:r>
          </w:hyperlink>
        </w:p>
        <w:p w14:paraId="5CC54A1E" w14:textId="491B47FD" w:rsidR="009E29E3" w:rsidRPr="009E29E3" w:rsidRDefault="009E29E3" w:rsidP="009E29E3">
          <w:pPr>
            <w:pStyle w:val="TOC2"/>
            <w:tabs>
              <w:tab w:val="right" w:leader="dot" w:pos="9350"/>
            </w:tabs>
            <w:spacing w:line="360" w:lineRule="auto"/>
            <w:jc w:val="both"/>
            <w:rPr>
              <w:noProof/>
              <w:sz w:val="24"/>
              <w:szCs w:val="24"/>
            </w:rPr>
          </w:pPr>
          <w:hyperlink w:anchor="_Toc182052381" w:history="1">
            <w:r w:rsidRPr="009E29E3">
              <w:rPr>
                <w:rStyle w:val="Hyperlink"/>
                <w:noProof/>
                <w:sz w:val="24"/>
                <w:szCs w:val="24"/>
              </w:rPr>
              <w:t>Realistic Implementation Strategies for Fairmont St Andrews</w:t>
            </w:r>
            <w:r w:rsidRPr="009E29E3">
              <w:rPr>
                <w:noProof/>
                <w:webHidden/>
                <w:sz w:val="24"/>
                <w:szCs w:val="24"/>
              </w:rPr>
              <w:tab/>
            </w:r>
          </w:hyperlink>
          <w:r w:rsidR="00B0298D">
            <w:rPr>
              <w:noProof/>
              <w:sz w:val="24"/>
              <w:szCs w:val="24"/>
            </w:rPr>
            <w:t>10</w:t>
          </w:r>
        </w:p>
        <w:p w14:paraId="17B93831" w14:textId="0A19F9A3" w:rsidR="009E29E3" w:rsidRPr="009E29E3" w:rsidRDefault="009E29E3" w:rsidP="009E29E3">
          <w:pPr>
            <w:pStyle w:val="TOC2"/>
            <w:tabs>
              <w:tab w:val="right" w:leader="dot" w:pos="9350"/>
            </w:tabs>
            <w:spacing w:line="360" w:lineRule="auto"/>
            <w:jc w:val="both"/>
            <w:rPr>
              <w:noProof/>
              <w:sz w:val="24"/>
              <w:szCs w:val="24"/>
            </w:rPr>
          </w:pPr>
          <w:hyperlink w:anchor="_Toc182052382" w:history="1">
            <w:r w:rsidRPr="009E29E3">
              <w:rPr>
                <w:rStyle w:val="Hyperlink"/>
                <w:noProof/>
                <w:sz w:val="24"/>
                <w:szCs w:val="24"/>
              </w:rPr>
              <w:t>Benefits to the Hotel and Environment</w:t>
            </w:r>
            <w:r w:rsidRPr="009E29E3">
              <w:rPr>
                <w:noProof/>
                <w:webHidden/>
                <w:sz w:val="24"/>
                <w:szCs w:val="24"/>
              </w:rPr>
              <w:tab/>
            </w:r>
            <w:r w:rsidR="00C73F4A">
              <w:rPr>
                <w:noProof/>
                <w:webHidden/>
                <w:sz w:val="24"/>
                <w:szCs w:val="24"/>
              </w:rPr>
              <w:t>1</w:t>
            </w:r>
            <w:r w:rsidR="00B0298D">
              <w:rPr>
                <w:noProof/>
                <w:webHidden/>
                <w:sz w:val="24"/>
                <w:szCs w:val="24"/>
              </w:rPr>
              <w:t>1</w:t>
            </w:r>
          </w:hyperlink>
        </w:p>
        <w:p w14:paraId="37AD7ABB" w14:textId="5FCAF45F" w:rsidR="009E29E3" w:rsidRPr="009E29E3" w:rsidRDefault="009E29E3" w:rsidP="009E29E3">
          <w:pPr>
            <w:pStyle w:val="TOC1"/>
            <w:tabs>
              <w:tab w:val="right" w:leader="dot" w:pos="9350"/>
            </w:tabs>
            <w:spacing w:line="360" w:lineRule="auto"/>
            <w:jc w:val="both"/>
            <w:rPr>
              <w:noProof/>
              <w:sz w:val="24"/>
              <w:szCs w:val="24"/>
            </w:rPr>
          </w:pPr>
          <w:hyperlink w:anchor="_Toc182052383" w:history="1">
            <w:r w:rsidRPr="009E29E3">
              <w:rPr>
                <w:rStyle w:val="Hyperlink"/>
                <w:noProof/>
                <w:sz w:val="24"/>
                <w:szCs w:val="24"/>
              </w:rPr>
              <w:t>Conclusion/Recommendations</w:t>
            </w:r>
            <w:r w:rsidRPr="009E29E3">
              <w:rPr>
                <w:noProof/>
                <w:webHidden/>
                <w:sz w:val="24"/>
                <w:szCs w:val="24"/>
              </w:rPr>
              <w:tab/>
            </w:r>
            <w:r w:rsidR="00C73F4A">
              <w:rPr>
                <w:noProof/>
                <w:webHidden/>
                <w:sz w:val="24"/>
                <w:szCs w:val="24"/>
              </w:rPr>
              <w:t>1</w:t>
            </w:r>
            <w:r w:rsidR="00B0298D">
              <w:rPr>
                <w:noProof/>
                <w:webHidden/>
                <w:sz w:val="24"/>
                <w:szCs w:val="24"/>
              </w:rPr>
              <w:t>1</w:t>
            </w:r>
          </w:hyperlink>
        </w:p>
        <w:p w14:paraId="154A23FD" w14:textId="15141971" w:rsidR="009E29E3" w:rsidRPr="009E29E3" w:rsidRDefault="009E29E3" w:rsidP="009E29E3">
          <w:pPr>
            <w:pStyle w:val="TOC1"/>
            <w:tabs>
              <w:tab w:val="right" w:leader="dot" w:pos="9350"/>
            </w:tabs>
            <w:spacing w:line="360" w:lineRule="auto"/>
            <w:jc w:val="both"/>
            <w:rPr>
              <w:noProof/>
              <w:sz w:val="24"/>
              <w:szCs w:val="24"/>
            </w:rPr>
          </w:pPr>
          <w:hyperlink w:anchor="_Toc182052384" w:history="1">
            <w:r w:rsidRPr="009E29E3">
              <w:rPr>
                <w:rStyle w:val="Hyperlink"/>
                <w:noProof/>
                <w:sz w:val="24"/>
                <w:szCs w:val="24"/>
              </w:rPr>
              <w:t>References</w:t>
            </w:r>
            <w:r w:rsidRPr="009E29E3">
              <w:rPr>
                <w:noProof/>
                <w:webHidden/>
                <w:sz w:val="24"/>
                <w:szCs w:val="24"/>
              </w:rPr>
              <w:tab/>
            </w:r>
            <w:r w:rsidRPr="009E29E3">
              <w:rPr>
                <w:noProof/>
                <w:webHidden/>
                <w:sz w:val="24"/>
                <w:szCs w:val="24"/>
              </w:rPr>
              <w:fldChar w:fldCharType="begin"/>
            </w:r>
            <w:r w:rsidRPr="009E29E3">
              <w:rPr>
                <w:noProof/>
                <w:webHidden/>
                <w:sz w:val="24"/>
                <w:szCs w:val="24"/>
              </w:rPr>
              <w:instrText xml:space="preserve"> PAGEREF _Toc182052384 \h </w:instrText>
            </w:r>
            <w:r w:rsidRPr="009E29E3">
              <w:rPr>
                <w:noProof/>
                <w:webHidden/>
                <w:sz w:val="24"/>
                <w:szCs w:val="24"/>
              </w:rPr>
            </w:r>
            <w:r w:rsidRPr="009E29E3">
              <w:rPr>
                <w:noProof/>
                <w:webHidden/>
                <w:sz w:val="24"/>
                <w:szCs w:val="24"/>
              </w:rPr>
              <w:fldChar w:fldCharType="separate"/>
            </w:r>
            <w:r w:rsidRPr="009E29E3">
              <w:rPr>
                <w:noProof/>
                <w:webHidden/>
                <w:sz w:val="24"/>
                <w:szCs w:val="24"/>
              </w:rPr>
              <w:t>1</w:t>
            </w:r>
            <w:r w:rsidR="00B0298D">
              <w:rPr>
                <w:noProof/>
                <w:webHidden/>
                <w:sz w:val="24"/>
                <w:szCs w:val="24"/>
              </w:rPr>
              <w:t>3</w:t>
            </w:r>
            <w:r w:rsidRPr="009E29E3">
              <w:rPr>
                <w:noProof/>
                <w:webHidden/>
                <w:sz w:val="24"/>
                <w:szCs w:val="24"/>
              </w:rPr>
              <w:fldChar w:fldCharType="end"/>
            </w:r>
          </w:hyperlink>
        </w:p>
        <w:p w14:paraId="58536265" w14:textId="77777777" w:rsidR="009E29E3" w:rsidRPr="009E29E3" w:rsidRDefault="009E29E3" w:rsidP="009E29E3">
          <w:pPr>
            <w:spacing w:line="360" w:lineRule="auto"/>
            <w:jc w:val="both"/>
            <w:rPr>
              <w:sz w:val="24"/>
              <w:szCs w:val="24"/>
            </w:rPr>
          </w:pPr>
          <w:r w:rsidRPr="009E29E3">
            <w:rPr>
              <w:b/>
              <w:bCs/>
              <w:noProof/>
              <w:sz w:val="24"/>
              <w:szCs w:val="24"/>
            </w:rPr>
            <w:fldChar w:fldCharType="end"/>
          </w:r>
        </w:p>
      </w:sdtContent>
    </w:sdt>
    <w:p w14:paraId="11F2B375" w14:textId="77777777" w:rsidR="00207213" w:rsidRPr="00021E64" w:rsidRDefault="00207213">
      <w:pPr>
        <w:rPr>
          <w:b/>
          <w:color w:val="000000" w:themeColor="text1"/>
          <w:sz w:val="24"/>
          <w:szCs w:val="24"/>
        </w:rPr>
      </w:pPr>
      <w:r w:rsidRPr="00021E64">
        <w:rPr>
          <w:b/>
          <w:color w:val="000000" w:themeColor="text1"/>
          <w:sz w:val="24"/>
          <w:szCs w:val="24"/>
        </w:rPr>
        <w:br w:type="page"/>
      </w:r>
    </w:p>
    <w:p w14:paraId="26DB3F29" w14:textId="77777777" w:rsidR="00250DA6" w:rsidRPr="00021E64" w:rsidRDefault="004170DF" w:rsidP="00207213">
      <w:pPr>
        <w:pStyle w:val="Heading1"/>
      </w:pPr>
      <w:bookmarkStart w:id="0" w:name="_Toc182052374"/>
      <w:r w:rsidRPr="00021E64">
        <w:lastRenderedPageBreak/>
        <w:t>Introduction</w:t>
      </w:r>
      <w:bookmarkEnd w:id="0"/>
    </w:p>
    <w:p w14:paraId="4412CF73"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 xml:space="preserve">Sustainability and eco-conscious operations became central tenants in the hospitality industry as they reduce the environment and meet customer demand for eco-friendly choices. Greener practices mainly refer to a set of strategies, actions, and policies that aim to minimise the ecological footprint by conserving resources, promoting sustainable practices, and reducing waste in business operations. In the present time, hotels implement solar energy systems in order to power the facilities and use eco-friendly cleaning products which helps in reducing chemical pollutants. Additionally, the practices include water management, energy conservation, and the sourcing of sustainable materials. </w:t>
      </w:r>
    </w:p>
    <w:p w14:paraId="20AD5A87"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Fairmont St Andrews is a luxury hotel brand in Scotland that presents opportunities by examining the significant role of greener practices in the hospitality industry. Fairmont St Andrews has “</w:t>
      </w:r>
      <w:r w:rsidRPr="00021E64">
        <w:rPr>
          <w:color w:val="000000" w:themeColor="text1"/>
          <w:sz w:val="24"/>
          <w:szCs w:val="24"/>
          <w:highlight w:val="white"/>
        </w:rPr>
        <w:t xml:space="preserve">a cliff-top estate with championship golf courses, gourmet restaurants and a spa” which made it one of the best luxury hotels in St Andrews </w:t>
      </w:r>
      <w:r w:rsidRPr="00021E64">
        <w:rPr>
          <w:color w:val="000000" w:themeColor="text1"/>
          <w:sz w:val="24"/>
          <w:szCs w:val="24"/>
        </w:rPr>
        <w:t xml:space="preserve">(Fairmont St Andrews, 2024). This hotel also demonstrated a commitment to luxury and guest satisfaction. The company faces challenges in integrating sustainable initiatives into its business operations. This study focuses on exploring the way tailored sustainability initiatives help the company with its ultimate growth by focusing on particular greener practices. </w:t>
      </w:r>
    </w:p>
    <w:p w14:paraId="3576A82A" w14:textId="77777777" w:rsidR="00250DA6" w:rsidRPr="00021E64" w:rsidRDefault="004170DF" w:rsidP="00207213">
      <w:pPr>
        <w:pStyle w:val="Heading1"/>
      </w:pPr>
      <w:bookmarkStart w:id="1" w:name="_Toc182052375"/>
      <w:r w:rsidRPr="00021E64">
        <w:t>Main Findings</w:t>
      </w:r>
      <w:bookmarkEnd w:id="1"/>
    </w:p>
    <w:p w14:paraId="241E12CD" w14:textId="77777777" w:rsidR="00250DA6" w:rsidRPr="00021E64" w:rsidRDefault="004170DF" w:rsidP="00207213">
      <w:pPr>
        <w:pStyle w:val="Heading2"/>
      </w:pPr>
      <w:bookmarkStart w:id="2" w:name="_Toc182052376"/>
      <w:r w:rsidRPr="00021E64">
        <w:t>Identified Greener Practice Initiative</w:t>
      </w:r>
      <w:bookmarkEnd w:id="2"/>
    </w:p>
    <w:p w14:paraId="30C3F726" w14:textId="744CA02E"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 xml:space="preserve">Fairmont St Andrews should focus on renewable energy sources through the installation of wind turbines and solar panels additionally the use of green energy providers can be included. Solar panels will harness ample daylight in order to produce clean energy. Crail and Tynan (2022), stated that the implementation of solar panels helsp in reducing electricity bills, increasing resale value and long-term savings. Additionally, small-scale wind turbines can take advantage of the coastal location where wind offers a reliable </w:t>
      </w:r>
      <w:r w:rsidRPr="00021E64">
        <w:rPr>
          <w:color w:val="000000" w:themeColor="text1"/>
          <w:sz w:val="24"/>
          <w:szCs w:val="24"/>
        </w:rPr>
        <w:lastRenderedPageBreak/>
        <w:t xml:space="preserve">power source. This initiative is also entitled to generating power on-site which reduces its reliance on fossil fuels that leads to a lower carbon footprint. </w:t>
      </w:r>
      <w:r w:rsidR="00BE5C5D">
        <w:rPr>
          <w:color w:val="000000" w:themeColor="text1"/>
          <w:sz w:val="24"/>
          <w:szCs w:val="24"/>
        </w:rPr>
        <w:t>(Malliotakis et al., 2020).</w:t>
      </w:r>
    </w:p>
    <w:p w14:paraId="68ED3AE1" w14:textId="77777777" w:rsidR="00250DA6" w:rsidRPr="00021E64" w:rsidRDefault="004170DF">
      <w:pPr>
        <w:pStyle w:val="Normal1"/>
        <w:spacing w:before="200" w:line="360" w:lineRule="auto"/>
        <w:jc w:val="center"/>
        <w:rPr>
          <w:color w:val="000000" w:themeColor="text1"/>
          <w:sz w:val="24"/>
          <w:szCs w:val="24"/>
        </w:rPr>
      </w:pPr>
      <w:r w:rsidRPr="00021E64">
        <w:rPr>
          <w:noProof/>
          <w:color w:val="000000" w:themeColor="text1"/>
          <w:sz w:val="24"/>
          <w:szCs w:val="24"/>
        </w:rPr>
        <w:drawing>
          <wp:inline distT="114300" distB="114300" distL="114300" distR="114300" wp14:anchorId="726D79EE" wp14:editId="6CEB9086">
            <wp:extent cx="5534025" cy="34099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534025" cy="3409950"/>
                    </a:xfrm>
                    <a:prstGeom prst="rect">
                      <a:avLst/>
                    </a:prstGeom>
                  </pic:spPr>
                </pic:pic>
              </a:graphicData>
            </a:graphic>
          </wp:inline>
        </w:drawing>
      </w:r>
    </w:p>
    <w:p w14:paraId="6FF8ADEA" w14:textId="77777777" w:rsidR="00250DA6" w:rsidRPr="00021E64" w:rsidRDefault="004170DF">
      <w:pPr>
        <w:pStyle w:val="Normal1"/>
        <w:spacing w:before="200" w:line="360" w:lineRule="auto"/>
        <w:jc w:val="center"/>
        <w:rPr>
          <w:b/>
          <w:color w:val="000000" w:themeColor="text1"/>
          <w:sz w:val="24"/>
          <w:szCs w:val="24"/>
        </w:rPr>
      </w:pPr>
      <w:r w:rsidRPr="00021E64">
        <w:rPr>
          <w:b/>
          <w:color w:val="000000" w:themeColor="text1"/>
          <w:sz w:val="24"/>
          <w:szCs w:val="24"/>
        </w:rPr>
        <w:t>Figure 1: Global renewable energy consumption</w:t>
      </w:r>
    </w:p>
    <w:p w14:paraId="3234E497" w14:textId="77777777" w:rsidR="00250DA6" w:rsidRPr="00021E64" w:rsidRDefault="004170DF">
      <w:pPr>
        <w:pStyle w:val="Normal1"/>
        <w:spacing w:before="200" w:line="360" w:lineRule="auto"/>
        <w:jc w:val="center"/>
        <w:rPr>
          <w:color w:val="000000" w:themeColor="text1"/>
          <w:sz w:val="24"/>
          <w:szCs w:val="24"/>
        </w:rPr>
      </w:pPr>
      <w:r w:rsidRPr="00021E64">
        <w:rPr>
          <w:color w:val="000000" w:themeColor="text1"/>
          <w:sz w:val="24"/>
          <w:szCs w:val="24"/>
        </w:rPr>
        <w:t>(Source: Fernández, 2024)</w:t>
      </w:r>
    </w:p>
    <w:p w14:paraId="323254FD"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 xml:space="preserve">It is seen that in 2023 consumption of renewable energy </w:t>
      </w:r>
      <w:r w:rsidRPr="00021E64">
        <w:rPr>
          <w:color w:val="000000" w:themeColor="text1"/>
          <w:sz w:val="24"/>
          <w:szCs w:val="24"/>
          <w:highlight w:val="white"/>
        </w:rPr>
        <w:t xml:space="preserve">reached 90.23 exajoules </w:t>
      </w:r>
      <w:r w:rsidRPr="00021E64">
        <w:rPr>
          <w:color w:val="000000" w:themeColor="text1"/>
          <w:sz w:val="24"/>
          <w:szCs w:val="24"/>
        </w:rPr>
        <w:t xml:space="preserve">(Fernández, 2024). Renewable energy integration will be suitable for Fairmont St Andrews due to its open setting. This initiative can be aligned with Scotland's goal of achieving net zero emissions by 2045. In this regard, the company must invest in renewable energy which can help in reducing operating costs over time. Legrand, (2023), </w:t>
      </w:r>
      <w:r w:rsidRPr="00021E64">
        <w:rPr>
          <w:color w:val="000000" w:themeColor="text1"/>
          <w:sz w:val="24"/>
          <w:szCs w:val="24"/>
          <w:highlight w:val="white"/>
        </w:rPr>
        <w:t>investigates the environmental, economic and social sustainability issues along with solutions in the hospitality industry</w:t>
      </w:r>
      <w:r w:rsidRPr="00021E64">
        <w:rPr>
          <w:color w:val="000000" w:themeColor="text1"/>
          <w:sz w:val="24"/>
          <w:szCs w:val="24"/>
        </w:rPr>
        <w:t xml:space="preserve"> The goal enables the hotel to continue to the national sustainability target that enhances guest satisfaction. It will improve its reputation and also set the company as a benchmark for luxury hospitality providers. It will position Fairmont St Andrews as the forward-thinking leader in greener hospitality. The initiative supports cost-effectiveness and long-term sustainability. </w:t>
      </w:r>
    </w:p>
    <w:p w14:paraId="4FF34979" w14:textId="77777777" w:rsidR="00250DA6" w:rsidRPr="00021E64" w:rsidRDefault="004170DF" w:rsidP="00207213">
      <w:pPr>
        <w:pStyle w:val="Heading2"/>
      </w:pPr>
      <w:bookmarkStart w:id="3" w:name="_Toc182052377"/>
      <w:r w:rsidRPr="00021E64">
        <w:lastRenderedPageBreak/>
        <w:t>Case Studies and Examples in the Hospitality Sector</w:t>
      </w:r>
      <w:bookmarkEnd w:id="3"/>
    </w:p>
    <w:p w14:paraId="43567F73" w14:textId="416A6968"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In the present time, various hotels across the world have implemented renewable energy within the hospitality industry. For example, QO Amsterdam in the Netherlands implemented a thermal energy storage system. This system allows the hotel to reduce energy consumption which leads to reduced operational costs as well as lower carbon footprint. The system allows the hotel to store and use energy. In this way QO Amsterdam achieved sustainable climate control additionally this initiative allows the company to boost its reputation as well</w:t>
      </w:r>
      <w:r w:rsidR="00EE607A">
        <w:rPr>
          <w:color w:val="000000" w:themeColor="text1"/>
          <w:sz w:val="24"/>
          <w:szCs w:val="24"/>
        </w:rPr>
        <w:t xml:space="preserve"> </w:t>
      </w:r>
      <w:r w:rsidR="00337CF8">
        <w:rPr>
          <w:color w:val="000000" w:themeColor="text1"/>
          <w:sz w:val="24"/>
          <w:szCs w:val="24"/>
        </w:rPr>
        <w:t>(</w:t>
      </w:r>
      <w:r w:rsidR="00EE607A">
        <w:rPr>
          <w:color w:val="000000" w:themeColor="text1"/>
          <w:sz w:val="24"/>
          <w:szCs w:val="24"/>
        </w:rPr>
        <w:t>Putzer, 2019</w:t>
      </w:r>
      <w:r w:rsidR="00337CF8">
        <w:rPr>
          <w:color w:val="000000" w:themeColor="text1"/>
          <w:sz w:val="24"/>
          <w:szCs w:val="24"/>
        </w:rPr>
        <w:t>)</w:t>
      </w:r>
      <w:r w:rsidRPr="00021E64">
        <w:rPr>
          <w:color w:val="000000" w:themeColor="text1"/>
          <w:sz w:val="24"/>
          <w:szCs w:val="24"/>
        </w:rPr>
        <w:t xml:space="preserve">. Apart from that, JW Marriott Los Angeles L.A. LIVE adopted a large-scale solar panel installation that generated a huge portion of the energy needed for the hotel (Marriott, 2022). The hotel has also implemented other energy-efficient practices combined with solar energy that support and enhance the environmental profile. </w:t>
      </w:r>
    </w:p>
    <w:p w14:paraId="6864261B" w14:textId="4F4B16E9"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The installation minimises reliance on grid electricity which leads to a lower energy bill and also minimises gas emission. It also benefits the hotel financially as well as satisfies customers who appreciate green initiatives</w:t>
      </w:r>
      <w:r w:rsidR="00AA1F76">
        <w:rPr>
          <w:color w:val="000000" w:themeColor="text1"/>
          <w:sz w:val="24"/>
          <w:szCs w:val="24"/>
        </w:rPr>
        <w:t xml:space="preserve"> (</w:t>
      </w:r>
      <w:r w:rsidR="005958F4">
        <w:rPr>
          <w:color w:val="000000" w:themeColor="text1"/>
          <w:sz w:val="24"/>
          <w:szCs w:val="24"/>
        </w:rPr>
        <w:t>Dhirasasna,2021</w:t>
      </w:r>
      <w:r w:rsidR="00AA1F76">
        <w:rPr>
          <w:color w:val="000000" w:themeColor="text1"/>
          <w:sz w:val="24"/>
          <w:szCs w:val="24"/>
        </w:rPr>
        <w:t>)</w:t>
      </w:r>
      <w:r w:rsidRPr="00021E64">
        <w:rPr>
          <w:color w:val="000000" w:themeColor="text1"/>
          <w:sz w:val="24"/>
          <w:szCs w:val="24"/>
        </w:rPr>
        <w:t xml:space="preserve">. Therefore the benefit of using renewable energy for hotels can be understood. McPhail (2023), stated that an effective energy system in a hotel improves guest experience. such initiatives not only reduce energy expenses, improve the environment and also improve brand positioning in the competitive marketplace. In this way, valuable insights for Fairmont St Andrews are offered that can help a company to apply search initiatives for operational efficiency and improving guest appeal. </w:t>
      </w:r>
    </w:p>
    <w:p w14:paraId="6516D703" w14:textId="77777777" w:rsidR="00250DA6" w:rsidRPr="00021E64" w:rsidRDefault="004170DF" w:rsidP="00207213">
      <w:pPr>
        <w:pStyle w:val="Heading2"/>
      </w:pPr>
      <w:bookmarkStart w:id="4" w:name="_Toc182052378"/>
      <w:r w:rsidRPr="00021E64">
        <w:t>Benefits to Fairmont St Andrews</w:t>
      </w:r>
      <w:bookmarkEnd w:id="4"/>
    </w:p>
    <w:p w14:paraId="38437BEF" w14:textId="3864125C"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Implementation of renewable energy in Fairmont St Andrews offers various benefits across cost saving, reputation as well as sustainability. Long-term cost saving is a significant benefit that can be achieved through using renewable energy as it reduces dependency on external energy providers which results in financial savings</w:t>
      </w:r>
      <w:r w:rsidR="00BE0CF6">
        <w:rPr>
          <w:color w:val="000000" w:themeColor="text1"/>
          <w:sz w:val="24"/>
          <w:szCs w:val="24"/>
        </w:rPr>
        <w:t xml:space="preserve"> (</w:t>
      </w:r>
      <w:r w:rsidR="00EF2D57">
        <w:rPr>
          <w:color w:val="000000" w:themeColor="text1"/>
          <w:sz w:val="24"/>
          <w:szCs w:val="24"/>
        </w:rPr>
        <w:t>Luo et al., 2024</w:t>
      </w:r>
      <w:r w:rsidR="00BE0CF6">
        <w:rPr>
          <w:color w:val="000000" w:themeColor="text1"/>
          <w:sz w:val="24"/>
          <w:szCs w:val="24"/>
        </w:rPr>
        <w:t>)</w:t>
      </w:r>
      <w:r w:rsidRPr="00021E64">
        <w:rPr>
          <w:color w:val="000000" w:themeColor="text1"/>
          <w:sz w:val="24"/>
          <w:szCs w:val="24"/>
        </w:rPr>
        <w:t>. Razgaitis (2024), stated that “</w:t>
      </w:r>
      <w:r w:rsidRPr="00021E64">
        <w:rPr>
          <w:color w:val="000000" w:themeColor="text1"/>
          <w:sz w:val="24"/>
          <w:szCs w:val="24"/>
          <w:highlight w:val="white"/>
        </w:rPr>
        <w:t xml:space="preserve">embracing energy efficiency and lowering your carbon footprint is appealing to guests and can also serve as a potential cost-savings”. </w:t>
      </w:r>
      <w:r w:rsidRPr="00021E64">
        <w:rPr>
          <w:color w:val="000000" w:themeColor="text1"/>
          <w:sz w:val="24"/>
          <w:szCs w:val="24"/>
        </w:rPr>
        <w:t xml:space="preserve">Solar panels along with wind turbines have high up from cost which helps in lowering </w:t>
      </w:r>
      <w:r w:rsidRPr="00021E64">
        <w:rPr>
          <w:color w:val="000000" w:themeColor="text1"/>
          <w:sz w:val="24"/>
          <w:szCs w:val="24"/>
        </w:rPr>
        <w:lastRenderedPageBreak/>
        <w:t xml:space="preserve">ongoing costs. Fairmont St Andrews should focus on investing in sustainable practices in order to improve guest experience. The adoption of renewable energy helps the hotel to position itself as a reputed brand with sustainable luxury. By showcasing its commitment to green energy the organisation can easily attract guests who value such initiatives in this way enhancing guest loyalty helps in making itself differentiate from the computers. </w:t>
      </w:r>
    </w:p>
    <w:p w14:paraId="0FF6649B" w14:textId="77777777" w:rsidR="00250DA6" w:rsidRPr="00021E64" w:rsidRDefault="004170DF">
      <w:pPr>
        <w:pStyle w:val="Normal1"/>
        <w:spacing w:before="200" w:line="360" w:lineRule="auto"/>
        <w:jc w:val="center"/>
        <w:rPr>
          <w:color w:val="000000" w:themeColor="text1"/>
          <w:sz w:val="24"/>
          <w:szCs w:val="24"/>
        </w:rPr>
      </w:pPr>
      <w:r w:rsidRPr="00021E64">
        <w:rPr>
          <w:noProof/>
          <w:color w:val="000000" w:themeColor="text1"/>
          <w:sz w:val="24"/>
          <w:szCs w:val="24"/>
        </w:rPr>
        <w:drawing>
          <wp:inline distT="114300" distB="114300" distL="114300" distR="114300" wp14:anchorId="241468A1" wp14:editId="3DFEBD62">
            <wp:extent cx="5695950" cy="3609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695950" cy="3609975"/>
                    </a:xfrm>
                    <a:prstGeom prst="rect">
                      <a:avLst/>
                    </a:prstGeom>
                  </pic:spPr>
                </pic:pic>
              </a:graphicData>
            </a:graphic>
          </wp:inline>
        </w:drawing>
      </w:r>
    </w:p>
    <w:p w14:paraId="7A7E4D8B" w14:textId="77777777" w:rsidR="00250DA6" w:rsidRPr="00021E64" w:rsidRDefault="004170DF">
      <w:pPr>
        <w:pStyle w:val="Normal1"/>
        <w:spacing w:before="200" w:line="360" w:lineRule="auto"/>
        <w:jc w:val="center"/>
        <w:rPr>
          <w:b/>
          <w:color w:val="000000" w:themeColor="text1"/>
          <w:sz w:val="24"/>
          <w:szCs w:val="24"/>
        </w:rPr>
      </w:pPr>
      <w:r w:rsidRPr="00021E64">
        <w:rPr>
          <w:b/>
          <w:color w:val="000000" w:themeColor="text1"/>
          <w:sz w:val="24"/>
          <w:szCs w:val="24"/>
        </w:rPr>
        <w:t xml:space="preserve">Figure 2: Worldwide investment in renewable energy </w:t>
      </w:r>
    </w:p>
    <w:p w14:paraId="5A71D963" w14:textId="77777777" w:rsidR="00250DA6" w:rsidRPr="00021E64" w:rsidRDefault="004170DF">
      <w:pPr>
        <w:pStyle w:val="Normal1"/>
        <w:spacing w:before="200" w:line="360" w:lineRule="auto"/>
        <w:jc w:val="center"/>
        <w:rPr>
          <w:color w:val="000000" w:themeColor="text1"/>
          <w:sz w:val="24"/>
          <w:szCs w:val="24"/>
        </w:rPr>
      </w:pPr>
      <w:r w:rsidRPr="00021E64">
        <w:rPr>
          <w:color w:val="000000" w:themeColor="text1"/>
          <w:sz w:val="24"/>
          <w:szCs w:val="24"/>
        </w:rPr>
        <w:t>(Source: Fernández, 2023)</w:t>
      </w:r>
    </w:p>
    <w:p w14:paraId="5CAD8999"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 xml:space="preserve">The figure highlights that in 2023 investment in renewable energy was 619.1 billion USD (Fernandez, 2023). The distinction is appealing to eco-conscious travellers who also looking forward to accommodation that reduces environmental impact. Sustainability is another advantage that can be achieved through the implementation of renewable energy. The shift will reduce greenhouse gas emissions that later contribute to the broader goal of the country while achieving net zero emissions. The hotel can reduce its reliance on non-renewable energy mainly by transitioning to renewable energy sources such as solar panels and wind turbines. </w:t>
      </w:r>
    </w:p>
    <w:p w14:paraId="08849C3C" w14:textId="77777777" w:rsidR="00250DA6" w:rsidRPr="00021E64" w:rsidRDefault="004170DF" w:rsidP="00207213">
      <w:pPr>
        <w:pStyle w:val="Heading2"/>
      </w:pPr>
      <w:bookmarkStart w:id="5" w:name="_Toc182052379"/>
      <w:r w:rsidRPr="00021E64">
        <w:lastRenderedPageBreak/>
        <w:t>Challenges and Feasibility</w:t>
      </w:r>
      <w:bookmarkEnd w:id="5"/>
    </w:p>
    <w:p w14:paraId="626A619E"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Renewable energy integration comes with various long-term benefits but there are  some challenges that must be addressed in order to ensure successful implementation.</w:t>
      </w:r>
      <w:r w:rsidRPr="00021E64">
        <w:rPr>
          <w:b/>
          <w:color w:val="000000" w:themeColor="text1"/>
          <w:sz w:val="24"/>
          <w:szCs w:val="24"/>
        </w:rPr>
        <w:t xml:space="preserve"> </w:t>
      </w:r>
      <w:r w:rsidRPr="00021E64">
        <w:rPr>
          <w:color w:val="000000" w:themeColor="text1"/>
          <w:sz w:val="24"/>
          <w:szCs w:val="24"/>
        </w:rPr>
        <w:t>Marr (2022), mentioned that “</w:t>
      </w:r>
      <w:r w:rsidRPr="00021E64">
        <w:rPr>
          <w:color w:val="000000" w:themeColor="text1"/>
          <w:sz w:val="24"/>
          <w:szCs w:val="24"/>
          <w:highlight w:val="white"/>
        </w:rPr>
        <w:t xml:space="preserve">electrification is often touted as a significant way to decarbonize energy”. </w:t>
      </w:r>
      <w:r w:rsidRPr="00021E64">
        <w:rPr>
          <w:color w:val="000000" w:themeColor="text1"/>
          <w:sz w:val="24"/>
          <w:szCs w:val="24"/>
        </w:rPr>
        <w:t xml:space="preserve">The initial cost is one of the most significant challenges in order to Adobe Renewable Energy. It is seen that the installation of wind turbines, solar panels and other renewable systems requires a huge investment. Sometimes it is difficult for the hotels to invest such an amount at a time. Additionally purchasing the equipment, hiring contractors and infrastructure upgrades are also required. However, these challenges can be easily material by exploding green energy initiatives government subsidies and financing the options that are designed to support sustainable projects. </w:t>
      </w:r>
    </w:p>
    <w:p w14:paraId="262FD09A"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Maintenance and technical experts also play a very important role in ensuring efficiency and longitude of renewable energy systems. In this regard employee training is important additionally hotels should partner with service providers and specialists who can easily offer ongoing support to ensure deficiency. As per the viewpoint of Abdou et al. (2020), achieving sustainable development goals is a significant challenge. Infrastructure limitations hamper the overall implementation process. Sufficient sun exposure is required for solar panel implementation that helps in maximising energy production. Additionally, the location should be assisted with consistent wind speed for implementing wind turbines. Therefore modification of the existing infrastructure is required.</w:t>
      </w:r>
    </w:p>
    <w:p w14:paraId="1362747F" w14:textId="77777777" w:rsidR="00250DA6" w:rsidRPr="00021E64" w:rsidRDefault="004170DF" w:rsidP="00207213">
      <w:pPr>
        <w:pStyle w:val="Heading2"/>
      </w:pPr>
      <w:bookmarkStart w:id="6" w:name="_Toc182052380"/>
      <w:r w:rsidRPr="00021E64">
        <w:t>Cost-Effectiveness</w:t>
      </w:r>
      <w:bookmarkEnd w:id="6"/>
      <w:r w:rsidRPr="00021E64">
        <w:t xml:space="preserve"> </w:t>
      </w:r>
    </w:p>
    <w:p w14:paraId="431BE9BA"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 xml:space="preserve">The financial visibility of implementing renewable energy requires a throughout analysis of internal costs as well as long-term savings. Installation costs for renewable energy systems including wind turbines and solar panels can be significant and are expected to range from £500,000 to £1 million. Which will include installation labour purchase of equipment, and any necessary infrastructure upgrades as well. Furthermore, the maintenance cost can be relatively lower (Hansen, 2019). Energy saving is one of the primary financial benefits which depend on energy consumption, and installation of the services which reduces electricity bills. The savings from reduced energy bills will help in </w:t>
      </w:r>
      <w:r w:rsidRPr="00021E64">
        <w:rPr>
          <w:color w:val="000000" w:themeColor="text1"/>
          <w:sz w:val="24"/>
          <w:szCs w:val="24"/>
        </w:rPr>
        <w:lastRenderedPageBreak/>
        <w:t xml:space="preserve">backing up the initial investment amount. Additionally, the return on investment for renewable energy will take 5 to 10 years as it depends on system size as well as energy cost. Additionally, government tax rebates improve financial viability. Such programs can help accelerator investment by making the project more financially viable. </w:t>
      </w:r>
    </w:p>
    <w:p w14:paraId="20E26A40" w14:textId="77777777" w:rsidR="00250DA6" w:rsidRPr="00021E64" w:rsidRDefault="004170DF" w:rsidP="00207213">
      <w:pPr>
        <w:pStyle w:val="Heading2"/>
      </w:pPr>
      <w:bookmarkStart w:id="7" w:name="_Toc182052381"/>
      <w:r w:rsidRPr="00021E64">
        <w:t>Realistic Implementation Strategies for Fairmont St Andrews</w:t>
      </w:r>
      <w:bookmarkEnd w:id="7"/>
    </w:p>
    <w:p w14:paraId="2912DF62" w14:textId="51EDFB76"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Fairmont St Andrews should focus on strategic partnership and a face approach in order to mitigate the cost as well as complexities related to the implementation of renewable energy. Collaborating with local green energy providers and partnering with solar programs is an effective strategy</w:t>
      </w:r>
      <w:r w:rsidR="0080121B">
        <w:rPr>
          <w:color w:val="000000" w:themeColor="text1"/>
          <w:sz w:val="24"/>
          <w:szCs w:val="24"/>
        </w:rPr>
        <w:t xml:space="preserve"> (</w:t>
      </w:r>
      <w:r w:rsidR="00D73759">
        <w:rPr>
          <w:color w:val="000000" w:themeColor="text1"/>
          <w:sz w:val="24"/>
          <w:szCs w:val="24"/>
        </w:rPr>
        <w:t>Mustikaningsih et al., 2019</w:t>
      </w:r>
      <w:r w:rsidR="0080121B">
        <w:rPr>
          <w:color w:val="000000" w:themeColor="text1"/>
          <w:sz w:val="24"/>
          <w:szCs w:val="24"/>
        </w:rPr>
        <w:t>)</w:t>
      </w:r>
      <w:r w:rsidRPr="00021E64">
        <w:rPr>
          <w:color w:val="000000" w:themeColor="text1"/>
          <w:sz w:val="24"/>
          <w:szCs w:val="24"/>
        </w:rPr>
        <w:t xml:space="preserve">. Hanke et al. (2021), stated that the Renewable energy community has the presidential to allow citizen participation in energy transmission and also shape a just translation. Such a strategy can help hotels to begin sourcing renewable electricity from external providers. That </w:t>
      </w:r>
      <w:r w:rsidR="000C3AFB">
        <w:rPr>
          <w:color w:val="000000" w:themeColor="text1"/>
          <w:sz w:val="24"/>
          <w:szCs w:val="24"/>
        </w:rPr>
        <w:t xml:space="preserve">according to </w:t>
      </w:r>
      <w:r w:rsidR="004017F8">
        <w:rPr>
          <w:color w:val="000000" w:themeColor="text1"/>
          <w:sz w:val="24"/>
          <w:szCs w:val="24"/>
        </w:rPr>
        <w:t>Soeiro and Dias (2020)</w:t>
      </w:r>
      <w:r w:rsidRPr="00021E64">
        <w:rPr>
          <w:color w:val="000000" w:themeColor="text1"/>
          <w:sz w:val="24"/>
          <w:szCs w:val="24"/>
        </w:rPr>
        <w:t xml:space="preserve"> helps in offsetting the energy consumption instruct additionally the hotel can also be considered joining in community solar program to find and share that helping gain advantages. Moreover, a renewable energy certification program can allow the hotel to enhance the environment creation shares. The UK Government offers initiatives including "the </w:t>
      </w:r>
      <w:r w:rsidRPr="00021E64">
        <w:rPr>
          <w:i/>
          <w:color w:val="000000" w:themeColor="text1"/>
          <w:sz w:val="24"/>
          <w:szCs w:val="24"/>
        </w:rPr>
        <w:t>Renewable Heat Incentive (RHI)</w:t>
      </w:r>
      <w:r w:rsidRPr="00021E64">
        <w:rPr>
          <w:color w:val="000000" w:themeColor="text1"/>
          <w:sz w:val="24"/>
          <w:szCs w:val="24"/>
        </w:rPr>
        <w:t xml:space="preserve"> and </w:t>
      </w:r>
      <w:r w:rsidRPr="00021E64">
        <w:rPr>
          <w:i/>
          <w:color w:val="000000" w:themeColor="text1"/>
          <w:sz w:val="24"/>
          <w:szCs w:val="24"/>
        </w:rPr>
        <w:t>Feed-in Tariffs (FiTs)</w:t>
      </w:r>
      <w:r w:rsidRPr="00021E64">
        <w:rPr>
          <w:color w:val="000000" w:themeColor="text1"/>
          <w:sz w:val="24"/>
          <w:szCs w:val="24"/>
        </w:rPr>
        <w:t xml:space="preserve">” (IRENA, 2018). They will definitely support the initial cost of the renewable energy installation. </w:t>
      </w:r>
    </w:p>
    <w:p w14:paraId="54108D0A"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The phased approach is important to implement renewable energy initiatives which minimises upfront investment for implementation. According to Fara et al. (2020), the implementation of renewable energy sources leads to energy efficiency in buildings. In this regard, solar panels on smaller buildings including storage facilities, staff accommodations and maintenance areas are required. After that, it can be implemented in the main hotel building involves purchasing green energy from local suppliers. Additional investment in certified renewable energy credits is required first solution help reduce the carbon footprint. In this regard, it is seen that this particular phase allows the company to test renewable energy solutions while understanding technique logical performance and gain confidence before the large investment. Incorporating the broaches will offer a balanced strategy for renewal energy implementation.</w:t>
      </w:r>
    </w:p>
    <w:p w14:paraId="19FF9BB1" w14:textId="77777777" w:rsidR="00250DA6" w:rsidRPr="00021E64" w:rsidRDefault="004170DF" w:rsidP="00207213">
      <w:pPr>
        <w:pStyle w:val="Heading2"/>
      </w:pPr>
      <w:bookmarkStart w:id="8" w:name="_Toc182052382"/>
      <w:r w:rsidRPr="00021E64">
        <w:lastRenderedPageBreak/>
        <w:t>Benefits to the Hotel and Environment</w:t>
      </w:r>
      <w:bookmarkEnd w:id="8"/>
    </w:p>
    <w:p w14:paraId="7E048DB8"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Implementation of renewable energy at Fairmont St Andrews will offer significant environmental reputational and economic benefits. However Fairmont St Andrews already replaced disposable water bottles with specially designed refillable glass bottles, built “</w:t>
      </w:r>
      <w:r w:rsidRPr="00021E64">
        <w:rPr>
          <w:color w:val="000000" w:themeColor="text1"/>
          <w:sz w:val="24"/>
          <w:szCs w:val="24"/>
          <w:highlight w:val="white"/>
        </w:rPr>
        <w:t>provide plastic free fully compostable biodegradable coffee capsules”, restricted the usage of the borehole, and developed a more sustainable food system</w:t>
      </w:r>
      <w:r w:rsidRPr="00021E64">
        <w:rPr>
          <w:color w:val="000000" w:themeColor="text1"/>
          <w:sz w:val="24"/>
          <w:szCs w:val="24"/>
        </w:rPr>
        <w:t xml:space="preserve"> for maintaining sustainability (Fairmont St Andrews, 2024). In addition to this, the identified approach will definitely help the company to gain environmental benefits by reducing its carbon footprint. The hotel can minimise greenhouse gas emissions by transitioning from fossil fuel-based electricity to wind or solar-based energy. The use of this particular energy also supports the broader ship to clean energy. Implementation of the energy will result in cost savings that can enhance the profit margin of Fairmont St Andrews. Additional research initiatives can help the hotel position itself as a sustainable luxury hotel which will attract more eco-friendly customers by enhancing the brand image as well. </w:t>
      </w:r>
    </w:p>
    <w:p w14:paraId="0FBDC36F" w14:textId="77777777" w:rsidR="00250DA6" w:rsidRPr="00021E64" w:rsidRDefault="004170DF" w:rsidP="00207213">
      <w:pPr>
        <w:pStyle w:val="Heading1"/>
      </w:pPr>
      <w:bookmarkStart w:id="9" w:name="_Toc182052383"/>
      <w:r w:rsidRPr="00021E64">
        <w:t>Conclusion/Recommendations</w:t>
      </w:r>
      <w:bookmarkEnd w:id="9"/>
    </w:p>
    <w:p w14:paraId="7DFF28E6"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sz w:val="24"/>
          <w:szCs w:val="24"/>
        </w:rPr>
        <w:t xml:space="preserve">Implementation of greener initiatives in Fairmont St Andrews has enabled the company to enhance sustainability as well as environment and impact. The study suggested the company implemented renewable energy initiatives such as solar panel installation and wind turbines. Such implementation helps the company to reduce its reliance on non-renewable energy sources that reduce carbon footprint. QO Amsterdam in the Netherlands and JW Marriott Los Angeles L.A. LIVE uses that also help organisations enhance their reputation. Fairmont St Andrews suggested investing in renewable energy implementation. Additionally taking advantage of available energy grands tags benefit and debate in Scotland is required. Furthermore, positive collaboration with the local renewable energy provider has been ensuring the optimisation of the system in the online support. Collaboration with the providers leads to energy purchase agreements and favourable pricing which ensure the hotel can lock in competitive rates over the long term. Additionally enhancing the value of such initiatives by training employees and sustainable practices as well as communicating the green efforts of the hotel to guests will foster </w:t>
      </w:r>
      <w:r w:rsidRPr="00021E64">
        <w:rPr>
          <w:color w:val="000000" w:themeColor="text1"/>
          <w:sz w:val="24"/>
          <w:szCs w:val="24"/>
        </w:rPr>
        <w:lastRenderedPageBreak/>
        <w:t>greater support and engagement. The hotel can easily achieve its sustainability objectives by helping position itself as a market leader in the responsible tourism and hospitality industry.</w:t>
      </w:r>
    </w:p>
    <w:p w14:paraId="40D10CDF" w14:textId="77777777" w:rsidR="00250DA6" w:rsidRPr="00021E64" w:rsidRDefault="004170DF">
      <w:pPr>
        <w:pStyle w:val="Normal1"/>
        <w:spacing w:before="200" w:line="360" w:lineRule="auto"/>
        <w:jc w:val="both"/>
        <w:rPr>
          <w:color w:val="000000" w:themeColor="text1"/>
          <w:sz w:val="24"/>
          <w:szCs w:val="24"/>
        </w:rPr>
      </w:pPr>
      <w:r w:rsidRPr="00021E64">
        <w:rPr>
          <w:color w:val="000000" w:themeColor="text1"/>
        </w:rPr>
        <w:br w:type="page"/>
      </w:r>
    </w:p>
    <w:p w14:paraId="2EE790AB" w14:textId="77777777" w:rsidR="00021E64" w:rsidRPr="009E29E3" w:rsidRDefault="004170DF" w:rsidP="009E29E3">
      <w:pPr>
        <w:pStyle w:val="Heading1"/>
      </w:pPr>
      <w:bookmarkStart w:id="10" w:name="_Toc182052384"/>
      <w:r w:rsidRPr="00021E64">
        <w:lastRenderedPageBreak/>
        <w:t>References</w:t>
      </w:r>
      <w:bookmarkEnd w:id="10"/>
      <w:r w:rsidRPr="00021E64">
        <w:t xml:space="preserve"> </w:t>
      </w:r>
    </w:p>
    <w:p w14:paraId="41CDCA44"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Abdou, A.H., Hassan, T.H. and Dief, M.M.E.</w:t>
      </w:r>
      <w:r>
        <w:rPr>
          <w:color w:val="000000" w:themeColor="text1"/>
          <w:sz w:val="24"/>
          <w:szCs w:val="24"/>
        </w:rPr>
        <w:t>,</w:t>
      </w:r>
      <w:r w:rsidRPr="00021E64">
        <w:rPr>
          <w:color w:val="000000" w:themeColor="text1"/>
          <w:sz w:val="24"/>
          <w:szCs w:val="24"/>
        </w:rPr>
        <w:t xml:space="preserve"> 2020. A Description of Green Hotel Practices and Their Role in Achieving Sustainable Development. </w:t>
      </w:r>
      <w:r w:rsidRPr="00021E64">
        <w:rPr>
          <w:i/>
          <w:color w:val="000000" w:themeColor="text1"/>
          <w:sz w:val="24"/>
          <w:szCs w:val="24"/>
        </w:rPr>
        <w:t>Sustainability</w:t>
      </w:r>
      <w:r w:rsidRPr="00021E64">
        <w:rPr>
          <w:color w:val="000000" w:themeColor="text1"/>
          <w:sz w:val="24"/>
          <w:szCs w:val="24"/>
        </w:rPr>
        <w:t>, [online] 12(22), p.9624. doi:https://doi.org/10.3390/su12229624.</w:t>
      </w:r>
    </w:p>
    <w:p w14:paraId="0ED575D6"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Crail, C. and Tynan, C.</w:t>
      </w:r>
      <w:r>
        <w:rPr>
          <w:color w:val="000000" w:themeColor="text1"/>
          <w:sz w:val="24"/>
          <w:szCs w:val="24"/>
        </w:rPr>
        <w:t>,</w:t>
      </w:r>
      <w:r w:rsidRPr="00021E64">
        <w:rPr>
          <w:color w:val="000000" w:themeColor="text1"/>
          <w:sz w:val="24"/>
          <w:szCs w:val="24"/>
        </w:rPr>
        <w:t xml:space="preserve"> 2022. </w:t>
      </w:r>
      <w:r w:rsidRPr="00021E64">
        <w:rPr>
          <w:i/>
          <w:color w:val="000000" w:themeColor="text1"/>
          <w:sz w:val="24"/>
          <w:szCs w:val="24"/>
        </w:rPr>
        <w:t>Solar energy pros and cons: What are the advantages and disadvantages?</w:t>
      </w:r>
      <w:r w:rsidRPr="00021E64">
        <w:rPr>
          <w:color w:val="000000" w:themeColor="text1"/>
          <w:sz w:val="24"/>
          <w:szCs w:val="24"/>
        </w:rPr>
        <w:t xml:space="preserve"> [online] Forbes Home. Available at: https://www.forbes.com/home-improvement/solar/solar-energy-pros-and-cons/.</w:t>
      </w:r>
    </w:p>
    <w:p w14:paraId="2E165222"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Fairmont St Andrews</w:t>
      </w:r>
      <w:r>
        <w:rPr>
          <w:color w:val="000000" w:themeColor="text1"/>
          <w:sz w:val="24"/>
          <w:szCs w:val="24"/>
        </w:rPr>
        <w:t>,</w:t>
      </w:r>
      <w:r w:rsidRPr="00021E64">
        <w:rPr>
          <w:color w:val="000000" w:themeColor="text1"/>
          <w:sz w:val="24"/>
          <w:szCs w:val="24"/>
        </w:rPr>
        <w:t xml:space="preserve"> 2024. </w:t>
      </w:r>
      <w:r w:rsidRPr="00021E64">
        <w:rPr>
          <w:i/>
          <w:color w:val="000000" w:themeColor="text1"/>
          <w:sz w:val="24"/>
          <w:szCs w:val="24"/>
        </w:rPr>
        <w:t>Fairmont St Andrews, Scotland - Luxury Hotel in Scotland (United Kingdom)</w:t>
      </w:r>
      <w:r w:rsidRPr="00021E64">
        <w:rPr>
          <w:color w:val="000000" w:themeColor="text1"/>
          <w:sz w:val="24"/>
          <w:szCs w:val="24"/>
        </w:rPr>
        <w:t>. [online] www.fairmont.com. Available at: https://www.fairmont.com/st-andrews-scotland/.</w:t>
      </w:r>
    </w:p>
    <w:p w14:paraId="2959AF74"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Khaireldin,</w:t>
      </w:r>
      <w:r>
        <w:rPr>
          <w:color w:val="000000" w:themeColor="text1"/>
          <w:sz w:val="24"/>
          <w:szCs w:val="24"/>
        </w:rPr>
        <w:t xml:space="preserve"> K.,</w:t>
      </w:r>
      <w:r w:rsidRPr="00021E64">
        <w:rPr>
          <w:color w:val="000000" w:themeColor="text1"/>
          <w:sz w:val="24"/>
          <w:szCs w:val="24"/>
        </w:rPr>
        <w:t xml:space="preserve"> Khaled,</w:t>
      </w:r>
      <w:r>
        <w:rPr>
          <w:color w:val="000000" w:themeColor="text1"/>
          <w:sz w:val="24"/>
          <w:szCs w:val="24"/>
        </w:rPr>
        <w:t xml:space="preserve"> M.,</w:t>
      </w:r>
      <w:r w:rsidRPr="00021E64">
        <w:rPr>
          <w:color w:val="000000" w:themeColor="text1"/>
          <w:sz w:val="24"/>
          <w:szCs w:val="24"/>
        </w:rPr>
        <w:t xml:space="preserve"> Faraj,</w:t>
      </w:r>
      <w:r>
        <w:rPr>
          <w:color w:val="000000" w:themeColor="text1"/>
          <w:sz w:val="24"/>
          <w:szCs w:val="24"/>
        </w:rPr>
        <w:t xml:space="preserve"> J., </w:t>
      </w:r>
      <w:r w:rsidRPr="00021E64">
        <w:rPr>
          <w:color w:val="000000" w:themeColor="text1"/>
          <w:sz w:val="24"/>
          <w:szCs w:val="24"/>
        </w:rPr>
        <w:t>Hachem,</w:t>
      </w:r>
      <w:r>
        <w:rPr>
          <w:color w:val="000000" w:themeColor="text1"/>
          <w:sz w:val="24"/>
          <w:szCs w:val="24"/>
        </w:rPr>
        <w:t xml:space="preserve"> F.,</w:t>
      </w:r>
      <w:r w:rsidRPr="00021E64">
        <w:rPr>
          <w:color w:val="000000" w:themeColor="text1"/>
          <w:sz w:val="24"/>
          <w:szCs w:val="24"/>
        </w:rPr>
        <w:t xml:space="preserve"> and</w:t>
      </w:r>
      <w:r>
        <w:rPr>
          <w:color w:val="000000" w:themeColor="text1"/>
          <w:sz w:val="24"/>
          <w:szCs w:val="24"/>
        </w:rPr>
        <w:t xml:space="preserve"> </w:t>
      </w:r>
      <w:r w:rsidRPr="00021E64">
        <w:rPr>
          <w:color w:val="000000" w:themeColor="text1"/>
          <w:sz w:val="24"/>
          <w:szCs w:val="24"/>
        </w:rPr>
        <w:t>Castelain</w:t>
      </w:r>
      <w:r>
        <w:rPr>
          <w:color w:val="000000" w:themeColor="text1"/>
          <w:sz w:val="24"/>
          <w:szCs w:val="24"/>
        </w:rPr>
        <w:t>, C.,</w:t>
      </w:r>
      <w:r w:rsidRPr="00021E64">
        <w:rPr>
          <w:color w:val="000000" w:themeColor="text1"/>
          <w:sz w:val="24"/>
          <w:szCs w:val="24"/>
        </w:rPr>
        <w:t xml:space="preserve"> 2020. </w:t>
      </w:r>
      <w:r w:rsidRPr="00021E64">
        <w:rPr>
          <w:i/>
          <w:color w:val="000000" w:themeColor="text1"/>
          <w:sz w:val="24"/>
          <w:szCs w:val="24"/>
        </w:rPr>
        <w:t>ScienceDirect.com | Science, health and medical journals, full text articles and books.</w:t>
      </w:r>
      <w:r w:rsidRPr="00021E64">
        <w:rPr>
          <w:color w:val="000000" w:themeColor="text1"/>
          <w:sz w:val="24"/>
          <w:szCs w:val="24"/>
        </w:rPr>
        <w:t xml:space="preserve"> [online] Sciencedirect.com. Available at: https://www.sciencedirect.com/science/article/am/pii/S1364032119307877 [Accessed 9 Nov. 2024].</w:t>
      </w:r>
    </w:p>
    <w:p w14:paraId="70ACCB75"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Fernández</w:t>
      </w:r>
      <w:r>
        <w:rPr>
          <w:color w:val="000000" w:themeColor="text1"/>
          <w:sz w:val="24"/>
          <w:szCs w:val="24"/>
        </w:rPr>
        <w:t>,</w:t>
      </w:r>
      <w:r w:rsidRPr="00021E64">
        <w:rPr>
          <w:color w:val="000000" w:themeColor="text1"/>
          <w:sz w:val="24"/>
          <w:szCs w:val="24"/>
        </w:rPr>
        <w:t xml:space="preserve"> 2024. </w:t>
      </w:r>
      <w:r w:rsidRPr="00021E64">
        <w:rPr>
          <w:i/>
          <w:color w:val="000000" w:themeColor="text1"/>
          <w:sz w:val="24"/>
          <w:szCs w:val="24"/>
        </w:rPr>
        <w:t>Global renewable energy consumption 2020</w:t>
      </w:r>
      <w:r w:rsidRPr="00021E64">
        <w:rPr>
          <w:color w:val="000000" w:themeColor="text1"/>
          <w:sz w:val="24"/>
          <w:szCs w:val="24"/>
        </w:rPr>
        <w:t>. [online] Statista. Available at: https://www.statista.com/statistics/274101/world-renewable-energy-consumption/.</w:t>
      </w:r>
    </w:p>
    <w:p w14:paraId="30062AEF"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Fernandez, L.</w:t>
      </w:r>
      <w:r>
        <w:rPr>
          <w:color w:val="000000" w:themeColor="text1"/>
          <w:sz w:val="24"/>
          <w:szCs w:val="24"/>
        </w:rPr>
        <w:t>,</w:t>
      </w:r>
      <w:r w:rsidRPr="00021E64">
        <w:rPr>
          <w:color w:val="000000" w:themeColor="text1"/>
          <w:sz w:val="24"/>
          <w:szCs w:val="24"/>
        </w:rPr>
        <w:t xml:space="preserve"> 2023. </w:t>
      </w:r>
      <w:r w:rsidRPr="00021E64">
        <w:rPr>
          <w:i/>
          <w:color w:val="000000" w:themeColor="text1"/>
          <w:sz w:val="24"/>
          <w:szCs w:val="24"/>
        </w:rPr>
        <w:t>Clean energy - global investment 2018 | Statista</w:t>
      </w:r>
      <w:r w:rsidRPr="00021E64">
        <w:rPr>
          <w:color w:val="000000" w:themeColor="text1"/>
          <w:sz w:val="24"/>
          <w:szCs w:val="24"/>
        </w:rPr>
        <w:t>. [online] Statista. Available at: https://www.statista.com/statistics/186807/worldwide-investment-in-sustainable-energy-since-2004/.</w:t>
      </w:r>
    </w:p>
    <w:p w14:paraId="77A9EE29"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Hanke, F., Guyet, R. and Feenstra, M.</w:t>
      </w:r>
      <w:r>
        <w:rPr>
          <w:color w:val="000000" w:themeColor="text1"/>
          <w:sz w:val="24"/>
          <w:szCs w:val="24"/>
        </w:rPr>
        <w:t>,</w:t>
      </w:r>
      <w:r w:rsidRPr="00021E64">
        <w:rPr>
          <w:color w:val="000000" w:themeColor="text1"/>
          <w:sz w:val="24"/>
          <w:szCs w:val="24"/>
        </w:rPr>
        <w:t xml:space="preserve"> 2021. Do renewable energy communities deliver energy justice? Exploring insights from 71 European cases. </w:t>
      </w:r>
      <w:r w:rsidRPr="00021E64">
        <w:rPr>
          <w:i/>
          <w:color w:val="000000" w:themeColor="text1"/>
          <w:sz w:val="24"/>
          <w:szCs w:val="24"/>
        </w:rPr>
        <w:t>Energy Research &amp; Social Science</w:t>
      </w:r>
      <w:r w:rsidRPr="00021E64">
        <w:rPr>
          <w:color w:val="000000" w:themeColor="text1"/>
          <w:sz w:val="24"/>
          <w:szCs w:val="24"/>
        </w:rPr>
        <w:t>, 80, p.102244. doi:https://doi.org/10.1016/j.erss.2021.102244.</w:t>
      </w:r>
    </w:p>
    <w:p w14:paraId="4D2284D8"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lastRenderedPageBreak/>
        <w:t>Hansen, K.</w:t>
      </w:r>
      <w:r>
        <w:rPr>
          <w:color w:val="000000" w:themeColor="text1"/>
          <w:sz w:val="24"/>
          <w:szCs w:val="24"/>
        </w:rPr>
        <w:t>,</w:t>
      </w:r>
      <w:r w:rsidRPr="00021E64">
        <w:rPr>
          <w:color w:val="000000" w:themeColor="text1"/>
          <w:sz w:val="24"/>
          <w:szCs w:val="24"/>
        </w:rPr>
        <w:t xml:space="preserve"> 2019. Decision-making based on energy costs: Comparing levelized cost of energy and energy system costs. </w:t>
      </w:r>
      <w:r w:rsidRPr="00021E64">
        <w:rPr>
          <w:i/>
          <w:color w:val="000000" w:themeColor="text1"/>
          <w:sz w:val="24"/>
          <w:szCs w:val="24"/>
        </w:rPr>
        <w:t>Energy Strategy Reviews</w:t>
      </w:r>
      <w:r w:rsidRPr="00021E64">
        <w:rPr>
          <w:color w:val="000000" w:themeColor="text1"/>
          <w:sz w:val="24"/>
          <w:szCs w:val="24"/>
        </w:rPr>
        <w:t>, 24, pp.68–82. doi:https://doi.org/10.1016/j.esr.2019.02.003.</w:t>
      </w:r>
    </w:p>
    <w:p w14:paraId="404F2650"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IRENA</w:t>
      </w:r>
      <w:r>
        <w:rPr>
          <w:color w:val="000000" w:themeColor="text1"/>
          <w:sz w:val="24"/>
          <w:szCs w:val="24"/>
        </w:rPr>
        <w:t>,</w:t>
      </w:r>
      <w:r w:rsidRPr="00021E64">
        <w:rPr>
          <w:color w:val="000000" w:themeColor="text1"/>
          <w:sz w:val="24"/>
          <w:szCs w:val="24"/>
        </w:rPr>
        <w:t xml:space="preserve"> 2018. </w:t>
      </w:r>
      <w:r w:rsidRPr="00021E64">
        <w:rPr>
          <w:i/>
          <w:color w:val="000000" w:themeColor="text1"/>
          <w:sz w:val="24"/>
          <w:szCs w:val="24"/>
        </w:rPr>
        <w:t>Renewable Energy Renewable Energy Policies in a Time of Transition</w:t>
      </w:r>
      <w:r w:rsidRPr="00021E64">
        <w:rPr>
          <w:color w:val="000000" w:themeColor="text1"/>
          <w:sz w:val="24"/>
          <w:szCs w:val="24"/>
        </w:rPr>
        <w:t xml:space="preserve">. [online] Available at: </w:t>
      </w:r>
      <w:hyperlink r:id="rId11">
        <w:r w:rsidRPr="00021E64">
          <w:rPr>
            <w:color w:val="000000" w:themeColor="text1"/>
            <w:sz w:val="24"/>
            <w:szCs w:val="24"/>
            <w:u w:val="single"/>
          </w:rPr>
          <w:t>https://www.irena.org/-/media/Files/IRENA/Agency/Publication/2018/Apr/IRENA_IEA_REN21_Policies_2018.pdf</w:t>
        </w:r>
      </w:hyperlink>
      <w:r w:rsidRPr="00021E64">
        <w:rPr>
          <w:color w:val="000000" w:themeColor="text1"/>
          <w:sz w:val="24"/>
          <w:szCs w:val="24"/>
        </w:rPr>
        <w:t>.</w:t>
      </w:r>
    </w:p>
    <w:p w14:paraId="377DAEB8" w14:textId="77777777" w:rsidR="002F674D" w:rsidRPr="00021E64" w:rsidRDefault="002F674D" w:rsidP="002F674D">
      <w:pPr>
        <w:pStyle w:val="Normal1"/>
        <w:numPr>
          <w:ilvl w:val="0"/>
          <w:numId w:val="1"/>
        </w:numPr>
        <w:spacing w:before="240" w:after="240" w:line="360" w:lineRule="auto"/>
        <w:jc w:val="both"/>
        <w:rPr>
          <w:color w:val="000000" w:themeColor="text1"/>
          <w:sz w:val="24"/>
          <w:szCs w:val="24"/>
        </w:rPr>
      </w:pPr>
      <w:r w:rsidRPr="00021E64">
        <w:rPr>
          <w:color w:val="000000" w:themeColor="text1"/>
          <w:sz w:val="24"/>
          <w:szCs w:val="24"/>
        </w:rPr>
        <w:t>Legrand, W.</w:t>
      </w:r>
      <w:r>
        <w:rPr>
          <w:color w:val="000000" w:themeColor="text1"/>
          <w:sz w:val="24"/>
          <w:szCs w:val="24"/>
        </w:rPr>
        <w:t>,</w:t>
      </w:r>
      <w:r w:rsidRPr="00021E64">
        <w:rPr>
          <w:color w:val="000000" w:themeColor="text1"/>
          <w:sz w:val="24"/>
          <w:szCs w:val="24"/>
        </w:rPr>
        <w:t xml:space="preserve"> 2023. Sustainability in the hospitality industry : principles of sustainable operations (J. S. Chen &amp;amp; G. C. M. Laeis, Eds.; Fourth edition.). Routledge.</w:t>
      </w:r>
    </w:p>
    <w:p w14:paraId="6BA492A5"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Marr, B.</w:t>
      </w:r>
      <w:r>
        <w:rPr>
          <w:color w:val="000000" w:themeColor="text1"/>
          <w:sz w:val="24"/>
          <w:szCs w:val="24"/>
        </w:rPr>
        <w:t>,</w:t>
      </w:r>
      <w:r w:rsidRPr="00021E64">
        <w:rPr>
          <w:color w:val="000000" w:themeColor="text1"/>
          <w:sz w:val="24"/>
          <w:szCs w:val="24"/>
        </w:rPr>
        <w:t xml:space="preserve"> 2022. </w:t>
      </w:r>
      <w:r w:rsidRPr="00021E64">
        <w:rPr>
          <w:i/>
          <w:color w:val="000000" w:themeColor="text1"/>
          <w:sz w:val="24"/>
          <w:szCs w:val="24"/>
        </w:rPr>
        <w:t>The 3 Biggest Future Trends (And Challenges) In The Energy Sector</w:t>
      </w:r>
      <w:r w:rsidRPr="00021E64">
        <w:rPr>
          <w:color w:val="000000" w:themeColor="text1"/>
          <w:sz w:val="24"/>
          <w:szCs w:val="24"/>
        </w:rPr>
        <w:t>. [online] Forbes. Available at: https://www.forbes.com/sites/bernardmarr/2022/02/11/the-3-biggest-future-trends-and-challenges-in-the-energy-sector/.</w:t>
      </w:r>
    </w:p>
    <w:p w14:paraId="239AC0ED"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Marriott</w:t>
      </w:r>
      <w:r>
        <w:rPr>
          <w:color w:val="000000" w:themeColor="text1"/>
          <w:sz w:val="24"/>
          <w:szCs w:val="24"/>
        </w:rPr>
        <w:t>,</w:t>
      </w:r>
      <w:r w:rsidRPr="00021E64">
        <w:rPr>
          <w:color w:val="000000" w:themeColor="text1"/>
          <w:sz w:val="24"/>
          <w:szCs w:val="24"/>
        </w:rPr>
        <w:t xml:space="preserve"> 2022. </w:t>
      </w:r>
      <w:r w:rsidRPr="00021E64">
        <w:rPr>
          <w:i/>
          <w:color w:val="000000" w:themeColor="text1"/>
          <w:sz w:val="24"/>
          <w:szCs w:val="24"/>
        </w:rPr>
        <w:t>Downtown Los Angeles Luxury Hotels | JW Marriott Los Angeles L.A. Live</w:t>
      </w:r>
      <w:r w:rsidRPr="00021E64">
        <w:rPr>
          <w:color w:val="000000" w:themeColor="text1"/>
          <w:sz w:val="24"/>
          <w:szCs w:val="24"/>
        </w:rPr>
        <w:t>. [online] www.marriott.com. Available at: https://www.marriott.com/en-us/hotels/laxjw-jw-marriott-los-angeles-la-live/overview/.</w:t>
      </w:r>
    </w:p>
    <w:p w14:paraId="02E7F6AE" w14:textId="77777777" w:rsidR="002F674D" w:rsidRPr="00021E64"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McPhail, J.</w:t>
      </w:r>
      <w:r>
        <w:rPr>
          <w:color w:val="000000" w:themeColor="text1"/>
          <w:sz w:val="24"/>
          <w:szCs w:val="24"/>
        </w:rPr>
        <w:t>,</w:t>
      </w:r>
      <w:r w:rsidRPr="00021E64">
        <w:rPr>
          <w:color w:val="000000" w:themeColor="text1"/>
          <w:sz w:val="24"/>
          <w:szCs w:val="24"/>
        </w:rPr>
        <w:t xml:space="preserve"> 2023. </w:t>
      </w:r>
      <w:r w:rsidRPr="00021E64">
        <w:rPr>
          <w:i/>
          <w:color w:val="000000" w:themeColor="text1"/>
          <w:sz w:val="24"/>
          <w:szCs w:val="24"/>
        </w:rPr>
        <w:t>Council Post: Hotel Energy Hacks: Improving Operations With Effective Technologies</w:t>
      </w:r>
      <w:r w:rsidRPr="00021E64">
        <w:rPr>
          <w:color w:val="000000" w:themeColor="text1"/>
          <w:sz w:val="24"/>
          <w:szCs w:val="24"/>
        </w:rPr>
        <w:t>. [online] Forbes. Available at: https://www.forbes.com/sites/forbestechcouncil/2018/07/12/hotel-energy-hacks-improving-operations-with-effective-technologies/.</w:t>
      </w:r>
    </w:p>
    <w:p w14:paraId="17EF15A1" w14:textId="56F350D4" w:rsidR="002F674D" w:rsidRDefault="002F674D" w:rsidP="002F674D">
      <w:pPr>
        <w:pStyle w:val="Normal1"/>
        <w:numPr>
          <w:ilvl w:val="0"/>
          <w:numId w:val="1"/>
        </w:numPr>
        <w:spacing w:after="240" w:line="360" w:lineRule="auto"/>
        <w:jc w:val="both"/>
        <w:rPr>
          <w:color w:val="000000" w:themeColor="text1"/>
          <w:sz w:val="24"/>
          <w:szCs w:val="24"/>
        </w:rPr>
      </w:pPr>
      <w:r w:rsidRPr="00021E64">
        <w:rPr>
          <w:color w:val="000000" w:themeColor="text1"/>
          <w:sz w:val="24"/>
          <w:szCs w:val="24"/>
        </w:rPr>
        <w:t>Razgaitis, R.</w:t>
      </w:r>
      <w:r>
        <w:rPr>
          <w:color w:val="000000" w:themeColor="text1"/>
          <w:sz w:val="24"/>
          <w:szCs w:val="24"/>
        </w:rPr>
        <w:t>,</w:t>
      </w:r>
      <w:r w:rsidRPr="00021E64">
        <w:rPr>
          <w:color w:val="000000" w:themeColor="text1"/>
          <w:sz w:val="24"/>
          <w:szCs w:val="24"/>
        </w:rPr>
        <w:t xml:space="preserve"> 2024. Council Post: Sustainability Drives Consumer Choice For Travelers. </w:t>
      </w:r>
      <w:r w:rsidRPr="00021E64">
        <w:rPr>
          <w:i/>
          <w:color w:val="000000" w:themeColor="text1"/>
          <w:sz w:val="24"/>
          <w:szCs w:val="24"/>
        </w:rPr>
        <w:t>Forbes</w:t>
      </w:r>
      <w:r w:rsidRPr="00021E64">
        <w:rPr>
          <w:color w:val="000000" w:themeColor="text1"/>
          <w:sz w:val="24"/>
          <w:szCs w:val="24"/>
        </w:rPr>
        <w:t xml:space="preserve">. [online] 12 Aug. Available at: </w:t>
      </w:r>
      <w:hyperlink r:id="rId12" w:history="1">
        <w:r w:rsidRPr="00685C75">
          <w:rPr>
            <w:rStyle w:val="Hyperlink"/>
            <w:sz w:val="24"/>
            <w:szCs w:val="24"/>
          </w:rPr>
          <w:t>https://www.forbes.com/councils/forbesbusinesscouncil/2023/08/18/sustainability-drives-consumer-choice-for-travelers/</w:t>
        </w:r>
      </w:hyperlink>
      <w:r w:rsidR="00EF6D68">
        <w:rPr>
          <w:color w:val="000000" w:themeColor="text1"/>
          <w:sz w:val="24"/>
          <w:szCs w:val="24"/>
        </w:rPr>
        <w:t xml:space="preserve">. </w:t>
      </w:r>
    </w:p>
    <w:p w14:paraId="4A1D7F9B" w14:textId="77777777" w:rsidR="002F674D" w:rsidRDefault="002F674D" w:rsidP="002F674D">
      <w:pPr>
        <w:pStyle w:val="Normal1"/>
        <w:numPr>
          <w:ilvl w:val="0"/>
          <w:numId w:val="1"/>
        </w:numPr>
        <w:spacing w:after="240" w:line="360" w:lineRule="auto"/>
        <w:jc w:val="both"/>
        <w:rPr>
          <w:color w:val="000000" w:themeColor="text1"/>
          <w:sz w:val="24"/>
          <w:szCs w:val="24"/>
        </w:rPr>
      </w:pPr>
      <w:r w:rsidRPr="000C548D">
        <w:rPr>
          <w:color w:val="000000" w:themeColor="text1"/>
          <w:sz w:val="24"/>
          <w:szCs w:val="24"/>
        </w:rPr>
        <w:lastRenderedPageBreak/>
        <w:t xml:space="preserve">Soeiro, S., </w:t>
      </w:r>
      <w:r>
        <w:rPr>
          <w:color w:val="000000" w:themeColor="text1"/>
          <w:sz w:val="24"/>
          <w:szCs w:val="24"/>
        </w:rPr>
        <w:t>and</w:t>
      </w:r>
      <w:r w:rsidRPr="000C548D">
        <w:rPr>
          <w:color w:val="000000" w:themeColor="text1"/>
          <w:sz w:val="24"/>
          <w:szCs w:val="24"/>
        </w:rPr>
        <w:t xml:space="preserve"> Dias, M., 2020. Renewable energy community and the European energy market: main motivations. </w:t>
      </w:r>
      <w:r w:rsidRPr="000C548D">
        <w:rPr>
          <w:i/>
          <w:iCs/>
          <w:color w:val="000000" w:themeColor="text1"/>
          <w:sz w:val="24"/>
          <w:szCs w:val="24"/>
        </w:rPr>
        <w:t>Heliyon</w:t>
      </w:r>
      <w:r w:rsidRPr="000C548D">
        <w:rPr>
          <w:color w:val="000000" w:themeColor="text1"/>
          <w:sz w:val="24"/>
          <w:szCs w:val="24"/>
        </w:rPr>
        <w:t xml:space="preserve">, 6. </w:t>
      </w:r>
      <w:hyperlink r:id="rId13" w:history="1">
        <w:r w:rsidRPr="00AF66F1">
          <w:rPr>
            <w:rStyle w:val="Hyperlink"/>
            <w:sz w:val="24"/>
            <w:szCs w:val="24"/>
          </w:rPr>
          <w:t>https://doi.org/10.1016/j.heliyon.2020.e04511</w:t>
        </w:r>
      </w:hyperlink>
      <w:r w:rsidRPr="000C548D">
        <w:rPr>
          <w:color w:val="000000" w:themeColor="text1"/>
          <w:sz w:val="24"/>
          <w:szCs w:val="24"/>
        </w:rPr>
        <w:t>.</w:t>
      </w:r>
      <w:r>
        <w:rPr>
          <w:color w:val="000000" w:themeColor="text1"/>
          <w:sz w:val="24"/>
          <w:szCs w:val="24"/>
        </w:rPr>
        <w:t xml:space="preserve"> </w:t>
      </w:r>
    </w:p>
    <w:p w14:paraId="68B53E0A" w14:textId="77777777" w:rsidR="002F674D" w:rsidRDefault="002F674D" w:rsidP="002F674D">
      <w:pPr>
        <w:pStyle w:val="Normal1"/>
        <w:numPr>
          <w:ilvl w:val="0"/>
          <w:numId w:val="1"/>
        </w:numPr>
        <w:spacing w:after="240" w:line="360" w:lineRule="auto"/>
        <w:jc w:val="both"/>
        <w:rPr>
          <w:color w:val="000000" w:themeColor="text1"/>
          <w:sz w:val="24"/>
          <w:szCs w:val="24"/>
        </w:rPr>
      </w:pPr>
      <w:r>
        <w:rPr>
          <w:color w:val="000000" w:themeColor="text1"/>
          <w:sz w:val="24"/>
          <w:szCs w:val="24"/>
        </w:rPr>
        <w:t xml:space="preserve">Putzer, P., 2019. QQ Amsterdam | Amsterdam (Netherlands). Additive. </w:t>
      </w:r>
      <w:hyperlink r:id="rId14" w:anchor="en-innovative-concept-1" w:history="1">
        <w:r w:rsidRPr="00AF66F1">
          <w:rPr>
            <w:rStyle w:val="Hyperlink"/>
            <w:sz w:val="24"/>
            <w:szCs w:val="24"/>
          </w:rPr>
          <w:t>https://www.additive.eu/en/articles/qo-amsterdam-amsterdam-netherlands.html#en-innovative-concept-1</w:t>
        </w:r>
      </w:hyperlink>
      <w:r>
        <w:rPr>
          <w:color w:val="000000" w:themeColor="text1"/>
          <w:sz w:val="24"/>
          <w:szCs w:val="24"/>
        </w:rPr>
        <w:t xml:space="preserve"> </w:t>
      </w:r>
    </w:p>
    <w:p w14:paraId="0C19F295" w14:textId="77777777" w:rsidR="002F674D" w:rsidRDefault="002F674D" w:rsidP="002F674D">
      <w:pPr>
        <w:pStyle w:val="Normal1"/>
        <w:numPr>
          <w:ilvl w:val="0"/>
          <w:numId w:val="1"/>
        </w:numPr>
        <w:spacing w:after="240" w:line="360" w:lineRule="auto"/>
        <w:jc w:val="both"/>
        <w:rPr>
          <w:color w:val="000000" w:themeColor="text1"/>
          <w:sz w:val="24"/>
          <w:szCs w:val="24"/>
        </w:rPr>
      </w:pPr>
      <w:r w:rsidRPr="000C548D">
        <w:rPr>
          <w:color w:val="000000" w:themeColor="text1"/>
          <w:sz w:val="24"/>
          <w:szCs w:val="24"/>
        </w:rPr>
        <w:t xml:space="preserve">Malliotakis, G., Nikolaidis, T., </w:t>
      </w:r>
      <w:r>
        <w:rPr>
          <w:color w:val="000000" w:themeColor="text1"/>
          <w:sz w:val="24"/>
          <w:szCs w:val="24"/>
        </w:rPr>
        <w:t>and</w:t>
      </w:r>
      <w:r w:rsidRPr="000C548D">
        <w:rPr>
          <w:color w:val="000000" w:themeColor="text1"/>
          <w:sz w:val="24"/>
          <w:szCs w:val="24"/>
        </w:rPr>
        <w:t xml:space="preserve"> Baniotopoulos, C., 2020. Small wind turbines: Sustainability criteria related to the local built environment. </w:t>
      </w:r>
      <w:r w:rsidRPr="000C548D">
        <w:rPr>
          <w:i/>
          <w:iCs/>
          <w:color w:val="000000" w:themeColor="text1"/>
          <w:sz w:val="24"/>
          <w:szCs w:val="24"/>
        </w:rPr>
        <w:t>IOP Conference Series: Earth and Environmental Science</w:t>
      </w:r>
      <w:r w:rsidRPr="000C548D">
        <w:rPr>
          <w:color w:val="000000" w:themeColor="text1"/>
          <w:sz w:val="24"/>
          <w:szCs w:val="24"/>
        </w:rPr>
        <w:t xml:space="preserve">, 410. </w:t>
      </w:r>
      <w:hyperlink r:id="rId15" w:history="1">
        <w:r w:rsidRPr="00AF66F1">
          <w:rPr>
            <w:rStyle w:val="Hyperlink"/>
            <w:sz w:val="24"/>
            <w:szCs w:val="24"/>
          </w:rPr>
          <w:t>https://doi.org/10.1088/1755-1315/410/1/012046</w:t>
        </w:r>
      </w:hyperlink>
      <w:r w:rsidRPr="000C548D">
        <w:rPr>
          <w:color w:val="000000" w:themeColor="text1"/>
          <w:sz w:val="24"/>
          <w:szCs w:val="24"/>
        </w:rPr>
        <w:t>.</w:t>
      </w:r>
      <w:r>
        <w:rPr>
          <w:color w:val="000000" w:themeColor="text1"/>
          <w:sz w:val="24"/>
          <w:szCs w:val="24"/>
        </w:rPr>
        <w:t xml:space="preserve"> </w:t>
      </w:r>
    </w:p>
    <w:p w14:paraId="5A7BF5A6" w14:textId="77777777" w:rsidR="002F674D" w:rsidRDefault="002F674D" w:rsidP="002F674D">
      <w:pPr>
        <w:pStyle w:val="Normal1"/>
        <w:numPr>
          <w:ilvl w:val="0"/>
          <w:numId w:val="1"/>
        </w:numPr>
        <w:spacing w:after="240" w:line="360" w:lineRule="auto"/>
        <w:jc w:val="both"/>
        <w:rPr>
          <w:color w:val="000000" w:themeColor="text1"/>
          <w:sz w:val="24"/>
          <w:szCs w:val="24"/>
        </w:rPr>
      </w:pPr>
      <w:r w:rsidRPr="000C424D">
        <w:rPr>
          <w:color w:val="000000" w:themeColor="text1"/>
          <w:sz w:val="24"/>
          <w:szCs w:val="24"/>
        </w:rPr>
        <w:t xml:space="preserve">Dhirasasna, K., 2021. A study of renewable energy technology adoption dynamics in the hotel sector. . </w:t>
      </w:r>
      <w:hyperlink r:id="rId16" w:history="1">
        <w:r w:rsidRPr="00AF66F1">
          <w:rPr>
            <w:rStyle w:val="Hyperlink"/>
            <w:sz w:val="24"/>
            <w:szCs w:val="24"/>
          </w:rPr>
          <w:t>https://doi.org/10.25904/1912/4064</w:t>
        </w:r>
      </w:hyperlink>
      <w:r w:rsidRPr="000C424D">
        <w:rPr>
          <w:color w:val="000000" w:themeColor="text1"/>
          <w:sz w:val="24"/>
          <w:szCs w:val="24"/>
        </w:rPr>
        <w:t>.</w:t>
      </w:r>
      <w:r>
        <w:rPr>
          <w:color w:val="000000" w:themeColor="text1"/>
          <w:sz w:val="24"/>
          <w:szCs w:val="24"/>
        </w:rPr>
        <w:t xml:space="preserve"> </w:t>
      </w:r>
    </w:p>
    <w:p w14:paraId="608BD1FF" w14:textId="77777777" w:rsidR="002F674D" w:rsidRDefault="002F674D" w:rsidP="002F674D">
      <w:pPr>
        <w:pStyle w:val="Normal1"/>
        <w:numPr>
          <w:ilvl w:val="0"/>
          <w:numId w:val="1"/>
        </w:numPr>
        <w:spacing w:after="240" w:line="360" w:lineRule="auto"/>
        <w:jc w:val="both"/>
        <w:rPr>
          <w:color w:val="000000" w:themeColor="text1"/>
          <w:sz w:val="24"/>
          <w:szCs w:val="24"/>
        </w:rPr>
      </w:pPr>
      <w:r w:rsidRPr="000C424D">
        <w:rPr>
          <w:color w:val="000000" w:themeColor="text1"/>
          <w:sz w:val="24"/>
          <w:szCs w:val="24"/>
        </w:rPr>
        <w:t xml:space="preserve">Mustikaningsih, D., Cahyandito, M., Kaltum, U., </w:t>
      </w:r>
      <w:r>
        <w:rPr>
          <w:color w:val="000000" w:themeColor="text1"/>
          <w:sz w:val="24"/>
          <w:szCs w:val="24"/>
        </w:rPr>
        <w:t>and</w:t>
      </w:r>
      <w:r w:rsidRPr="000C424D">
        <w:rPr>
          <w:color w:val="000000" w:themeColor="text1"/>
          <w:sz w:val="24"/>
          <w:szCs w:val="24"/>
        </w:rPr>
        <w:t xml:space="preserve"> Sarjana, S., 2019. BUILDING BUSINESS PERFORMANCE THROUGH PARTNERSHIP STRATEGY MODEL: EVIDENCE FROM RENEWABLE ENERGY INDUSTRY IN INDONESIA. </w:t>
      </w:r>
      <w:r w:rsidRPr="000C424D">
        <w:rPr>
          <w:i/>
          <w:iCs/>
          <w:color w:val="000000" w:themeColor="text1"/>
          <w:sz w:val="24"/>
          <w:szCs w:val="24"/>
        </w:rPr>
        <w:t>International Journal of Energy Economics and Policy</w:t>
      </w:r>
      <w:r w:rsidRPr="000C424D">
        <w:rPr>
          <w:color w:val="000000" w:themeColor="text1"/>
          <w:sz w:val="24"/>
          <w:szCs w:val="24"/>
        </w:rPr>
        <w:t xml:space="preserve">. </w:t>
      </w:r>
      <w:hyperlink r:id="rId17" w:history="1">
        <w:r w:rsidRPr="00AF66F1">
          <w:rPr>
            <w:rStyle w:val="Hyperlink"/>
            <w:sz w:val="24"/>
            <w:szCs w:val="24"/>
          </w:rPr>
          <w:t>https://doi.org/10.32479/IJEEP.7780</w:t>
        </w:r>
      </w:hyperlink>
      <w:r w:rsidRPr="000C424D">
        <w:rPr>
          <w:color w:val="000000" w:themeColor="text1"/>
          <w:sz w:val="24"/>
          <w:szCs w:val="24"/>
        </w:rPr>
        <w:t>.</w:t>
      </w:r>
      <w:r>
        <w:rPr>
          <w:color w:val="000000" w:themeColor="text1"/>
          <w:sz w:val="24"/>
          <w:szCs w:val="24"/>
        </w:rPr>
        <w:t xml:space="preserve"> </w:t>
      </w:r>
    </w:p>
    <w:p w14:paraId="6FDDB965" w14:textId="787CB634" w:rsidR="00021E64" w:rsidRPr="00E64A32" w:rsidRDefault="002F674D" w:rsidP="00E64A32">
      <w:pPr>
        <w:pStyle w:val="Normal1"/>
        <w:numPr>
          <w:ilvl w:val="0"/>
          <w:numId w:val="1"/>
        </w:numPr>
        <w:spacing w:after="240" w:line="360" w:lineRule="auto"/>
        <w:jc w:val="both"/>
        <w:rPr>
          <w:color w:val="000000" w:themeColor="text1"/>
          <w:sz w:val="24"/>
          <w:szCs w:val="24"/>
        </w:rPr>
      </w:pPr>
      <w:r w:rsidRPr="003B73DA">
        <w:rPr>
          <w:color w:val="000000" w:themeColor="text1"/>
          <w:sz w:val="24"/>
          <w:szCs w:val="24"/>
        </w:rPr>
        <w:t>Luo, J., Joybari, M.M., Ma, Y., Liu, J. and Lai, K.H., 2024. Assessment of renewable power generation applied in homestay hotels: Energy and cost-benefit considering dynamic occupancy rates and reservation prices. </w:t>
      </w:r>
      <w:r w:rsidRPr="003B73DA">
        <w:rPr>
          <w:i/>
          <w:iCs/>
          <w:color w:val="000000" w:themeColor="text1"/>
          <w:sz w:val="24"/>
          <w:szCs w:val="24"/>
        </w:rPr>
        <w:t>Journal of Building Engineering</w:t>
      </w:r>
      <w:r w:rsidRPr="003B73DA">
        <w:rPr>
          <w:color w:val="000000" w:themeColor="text1"/>
          <w:sz w:val="24"/>
          <w:szCs w:val="24"/>
        </w:rPr>
        <w:t>, </w:t>
      </w:r>
      <w:r w:rsidRPr="003B73DA">
        <w:rPr>
          <w:i/>
          <w:iCs/>
          <w:color w:val="000000" w:themeColor="text1"/>
          <w:sz w:val="24"/>
          <w:szCs w:val="24"/>
        </w:rPr>
        <w:t>87</w:t>
      </w:r>
      <w:r w:rsidRPr="003B73DA">
        <w:rPr>
          <w:color w:val="000000" w:themeColor="text1"/>
          <w:sz w:val="24"/>
          <w:szCs w:val="24"/>
        </w:rPr>
        <w:t>, p.109074.</w:t>
      </w:r>
      <w:r>
        <w:rPr>
          <w:color w:val="000000" w:themeColor="text1"/>
          <w:sz w:val="24"/>
          <w:szCs w:val="24"/>
        </w:rPr>
        <w:t xml:space="preserve"> </w:t>
      </w:r>
      <w:hyperlink r:id="rId18" w:history="1">
        <w:r w:rsidRPr="00AF66F1">
          <w:rPr>
            <w:rStyle w:val="Hyperlink"/>
            <w:sz w:val="24"/>
            <w:szCs w:val="24"/>
          </w:rPr>
          <w:t>https://doi.org/10.1016/j.jobe.2024.109074</w:t>
        </w:r>
      </w:hyperlink>
    </w:p>
    <w:sectPr w:rsidR="00021E64" w:rsidRPr="00E64A32" w:rsidSect="009E29E3">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5704CF" w14:textId="77777777" w:rsidR="00660AA3" w:rsidRDefault="00660AA3" w:rsidP="00207213">
      <w:pPr>
        <w:spacing w:line="240" w:lineRule="auto"/>
      </w:pPr>
      <w:r>
        <w:separator/>
      </w:r>
    </w:p>
  </w:endnote>
  <w:endnote w:type="continuationSeparator" w:id="0">
    <w:p w14:paraId="6EA6D799" w14:textId="77777777" w:rsidR="00660AA3" w:rsidRDefault="00660AA3" w:rsidP="002072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1965388793"/>
      <w:docPartObj>
        <w:docPartGallery w:val="Page Numbers (Bottom of Page)"/>
        <w:docPartUnique/>
      </w:docPartObj>
    </w:sdtPr>
    <w:sdtEndPr>
      <w:rPr>
        <w:noProof/>
      </w:rPr>
    </w:sdtEndPr>
    <w:sdtContent>
      <w:p w14:paraId="6D78968D" w14:textId="77777777" w:rsidR="00207213" w:rsidRPr="00207213" w:rsidRDefault="00207213">
        <w:pPr>
          <w:pStyle w:val="Footer"/>
          <w:jc w:val="right"/>
          <w:rPr>
            <w:sz w:val="20"/>
            <w:szCs w:val="20"/>
          </w:rPr>
        </w:pPr>
        <w:r w:rsidRPr="00207213">
          <w:rPr>
            <w:sz w:val="20"/>
            <w:szCs w:val="20"/>
          </w:rPr>
          <w:fldChar w:fldCharType="begin"/>
        </w:r>
        <w:r w:rsidRPr="00207213">
          <w:rPr>
            <w:sz w:val="20"/>
            <w:szCs w:val="20"/>
          </w:rPr>
          <w:instrText xml:space="preserve"> PAGE   \* MERGEFORMAT </w:instrText>
        </w:r>
        <w:r w:rsidRPr="00207213">
          <w:rPr>
            <w:sz w:val="20"/>
            <w:szCs w:val="20"/>
          </w:rPr>
          <w:fldChar w:fldCharType="separate"/>
        </w:r>
        <w:r w:rsidRPr="00207213">
          <w:rPr>
            <w:noProof/>
            <w:sz w:val="20"/>
            <w:szCs w:val="20"/>
          </w:rPr>
          <w:t>2</w:t>
        </w:r>
        <w:r w:rsidRPr="00207213">
          <w:rPr>
            <w:noProof/>
            <w:sz w:val="20"/>
            <w:szCs w:val="20"/>
          </w:rPr>
          <w:fldChar w:fldCharType="end"/>
        </w:r>
      </w:p>
    </w:sdtContent>
  </w:sdt>
  <w:p w14:paraId="46348799" w14:textId="77777777" w:rsidR="00207213" w:rsidRPr="00207213" w:rsidRDefault="00207213">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DAD8D2" w14:textId="77777777" w:rsidR="00660AA3" w:rsidRDefault="00660AA3" w:rsidP="00207213">
      <w:pPr>
        <w:spacing w:line="240" w:lineRule="auto"/>
      </w:pPr>
      <w:r>
        <w:separator/>
      </w:r>
    </w:p>
  </w:footnote>
  <w:footnote w:type="continuationSeparator" w:id="0">
    <w:p w14:paraId="21ABF0C9" w14:textId="77777777" w:rsidR="00660AA3" w:rsidRDefault="00660AA3" w:rsidP="002072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F26BCB"/>
    <w:multiLevelType w:val="hybridMultilevel"/>
    <w:tmpl w:val="4AFC1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206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DA6"/>
    <w:rsid w:val="00021E64"/>
    <w:rsid w:val="00034413"/>
    <w:rsid w:val="00075A2A"/>
    <w:rsid w:val="000C3AFB"/>
    <w:rsid w:val="00207213"/>
    <w:rsid w:val="00250DA6"/>
    <w:rsid w:val="002D4235"/>
    <w:rsid w:val="002F674D"/>
    <w:rsid w:val="00337CF8"/>
    <w:rsid w:val="004017F8"/>
    <w:rsid w:val="004170DF"/>
    <w:rsid w:val="0042288D"/>
    <w:rsid w:val="005958F4"/>
    <w:rsid w:val="00660AA3"/>
    <w:rsid w:val="006E50BA"/>
    <w:rsid w:val="0080121B"/>
    <w:rsid w:val="00881AEE"/>
    <w:rsid w:val="009B6D73"/>
    <w:rsid w:val="009E29E3"/>
    <w:rsid w:val="00A43A4D"/>
    <w:rsid w:val="00A56399"/>
    <w:rsid w:val="00A86811"/>
    <w:rsid w:val="00A92675"/>
    <w:rsid w:val="00AA1F76"/>
    <w:rsid w:val="00AA550F"/>
    <w:rsid w:val="00B0298D"/>
    <w:rsid w:val="00BA4B05"/>
    <w:rsid w:val="00BE0CF6"/>
    <w:rsid w:val="00BE5C5D"/>
    <w:rsid w:val="00C021ED"/>
    <w:rsid w:val="00C50175"/>
    <w:rsid w:val="00C73F4A"/>
    <w:rsid w:val="00CC19B1"/>
    <w:rsid w:val="00D73759"/>
    <w:rsid w:val="00D75CBF"/>
    <w:rsid w:val="00DC0595"/>
    <w:rsid w:val="00DE61D1"/>
    <w:rsid w:val="00E04465"/>
    <w:rsid w:val="00E4371E"/>
    <w:rsid w:val="00E64A32"/>
    <w:rsid w:val="00E94368"/>
    <w:rsid w:val="00EE607A"/>
    <w:rsid w:val="00EF2D57"/>
    <w:rsid w:val="00EF6D68"/>
    <w:rsid w:val="00F613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660E5"/>
  <w15:docId w15:val="{DF2E2AC4-BA5F-4E08-8E75-BE072C3AE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207213"/>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autoRedefine/>
    <w:rsid w:val="00207213"/>
    <w:pPr>
      <w:keepNext/>
      <w:keepLines/>
      <w:spacing w:before="360" w:after="120" w:line="360" w:lineRule="auto"/>
      <w:jc w:val="both"/>
      <w:outlineLvl w:val="1"/>
    </w:pPr>
    <w:rPr>
      <w:b/>
      <w:color w:val="000000" w:themeColor="text1"/>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207213"/>
    <w:pPr>
      <w:tabs>
        <w:tab w:val="center" w:pos="4513"/>
        <w:tab w:val="right" w:pos="9026"/>
      </w:tabs>
      <w:spacing w:line="240" w:lineRule="auto"/>
    </w:pPr>
  </w:style>
  <w:style w:type="character" w:customStyle="1" w:styleId="HeaderChar">
    <w:name w:val="Header Char"/>
    <w:basedOn w:val="DefaultParagraphFont"/>
    <w:link w:val="Header"/>
    <w:uiPriority w:val="99"/>
    <w:rsid w:val="00207213"/>
  </w:style>
  <w:style w:type="paragraph" w:styleId="Footer">
    <w:name w:val="footer"/>
    <w:basedOn w:val="Normal"/>
    <w:link w:val="FooterChar"/>
    <w:uiPriority w:val="99"/>
    <w:unhideWhenUsed/>
    <w:rsid w:val="00207213"/>
    <w:pPr>
      <w:tabs>
        <w:tab w:val="center" w:pos="4513"/>
        <w:tab w:val="right" w:pos="9026"/>
      </w:tabs>
      <w:spacing w:line="240" w:lineRule="auto"/>
    </w:pPr>
  </w:style>
  <w:style w:type="character" w:customStyle="1" w:styleId="FooterChar">
    <w:name w:val="Footer Char"/>
    <w:basedOn w:val="DefaultParagraphFont"/>
    <w:link w:val="Footer"/>
    <w:uiPriority w:val="99"/>
    <w:rsid w:val="00207213"/>
  </w:style>
  <w:style w:type="paragraph" w:styleId="TOCHeading">
    <w:name w:val="TOC Heading"/>
    <w:basedOn w:val="Heading1"/>
    <w:next w:val="Normal"/>
    <w:uiPriority w:val="39"/>
    <w:unhideWhenUsed/>
    <w:qFormat/>
    <w:rsid w:val="009E29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E29E3"/>
    <w:pPr>
      <w:spacing w:after="100"/>
    </w:pPr>
  </w:style>
  <w:style w:type="paragraph" w:styleId="TOC2">
    <w:name w:val="toc 2"/>
    <w:basedOn w:val="Normal"/>
    <w:next w:val="Normal"/>
    <w:autoRedefine/>
    <w:uiPriority w:val="39"/>
    <w:unhideWhenUsed/>
    <w:rsid w:val="009E29E3"/>
    <w:pPr>
      <w:spacing w:after="100"/>
      <w:ind w:left="220"/>
    </w:pPr>
  </w:style>
  <w:style w:type="character" w:styleId="Hyperlink">
    <w:name w:val="Hyperlink"/>
    <w:basedOn w:val="DefaultParagraphFont"/>
    <w:uiPriority w:val="99"/>
    <w:unhideWhenUsed/>
    <w:rsid w:val="009E29E3"/>
    <w:rPr>
      <w:color w:val="0000FF" w:themeColor="hyperlink"/>
      <w:u w:val="single"/>
    </w:rPr>
  </w:style>
  <w:style w:type="character" w:styleId="UnresolvedMention">
    <w:name w:val="Unresolved Mention"/>
    <w:basedOn w:val="DefaultParagraphFont"/>
    <w:uiPriority w:val="99"/>
    <w:semiHidden/>
    <w:unhideWhenUsed/>
    <w:rsid w:val="009B6D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heliyon.2020.e04511" TargetMode="External"/><Relationship Id="rId18" Type="http://schemas.openxmlformats.org/officeDocument/2006/relationships/hyperlink" Target="https://doi.org/10.1016/j.jobe.2024.10907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forbes.com/councils/forbesbusinesscouncil/2023/08/18/sustainability-drives-consumer-choice-for-travelers/" TargetMode="External"/><Relationship Id="rId17" Type="http://schemas.openxmlformats.org/officeDocument/2006/relationships/hyperlink" Target="https://doi.org/10.32479/IJEEP.7780" TargetMode="External"/><Relationship Id="rId2" Type="http://schemas.openxmlformats.org/officeDocument/2006/relationships/numbering" Target="numbering.xml"/><Relationship Id="rId16" Type="http://schemas.openxmlformats.org/officeDocument/2006/relationships/hyperlink" Target="https://doi.org/10.25904/1912/406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rena.org/-/media/Files/IRENA/Agency/Publication/2018/Apr/IRENA_IEA_REN21_Policies_2018.pdf" TargetMode="External"/><Relationship Id="rId5" Type="http://schemas.openxmlformats.org/officeDocument/2006/relationships/webSettings" Target="webSettings.xml"/><Relationship Id="rId15" Type="http://schemas.openxmlformats.org/officeDocument/2006/relationships/hyperlink" Target="https://doi.org/10.1088/1755-1315/410/1/012046"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dditive.eu/en/articles/qo-amsterdam-amsterdam-netherlan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DAAED-B312-4EFC-8BD1-EA42242A0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15</Pages>
  <Words>3334</Words>
  <Characters>19005</Characters>
  <Application>Microsoft Office Word</Application>
  <DocSecurity>0</DocSecurity>
  <Lines>158</Lines>
  <Paragraphs>44</Paragraphs>
  <ScaleCrop>false</ScaleCrop>
  <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Oleg Goncear</cp:lastModifiedBy>
  <cp:revision>41</cp:revision>
  <dcterms:created xsi:type="dcterms:W3CDTF">2024-11-09T08:13:00Z</dcterms:created>
  <dcterms:modified xsi:type="dcterms:W3CDTF">2024-11-15T23:24:00Z</dcterms:modified>
</cp:coreProperties>
</file>