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imes New Roman" w:hAnsi="Times New Roman" w:cs="Times New Roman" w:eastAsiaTheme="minorEastAsia"/>
          <w:b/>
          <w:bCs/>
          <w:sz w:val="28"/>
          <w:szCs w:val="28"/>
          <w:lang w:eastAsia="zh-CN"/>
        </w:rPr>
      </w:pPr>
      <w:bookmarkStart w:id="0" w:name="_Toc31714"/>
      <w:bookmarkStart w:id="1" w:name="_Toc31258"/>
      <w:bookmarkStart w:id="2" w:name="_Toc9747"/>
      <w:bookmarkStart w:id="3" w:name="_Toc31585"/>
      <w:bookmarkStart w:id="4" w:name="_Toc10371"/>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eastAsiaTheme="minorEastAsia"/>
          <w:b/>
          <w:bCs/>
          <w:sz w:val="28"/>
          <w:szCs w:val="28"/>
          <w:lang w:eastAsia="zh-CN"/>
        </w:rPr>
        <w:drawing>
          <wp:inline distT="0" distB="0" distL="114300" distR="114300">
            <wp:extent cx="4417695" cy="4908550"/>
            <wp:effectExtent l="0" t="0" r="1905" b="6350"/>
            <wp:docPr id="4" name="图片 4" descr="afc6095bc06aabd6d114665d9a90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fc6095bc06aabd6d114665d9a9003c"/>
                    <pic:cNvPicPr>
                      <a:picLocks noChangeAspect="1"/>
                    </pic:cNvPicPr>
                  </pic:nvPicPr>
                  <pic:blipFill>
                    <a:blip r:embed="rId7"/>
                    <a:stretch>
                      <a:fillRect/>
                    </a:stretch>
                  </pic:blipFill>
                  <pic:spPr>
                    <a:xfrm>
                      <a:off x="0" y="0"/>
                      <a:ext cx="4417695" cy="4908550"/>
                    </a:xfrm>
                    <a:prstGeom prst="rect">
                      <a:avLst/>
                    </a:prstGeom>
                  </pic:spPr>
                </pic:pic>
              </a:graphicData>
            </a:graphic>
          </wp:inline>
        </w:drawing>
      </w:r>
    </w:p>
    <w:p>
      <w:pPr>
        <w:rPr>
          <w:rFonts w:hint="default" w:cs="Times New Roman" w:asciiTheme="minorAscii" w:hAnsiTheme="minorAscii" w:eastAsiaTheme="minorEastAsia"/>
          <w:b/>
          <w:bCs/>
          <w:color w:val="C55A11" w:themeColor="accent2" w:themeShade="BF"/>
          <w:sz w:val="28"/>
          <w:szCs w:val="28"/>
          <w:lang w:eastAsia="zh-CN"/>
        </w:rPr>
      </w:pPr>
    </w:p>
    <w:p>
      <w:pPr>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MODULE NAME:</w:t>
      </w:r>
      <w:r>
        <w:rPr>
          <w:rFonts w:hint="eastAsia" w:cs="Times New Roman" w:asciiTheme="minorAscii" w:hAnsiTheme="minorAscii"/>
          <w:b/>
          <w:bCs/>
          <w:color w:val="C55A11" w:themeColor="accent2" w:themeShade="BF"/>
          <w:sz w:val="28"/>
          <w:szCs w:val="28"/>
          <w:lang w:val="en-US" w:eastAsia="zh-CN"/>
        </w:rPr>
        <w:t xml:space="preserve"> MBA</w:t>
      </w:r>
      <w:r>
        <w:rPr>
          <w:rFonts w:hint="default" w:cs="Times New Roman" w:asciiTheme="minorAscii" w:hAnsiTheme="minorAscii" w:eastAsiaTheme="minorEastAsia"/>
          <w:b/>
          <w:bCs/>
          <w:color w:val="C55A11" w:themeColor="accent2" w:themeShade="BF"/>
          <w:sz w:val="28"/>
          <w:szCs w:val="28"/>
          <w:lang w:eastAsia="zh-CN"/>
        </w:rPr>
        <w:t xml:space="preserve"> </w:t>
      </w:r>
      <w:r>
        <w:rPr>
          <w:rFonts w:hint="eastAsia" w:cs="Times New Roman" w:asciiTheme="minorAscii" w:hAnsiTheme="minorAscii"/>
          <w:b/>
          <w:bCs/>
          <w:color w:val="C55A11" w:themeColor="accent2" w:themeShade="BF"/>
          <w:sz w:val="28"/>
          <w:szCs w:val="28"/>
          <w:lang w:val="en-US" w:eastAsia="zh-CN"/>
        </w:rPr>
        <w:t>Marketing</w:t>
      </w:r>
      <w:r>
        <w:rPr>
          <w:rFonts w:hint="default" w:cs="Times New Roman" w:asciiTheme="minorAscii" w:hAnsiTheme="minorAscii" w:eastAsiaTheme="minorEastAsia"/>
          <w:b/>
          <w:bCs/>
          <w:color w:val="C55A11" w:themeColor="accent2" w:themeShade="BF"/>
          <w:sz w:val="28"/>
          <w:szCs w:val="28"/>
          <w:lang w:eastAsia="zh-CN"/>
        </w:rPr>
        <w:t xml:space="preserve"> Management (BMMB701</w:t>
      </w:r>
      <w:r>
        <w:rPr>
          <w:rFonts w:hint="eastAsia" w:cs="Times New Roman" w:asciiTheme="minorAscii" w:hAnsiTheme="minorAscii"/>
          <w:b/>
          <w:bCs/>
          <w:color w:val="C55A11" w:themeColor="accent2" w:themeShade="BF"/>
          <w:sz w:val="28"/>
          <w:szCs w:val="28"/>
          <w:lang w:val="en-US" w:eastAsia="zh-CN"/>
        </w:rPr>
        <w:t>2</w:t>
      </w:r>
      <w:r>
        <w:rPr>
          <w:rFonts w:hint="default" w:cs="Times New Roman" w:asciiTheme="minorAscii" w:hAnsiTheme="minorAscii" w:eastAsiaTheme="minorEastAsia"/>
          <w:b/>
          <w:bCs/>
          <w:color w:val="C55A11" w:themeColor="accent2" w:themeShade="BF"/>
          <w:sz w:val="28"/>
          <w:szCs w:val="28"/>
          <w:lang w:eastAsia="zh-CN"/>
        </w:rPr>
        <w:t>)</w:t>
      </w:r>
    </w:p>
    <w:p>
      <w:pPr>
        <w:jc w:val="both"/>
        <w:rPr>
          <w:rFonts w:hint="default" w:cs="Times New Roman" w:asciiTheme="minorAscii" w:hAnsiTheme="minorAscii" w:eastAsiaTheme="minorEastAsia"/>
          <w:b/>
          <w:bCs/>
          <w:color w:val="C55A11" w:themeColor="accent2" w:themeShade="BF"/>
          <w:sz w:val="28"/>
          <w:szCs w:val="28"/>
          <w:lang w:eastAsia="zh-CN"/>
        </w:rPr>
      </w:pPr>
      <w:r>
        <w:rPr>
          <w:rFonts w:hint="eastAsia" w:ascii="Calibri" w:hAnsi="Calibri" w:cs="Calibri"/>
          <w:b/>
          <w:bCs/>
          <w:color w:val="C55A11" w:themeColor="accent2" w:themeShade="BF"/>
          <w:sz w:val="28"/>
          <w:szCs w:val="28"/>
          <w:lang w:val="en-US" w:eastAsia="zh-CN"/>
        </w:rPr>
        <w:t xml:space="preserve">Tesla </w:t>
      </w:r>
      <w:r>
        <w:rPr>
          <w:rFonts w:hint="default" w:ascii="Calibri" w:hAnsi="Calibri" w:cs="Calibri" w:eastAsiaTheme="minorEastAsia"/>
          <w:b/>
          <w:bCs/>
          <w:color w:val="C55A11" w:themeColor="accent2" w:themeShade="BF"/>
          <w:sz w:val="28"/>
          <w:szCs w:val="28"/>
          <w:lang w:eastAsia="zh-CN"/>
        </w:rPr>
        <w:t>marketing strategy analysis</w:t>
      </w:r>
    </w:p>
    <w:p>
      <w:pPr>
        <w:rPr>
          <w:rFonts w:hint="default" w:cs="Times New Roman" w:asciiTheme="minorAscii" w:hAnsiTheme="minorAscii" w:eastAsiaTheme="minorEastAsia"/>
          <w:b/>
          <w:bCs/>
          <w:color w:val="C55A11" w:themeColor="accent2" w:themeShade="BF"/>
          <w:sz w:val="28"/>
          <w:szCs w:val="28"/>
          <w:lang w:val="en-US" w:eastAsia="zh-CN"/>
        </w:rPr>
      </w:pPr>
      <w:r>
        <w:rPr>
          <w:rFonts w:hint="default" w:cs="Times New Roman" w:asciiTheme="minorAscii" w:hAnsiTheme="minorAscii" w:eastAsiaTheme="minorEastAsia"/>
          <w:b/>
          <w:bCs/>
          <w:color w:val="C55A11" w:themeColor="accent2" w:themeShade="BF"/>
          <w:sz w:val="28"/>
          <w:szCs w:val="28"/>
          <w:lang w:eastAsia="zh-CN"/>
        </w:rPr>
        <w:t xml:space="preserve">NAME: </w:t>
      </w:r>
      <w:r>
        <w:rPr>
          <w:rFonts w:hint="eastAsia" w:cs="Times New Roman" w:asciiTheme="minorAscii" w:hAnsiTheme="minorAscii"/>
          <w:b/>
          <w:bCs/>
          <w:color w:val="C55A11" w:themeColor="accent2" w:themeShade="BF"/>
          <w:sz w:val="28"/>
          <w:szCs w:val="28"/>
          <w:lang w:val="en-US" w:eastAsia="zh-CN"/>
        </w:rPr>
        <w:t>Yiren Zhou</w:t>
      </w:r>
    </w:p>
    <w:p>
      <w:pPr>
        <w:rPr>
          <w:rFonts w:hint="eastAsia" w:cs="Times New Roman" w:asciiTheme="minorAscii" w:hAnsiTheme="minorAscii"/>
          <w:b/>
          <w:bCs/>
          <w:color w:val="C55A11" w:themeColor="accent2" w:themeShade="BF"/>
          <w:sz w:val="28"/>
          <w:szCs w:val="28"/>
          <w:lang w:val="en-US" w:eastAsia="zh-CN"/>
        </w:rPr>
      </w:pPr>
      <w:r>
        <w:rPr>
          <w:rFonts w:hint="default" w:cs="Times New Roman" w:asciiTheme="minorAscii" w:hAnsiTheme="minorAscii" w:eastAsiaTheme="minorEastAsia"/>
          <w:b/>
          <w:bCs/>
          <w:color w:val="C55A11" w:themeColor="accent2" w:themeShade="BF"/>
          <w:sz w:val="28"/>
          <w:szCs w:val="28"/>
          <w:lang w:eastAsia="zh-CN"/>
        </w:rPr>
        <w:t>STUDENTNUMBER:22</w:t>
      </w:r>
      <w:r>
        <w:rPr>
          <w:rFonts w:hint="eastAsia" w:cs="Times New Roman" w:asciiTheme="minorAscii" w:hAnsiTheme="minorAscii"/>
          <w:b/>
          <w:bCs/>
          <w:color w:val="C55A11" w:themeColor="accent2" w:themeShade="BF"/>
          <w:sz w:val="28"/>
          <w:szCs w:val="28"/>
          <w:lang w:val="en-US" w:eastAsia="zh-CN"/>
        </w:rPr>
        <w:t>06235</w:t>
      </w:r>
    </w:p>
    <w:p>
      <w:pPr>
        <w:rPr>
          <w:rFonts w:hint="eastAsia" w:ascii="Times New Roman" w:hAnsi="Times New Roman" w:cs="Times New Roman"/>
          <w:b/>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pPr>
        <w:rPr>
          <w:rFonts w:hint="eastAsia" w:ascii="Times New Roman" w:hAnsi="Times New Roman" w:cs="Times New Roman"/>
          <w:b/>
          <w:bCs/>
          <w:sz w:val="28"/>
          <w:szCs w:val="28"/>
          <w:lang w:val="en-US" w:eastAsia="zh-CN"/>
        </w:rPr>
      </w:pPr>
    </w:p>
    <w:p>
      <w:pPr>
        <w:ind w:firstLine="2100" w:firstLineChars="1000"/>
        <w:rPr>
          <w:rFonts w:hint="default" w:ascii="Times New Roman" w:hAnsi="Times New Roman" w:cs="Times New Roman"/>
          <w:b/>
          <w:bCs/>
          <w:sz w:val="28"/>
          <w:szCs w:val="28"/>
        </w:rPr>
      </w:pPr>
      <w:r>
        <w:rPr>
          <w:rFonts w:hint="eastAsia" w:ascii="宋体" w:hAnsi="宋体" w:eastAsia="宋体" w:cstheme="minorBidi"/>
          <w:kern w:val="2"/>
          <w:sz w:val="21"/>
          <w:szCs w:val="24"/>
          <w:lang w:val="en-US" w:eastAsia="zh-CN" w:bidi="ar-SA"/>
        </w:rPr>
        <w:t xml:space="preserve">      </w:t>
      </w:r>
      <w:r>
        <w:rPr>
          <w:rFonts w:hint="default" w:ascii="Times New Roman" w:hAnsi="Times New Roman" w:cs="Times New Roman"/>
          <w:b/>
          <w:bCs/>
          <w:sz w:val="28"/>
          <w:szCs w:val="28"/>
        </w:rPr>
        <w:t>Table of Contents</w:t>
      </w:r>
    </w:p>
    <w:p>
      <w:pPr>
        <w:spacing w:before="0" w:beforeLines="0" w:after="0" w:afterLines="0" w:line="240" w:lineRule="auto"/>
        <w:ind w:left="0" w:leftChars="0" w:right="0" w:rightChars="0" w:firstLine="0" w:firstLineChars="0"/>
        <w:jc w:val="center"/>
      </w:pP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_Toc31585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_Toc31585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_Toc31585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1.</w:t>
      </w:r>
      <w:r>
        <w:rPr>
          <w:rFonts w:hint="default" w:ascii="Times New Roman" w:hAnsi="Times New Roman" w:cs="Times New Roman"/>
          <w:bCs/>
          <w:sz w:val="24"/>
          <w:szCs w:val="24"/>
        </w:rPr>
        <w:t>Introduction</w:t>
      </w:r>
      <w:r>
        <w:rPr>
          <w:rFonts w:hint="default" w:ascii="Times New Roman" w:hAnsi="Times New Roman" w:cs="Times New Roman"/>
          <w:sz w:val="24"/>
          <w:szCs w:val="24"/>
        </w:rPr>
        <w:tab/>
      </w:r>
      <w:r>
        <w:rPr>
          <w:rFonts w:hint="eastAsia" w:cs="Times New Roman"/>
          <w:sz w:val="24"/>
          <w:szCs w:val="24"/>
          <w:lang w:val="en-US" w:eastAsia="zh-CN"/>
        </w:rPr>
        <w:t>2</w:t>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_Toc23723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2.</w:t>
      </w:r>
      <w:r>
        <w:rPr>
          <w:rFonts w:hint="default" w:ascii="Times New Roman" w:hAnsi="Times New Roman" w:cs="Times New Roman"/>
          <w:bCs/>
          <w:sz w:val="24"/>
          <w:szCs w:val="24"/>
        </w:rPr>
        <w:t>PEST Analysis</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_Toc26253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 xml:space="preserve">2.1 </w:t>
      </w:r>
      <w:r>
        <w:rPr>
          <w:rFonts w:hint="default" w:ascii="Times New Roman" w:hAnsi="Times New Roman" w:cs="Times New Roman"/>
          <w:bCs/>
          <w:sz w:val="24"/>
          <w:szCs w:val="24"/>
        </w:rPr>
        <w:t>Political environment</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_Toc16925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2.2 Economic environment</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_Toc31865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2.3 Social environment</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_Toc31789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2.4 Technology environment</w:t>
      </w:r>
      <w:r>
        <w:rPr>
          <w:rFonts w:hint="default" w:ascii="Times New Roman" w:hAnsi="Times New Roman" w:cs="Times New Roman"/>
          <w:sz w:val="24"/>
          <w:szCs w:val="24"/>
        </w:rPr>
        <w:tab/>
      </w:r>
      <w:r>
        <w:rPr>
          <w:rFonts w:hint="eastAsia" w:cs="Times New Roman"/>
          <w:sz w:val="24"/>
          <w:szCs w:val="24"/>
          <w:lang w:val="en-US" w:eastAsia="zh-CN"/>
        </w:rPr>
        <w:t>4</w:t>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_Toc31240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3</w:t>
      </w:r>
      <w:r>
        <w:rPr>
          <w:rFonts w:hint="default" w:ascii="Times New Roman" w:hAnsi="Times New Roman" w:cs="Times New Roman"/>
          <w:bCs/>
          <w:sz w:val="24"/>
          <w:szCs w:val="24"/>
          <w:lang w:val="en-US" w:eastAsia="zh-CN"/>
        </w:rPr>
        <w:t>.SWOT analysis</w:t>
      </w:r>
      <w:r>
        <w:rPr>
          <w:rFonts w:hint="default" w:ascii="Times New Roman" w:hAnsi="Times New Roman" w:cs="Times New Roman"/>
          <w:sz w:val="24"/>
          <w:szCs w:val="24"/>
        </w:rPr>
        <w:tab/>
      </w:r>
      <w:r>
        <w:rPr>
          <w:rFonts w:hint="eastAsia" w:cs="Times New Roman"/>
          <w:sz w:val="24"/>
          <w:szCs w:val="24"/>
          <w:lang w:val="en-US" w:eastAsia="zh-CN"/>
        </w:rPr>
        <w:t>4</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_Toc1845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3</w:t>
      </w:r>
      <w:r>
        <w:rPr>
          <w:rFonts w:hint="default" w:ascii="Times New Roman" w:hAnsi="Times New Roman" w:cs="Times New Roman"/>
          <w:bCs/>
          <w:sz w:val="24"/>
          <w:szCs w:val="24"/>
          <w:lang w:val="en-US" w:eastAsia="zh-CN"/>
        </w:rPr>
        <w:t>.1</w:t>
      </w:r>
      <w:r>
        <w:rPr>
          <w:rFonts w:hint="default" w:ascii="Times New Roman" w:hAnsi="Times New Roman" w:cs="Times New Roman"/>
          <w:sz w:val="24"/>
          <w:szCs w:val="24"/>
          <w:lang w:val="en-US" w:eastAsia="zh-CN"/>
        </w:rPr>
        <w:t xml:space="preserve"> </w:t>
      </w:r>
      <w:r>
        <w:rPr>
          <w:rFonts w:hint="default" w:ascii="Times New Roman" w:hAnsi="Times New Roman" w:cs="Times New Roman"/>
          <w:bCs/>
          <w:sz w:val="24"/>
          <w:szCs w:val="24"/>
          <w:lang w:val="en-US" w:eastAsia="zh-CN"/>
        </w:rPr>
        <w:t>Strengths</w:t>
      </w:r>
      <w:r>
        <w:rPr>
          <w:rFonts w:hint="default" w:ascii="Times New Roman" w:hAnsi="Times New Roman" w:cs="Times New Roman"/>
          <w:sz w:val="24"/>
          <w:szCs w:val="24"/>
        </w:rPr>
        <w:tab/>
      </w:r>
      <w:r>
        <w:rPr>
          <w:rFonts w:hint="eastAsia" w:cs="Times New Roman"/>
          <w:sz w:val="24"/>
          <w:szCs w:val="24"/>
          <w:lang w:val="en-US" w:eastAsia="zh-CN"/>
        </w:rPr>
        <w:t>4</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_Toc24835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3</w:t>
      </w:r>
      <w:r>
        <w:rPr>
          <w:rFonts w:hint="default" w:ascii="Times New Roman" w:hAnsi="Times New Roman" w:cs="Times New Roman"/>
          <w:bCs/>
          <w:sz w:val="24"/>
          <w:szCs w:val="24"/>
          <w:lang w:val="en-US" w:eastAsia="zh-CN"/>
        </w:rPr>
        <w:t>.2 Weaknesses</w:t>
      </w:r>
      <w:r>
        <w:rPr>
          <w:rFonts w:hint="default" w:ascii="Times New Roman" w:hAnsi="Times New Roman" w:cs="Times New Roman"/>
          <w:sz w:val="24"/>
          <w:szCs w:val="24"/>
        </w:rPr>
        <w:tab/>
      </w:r>
      <w:r>
        <w:rPr>
          <w:rFonts w:hint="eastAsia" w:cs="Times New Roman"/>
          <w:sz w:val="24"/>
          <w:szCs w:val="24"/>
          <w:lang w:val="en-US" w:eastAsia="zh-CN"/>
        </w:rPr>
        <w:t>4</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_Toc23495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3</w:t>
      </w:r>
      <w:r>
        <w:rPr>
          <w:rFonts w:hint="default" w:ascii="Times New Roman" w:hAnsi="Times New Roman" w:cs="Times New Roman"/>
          <w:bCs/>
          <w:sz w:val="24"/>
          <w:szCs w:val="24"/>
          <w:lang w:val="en-US" w:eastAsia="zh-CN"/>
        </w:rPr>
        <w:t>.3 Opportunities</w:t>
      </w:r>
      <w:r>
        <w:rPr>
          <w:rFonts w:hint="default" w:ascii="Times New Roman" w:hAnsi="Times New Roman" w:cs="Times New Roman"/>
          <w:sz w:val="24"/>
          <w:szCs w:val="24"/>
        </w:rPr>
        <w:tab/>
      </w:r>
      <w:r>
        <w:rPr>
          <w:rFonts w:hint="eastAsia" w:cs="Times New Roman"/>
          <w:sz w:val="24"/>
          <w:szCs w:val="24"/>
          <w:lang w:val="en-US" w:eastAsia="zh-CN"/>
        </w:rPr>
        <w:t>5</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_Toc28251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3</w:t>
      </w:r>
      <w:r>
        <w:rPr>
          <w:rFonts w:hint="default" w:ascii="Times New Roman" w:hAnsi="Times New Roman" w:cs="Times New Roman"/>
          <w:bCs/>
          <w:sz w:val="24"/>
          <w:szCs w:val="24"/>
          <w:lang w:val="en-US" w:eastAsia="zh-CN"/>
        </w:rPr>
        <w:t>.4 T</w:t>
      </w:r>
      <w:r>
        <w:rPr>
          <w:rFonts w:hint="default" w:ascii="Times New Roman" w:hAnsi="Times New Roman" w:cs="Times New Roman"/>
          <w:bCs/>
          <w:sz w:val="24"/>
          <w:szCs w:val="24"/>
        </w:rPr>
        <w:t>hreat</w:t>
      </w:r>
      <w:r>
        <w:rPr>
          <w:rFonts w:hint="default" w:ascii="Times New Roman" w:hAnsi="Times New Roman" w:cs="Times New Roman"/>
          <w:sz w:val="24"/>
          <w:szCs w:val="24"/>
        </w:rPr>
        <w:tab/>
      </w:r>
      <w:r>
        <w:rPr>
          <w:rFonts w:hint="eastAsia" w:cs="Times New Roman"/>
          <w:sz w:val="24"/>
          <w:szCs w:val="24"/>
          <w:lang w:val="en-US" w:eastAsia="zh-CN"/>
        </w:rPr>
        <w:t>5</w:t>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_Toc7089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 xml:space="preserve">.Analysis of </w:t>
      </w:r>
      <w:r>
        <w:rPr>
          <w:rFonts w:hint="eastAsia" w:cs="Times New Roman"/>
          <w:bCs/>
          <w:sz w:val="24"/>
          <w:szCs w:val="24"/>
          <w:lang w:val="en-US" w:eastAsia="zh-CN"/>
        </w:rPr>
        <w:t>Tesla</w:t>
      </w:r>
      <w:r>
        <w:rPr>
          <w:rFonts w:hint="default" w:ascii="Times New Roman" w:hAnsi="Times New Roman" w:cs="Times New Roman"/>
          <w:bCs/>
          <w:sz w:val="24"/>
          <w:szCs w:val="24"/>
          <w:lang w:val="en-US" w:eastAsia="zh-CN"/>
        </w:rPr>
        <w:t>'s marketing strategy</w:t>
      </w:r>
      <w:r>
        <w:rPr>
          <w:rFonts w:hint="default" w:ascii="Times New Roman" w:hAnsi="Times New Roman" w:cs="Times New Roman"/>
          <w:sz w:val="24"/>
          <w:szCs w:val="24"/>
        </w:rPr>
        <w:tab/>
      </w:r>
      <w:r>
        <w:rPr>
          <w:rFonts w:hint="eastAsia" w:cs="Times New Roman"/>
          <w:sz w:val="24"/>
          <w:szCs w:val="24"/>
          <w:lang w:val="en-US" w:eastAsia="zh-CN"/>
        </w:rPr>
        <w:t>6</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_Toc23405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.1 Market segmentation</w:t>
      </w:r>
      <w:r>
        <w:rPr>
          <w:rFonts w:hint="default" w:ascii="Times New Roman" w:hAnsi="Times New Roman" w:cs="Times New Roman"/>
          <w:sz w:val="24"/>
          <w:szCs w:val="24"/>
        </w:rPr>
        <w:tab/>
      </w:r>
      <w:r>
        <w:rPr>
          <w:rFonts w:hint="eastAsia" w:cs="Times New Roman"/>
          <w:sz w:val="24"/>
          <w:szCs w:val="24"/>
          <w:lang w:val="en-US" w:eastAsia="zh-CN"/>
        </w:rPr>
        <w:t>6</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_Toc8243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.2 Brand positioning</w:t>
      </w:r>
      <w:r>
        <w:rPr>
          <w:rFonts w:hint="default" w:ascii="Times New Roman" w:hAnsi="Times New Roman" w:cs="Times New Roman"/>
          <w:sz w:val="24"/>
          <w:szCs w:val="24"/>
        </w:rPr>
        <w:tab/>
      </w:r>
      <w:r>
        <w:rPr>
          <w:rFonts w:hint="eastAsia" w:cs="Times New Roman"/>
          <w:sz w:val="24"/>
          <w:szCs w:val="24"/>
          <w:lang w:val="en-US" w:eastAsia="zh-CN"/>
        </w:rPr>
        <w:t>6</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_Toc29798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.3 Channel strategy</w:t>
      </w:r>
      <w:r>
        <w:rPr>
          <w:rFonts w:hint="default" w:ascii="Times New Roman" w:hAnsi="Times New Roman" w:cs="Times New Roman"/>
          <w:sz w:val="24"/>
          <w:szCs w:val="24"/>
        </w:rPr>
        <w:tab/>
      </w:r>
      <w:r>
        <w:rPr>
          <w:rFonts w:hint="eastAsia" w:cs="Times New Roman"/>
          <w:sz w:val="24"/>
          <w:szCs w:val="24"/>
          <w:lang w:val="en-US" w:eastAsia="zh-CN"/>
        </w:rPr>
        <w:t>6</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_Toc29798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w:t>
      </w:r>
      <w:r>
        <w:rPr>
          <w:rFonts w:hint="eastAsia" w:cs="Times New Roman"/>
          <w:bCs/>
          <w:sz w:val="24"/>
          <w:szCs w:val="24"/>
          <w:lang w:val="en-US" w:eastAsia="zh-CN"/>
        </w:rPr>
        <w:t>4</w:t>
      </w:r>
      <w:r>
        <w:rPr>
          <w:rFonts w:hint="default" w:ascii="Times New Roman" w:hAnsi="Times New Roman" w:cs="Times New Roman"/>
          <w:bCs/>
          <w:sz w:val="24"/>
          <w:szCs w:val="24"/>
          <w:lang w:val="en-US" w:eastAsia="zh-CN"/>
        </w:rPr>
        <w:t xml:space="preserve"> </w:t>
      </w:r>
      <w:r>
        <w:rPr>
          <w:rFonts w:hint="eastAsia" w:cs="Times New Roman"/>
          <w:bCs/>
          <w:sz w:val="24"/>
          <w:szCs w:val="24"/>
          <w:lang w:val="en-US" w:eastAsia="zh-CN"/>
        </w:rPr>
        <w:t>Price</w:t>
      </w:r>
      <w:r>
        <w:rPr>
          <w:rFonts w:hint="default" w:ascii="Times New Roman" w:hAnsi="Times New Roman" w:cs="Times New Roman"/>
          <w:bCs/>
          <w:sz w:val="24"/>
          <w:szCs w:val="24"/>
          <w:lang w:val="en-US" w:eastAsia="zh-CN"/>
        </w:rPr>
        <w:t xml:space="preserve"> strategy</w:t>
      </w:r>
      <w:r>
        <w:rPr>
          <w:rFonts w:hint="default" w:ascii="Times New Roman" w:hAnsi="Times New Roman" w:cs="Times New Roman"/>
          <w:sz w:val="24"/>
          <w:szCs w:val="24"/>
        </w:rPr>
        <w:tab/>
      </w:r>
      <w:r>
        <w:rPr>
          <w:rFonts w:hint="eastAsia" w:cs="Times New Roman"/>
          <w:sz w:val="24"/>
          <w:szCs w:val="24"/>
          <w:lang w:val="en-US" w:eastAsia="zh-CN"/>
        </w:rPr>
        <w:t>6</w:t>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_Toc17645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5</w:t>
      </w:r>
      <w:r>
        <w:rPr>
          <w:rFonts w:hint="default" w:ascii="Times New Roman" w:hAnsi="Times New Roman" w:cs="Times New Roman"/>
          <w:bCs/>
          <w:sz w:val="24"/>
          <w:szCs w:val="24"/>
          <w:lang w:val="en-US" w:eastAsia="zh-CN"/>
        </w:rPr>
        <w:t>.</w:t>
      </w:r>
      <w:r>
        <w:rPr>
          <w:rFonts w:hint="default" w:ascii="Times New Roman" w:hAnsi="Times New Roman" w:cs="Times New Roman"/>
          <w:bCs/>
          <w:sz w:val="24"/>
          <w:szCs w:val="24"/>
        </w:rPr>
        <w:t>Conclusion</w:t>
      </w:r>
      <w:r>
        <w:rPr>
          <w:rFonts w:hint="default" w:ascii="Times New Roman" w:hAnsi="Times New Roman" w:cs="Times New Roman"/>
          <w:sz w:val="24"/>
          <w:szCs w:val="24"/>
        </w:rPr>
        <w:tab/>
      </w:r>
      <w:r>
        <w:rPr>
          <w:rFonts w:hint="eastAsia" w:cs="Times New Roman"/>
          <w:sz w:val="24"/>
          <w:szCs w:val="24"/>
          <w:lang w:val="en-US" w:eastAsia="zh-CN"/>
        </w:rPr>
        <w:t>7</w:t>
      </w:r>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_Toc3561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6</w:t>
      </w:r>
      <w:r>
        <w:rPr>
          <w:rFonts w:hint="default" w:ascii="Times New Roman" w:hAnsi="Times New Roman" w:cs="Times New Roman"/>
          <w:bCs/>
          <w:sz w:val="24"/>
          <w:szCs w:val="24"/>
          <w:lang w:val="en-US" w:eastAsia="zh-CN"/>
        </w:rPr>
        <w:t>.</w:t>
      </w:r>
      <w:r>
        <w:rPr>
          <w:rFonts w:hint="default" w:ascii="Times New Roman" w:hAnsi="Times New Roman" w:cs="Times New Roman"/>
          <w:bCs/>
          <w:sz w:val="24"/>
          <w:szCs w:val="24"/>
        </w:rPr>
        <w:t>Recommendations</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_Toc23922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6</w:t>
      </w:r>
      <w:r>
        <w:rPr>
          <w:rFonts w:hint="default" w:ascii="Times New Roman" w:hAnsi="Times New Roman" w:cs="Times New Roman"/>
          <w:bCs/>
          <w:sz w:val="24"/>
          <w:szCs w:val="24"/>
          <w:lang w:val="en-US" w:eastAsia="zh-CN"/>
        </w:rPr>
        <w:t>.</w:t>
      </w:r>
      <w:r>
        <w:rPr>
          <w:rFonts w:hint="eastAsia" w:ascii="Times New Roman" w:hAnsi="Times New Roman" w:cs="Times New Roman"/>
          <w:bCs/>
          <w:sz w:val="24"/>
          <w:szCs w:val="24"/>
          <w:lang w:val="en-US" w:eastAsia="zh-CN"/>
        </w:rPr>
        <w:t>1</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_Toc23922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Stable product performance</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_Toc8396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6</w:t>
      </w:r>
      <w:r>
        <w:rPr>
          <w:rFonts w:hint="default" w:ascii="Times New Roman" w:hAnsi="Times New Roman" w:cs="Times New Roman"/>
          <w:bCs/>
          <w:sz w:val="24"/>
          <w:szCs w:val="24"/>
          <w:lang w:val="en-US" w:eastAsia="zh-CN"/>
        </w:rPr>
        <w:t>.</w:t>
      </w:r>
      <w:r>
        <w:rPr>
          <w:rFonts w:hint="eastAsia" w:ascii="Times New Roman" w:hAnsi="Times New Roman" w:cs="Times New Roman"/>
          <w:bCs/>
          <w:sz w:val="24"/>
          <w:szCs w:val="24"/>
          <w:lang w:val="en-US" w:eastAsia="zh-CN"/>
        </w:rPr>
        <w:t xml:space="preserve">2 </w:t>
      </w:r>
      <w:r>
        <w:rPr>
          <w:rFonts w:hint="default" w:ascii="Times New Roman" w:hAnsi="Times New Roman" w:cs="Times New Roman"/>
          <w:bCs/>
          <w:sz w:val="24"/>
          <w:szCs w:val="24"/>
          <w:lang w:val="en-US" w:eastAsia="zh-CN"/>
        </w:rPr>
        <w:t>Do a good job in product public relations and after-sales service</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_Toc23922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6</w:t>
      </w:r>
      <w:r>
        <w:rPr>
          <w:rFonts w:hint="default" w:ascii="Times New Roman" w:hAnsi="Times New Roman" w:cs="Times New Roman"/>
          <w:bCs/>
          <w:sz w:val="24"/>
          <w:szCs w:val="24"/>
          <w:lang w:val="en-US" w:eastAsia="zh-CN"/>
        </w:rPr>
        <w:t>.3 Reduce administrative cost</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_Toc8396 </w:instrText>
      </w:r>
      <w:r>
        <w:rPr>
          <w:rFonts w:hint="default" w:ascii="Times New Roman" w:hAnsi="Times New Roman" w:cs="Times New Roman"/>
          <w:sz w:val="24"/>
          <w:szCs w:val="24"/>
        </w:rPr>
        <w:fldChar w:fldCharType="separate"/>
      </w:r>
      <w:r>
        <w:rPr>
          <w:rFonts w:hint="eastAsia" w:cs="Times New Roman"/>
          <w:bCs/>
          <w:sz w:val="24"/>
          <w:szCs w:val="24"/>
          <w:lang w:val="en-US" w:eastAsia="zh-CN"/>
        </w:rPr>
        <w:t>6</w:t>
      </w:r>
      <w:r>
        <w:rPr>
          <w:rFonts w:hint="default" w:ascii="Times New Roman" w:hAnsi="Times New Roman" w:cs="Times New Roman"/>
          <w:bCs/>
          <w:sz w:val="24"/>
          <w:szCs w:val="24"/>
          <w:lang w:val="en-US" w:eastAsia="zh-CN"/>
        </w:rPr>
        <w:t>.4 Strengthen intra-industry cooperation</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p>
    <w:p>
      <w:r>
        <w:rPr>
          <w:rFonts w:hint="default" w:ascii="Times New Roman" w:hAnsi="Times New Roman" w:cs="Times New Roman"/>
          <w:sz w:val="24"/>
          <w:szCs w:val="24"/>
        </w:rPr>
        <w:fldChar w:fldCharType="end"/>
      </w:r>
    </w:p>
    <w:p>
      <w:pPr>
        <w:jc w:val="center"/>
        <w:rPr>
          <w:rFonts w:hint="default" w:ascii="Times New Roman" w:hAnsi="Times New Roman" w:cs="Times New Roman"/>
          <w:b/>
          <w:bCs/>
          <w:sz w:val="28"/>
          <w:szCs w:val="28"/>
        </w:rPr>
        <w:sectPr>
          <w:footerReference r:id="rId4" w:type="default"/>
          <w:pgSz w:w="11906" w:h="16838"/>
          <w:pgMar w:top="1440" w:right="1800" w:bottom="1440" w:left="1800" w:header="851" w:footer="992" w:gutter="0"/>
          <w:pgNumType w:fmt="decimal" w:start="1"/>
          <w:cols w:space="425" w:num="1"/>
          <w:docGrid w:type="lines" w:linePitch="312" w:charSpace="0"/>
        </w:sectPr>
      </w:pPr>
      <w:bookmarkStart w:id="21" w:name="_GoBack"/>
      <w:bookmarkEnd w:id="21"/>
    </w:p>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Executive Summary</w:t>
      </w:r>
    </w:p>
    <w:p>
      <w:pPr>
        <w:jc w:val="center"/>
        <w:rPr>
          <w:rFonts w:hint="eastAsia" w:ascii="Times New Roman" w:hAnsi="Times New Roman" w:cs="Times New Roman"/>
          <w:b/>
          <w:bCs/>
          <w:sz w:val="28"/>
          <w:szCs w:val="28"/>
        </w:rPr>
      </w:pPr>
    </w:p>
    <w:p>
      <w:pPr>
        <w:numPr>
          <w:ilvl w:val="0"/>
          <w:numId w:val="0"/>
        </w:numPr>
        <w:jc w:val="both"/>
        <w:outlineLvl w:val="0"/>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In 2020, the global sales volume of new energy vehicle Tesla reached 500,000, becoming the sales champion of new energy vehicle industry for two consecutive years. Tesla has been in the spotlight since its inception, and the company's development history has also experienced several twists and turns. A company founded less than 20 years ago can achieve today's achievements and shine on the global stage, and the development of the company's strategic planning is inseparable. This paper makes a comprehensive analysis of Tesla's internationalization strategy, and further focuses on the strategies adopted by Tesla in China, such as location choice, market strategy and brand strategy, in an attempt to find out the formula of Tesla's success, as well as the problems existing in the process of Tesla's promotion of enterprise internationalization. On this basis, it puts forward reasonable suggestions for its future strategic choice, and sums up its international strategy and strategy experience, which has certain enlightenment significance for the development of China's energy vehicle industry and enterprises' international strategic choice</w:t>
      </w: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ascii="Times New Roman" w:hAnsi="Times New Roman" w:cs="Times New Roman"/>
          <w:b w:val="0"/>
          <w:bCs w:val="0"/>
          <w:sz w:val="24"/>
          <w:szCs w:val="24"/>
        </w:rPr>
      </w:pPr>
    </w:p>
    <w:p>
      <w:pPr>
        <w:numPr>
          <w:ilvl w:val="0"/>
          <w:numId w:val="0"/>
        </w:numPr>
        <w:jc w:val="both"/>
        <w:outlineLvl w:val="0"/>
        <w:rPr>
          <w:rFonts w:hint="eastAsia"/>
        </w:rPr>
      </w:pP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t>Introduction</w:t>
      </w:r>
      <w:bookmarkEnd w:id="0"/>
      <w:bookmarkEnd w:id="1"/>
      <w:bookmarkEnd w:id="2"/>
      <w:bookmarkEnd w:id="3"/>
      <w:bookmarkEnd w:id="4"/>
    </w:p>
    <w:p>
      <w:pPr>
        <w:rPr>
          <w:rFonts w:hint="eastAsia"/>
        </w:rPr>
      </w:pP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In 2003, a car company named after Nikola Tesla, the father of alternating current, was founded, which completely overturned the image of electric vehicles in the eyes of the public. Tesla also gradually grew stronger and went international after twists and turns. In 2020, Tesla's global sales volume ranked the first place and was about twice that of the second place, indicating its significant market advantage and wide popularity in the global new energy vehicle market.</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Compared with traditional automobile enterprises, Tesla is more inclined to define new energy electric vehicles as an intelligent IT product rather than a simple transportation tool, with considerable development prospects. In addition, China vigorously promotes energy conservation and emission reduction, advocates green environmental protection, and enjoys political stability and high-quality economic development. Besides the United States, China has the highest sales volume of Tesla, and highly supports Tesla in settling in Shanghai. It is an important part of Tesla's internationalization strategy to stabilize and further develop the Chinese market and ensure the smooth production of Gigafactory in China. However, at the same time, the product quality of Tesla has been criticized by some consumers. The frequent occurrence of brake problems and customer rights protection has once again pushed Tesla to the center of public opinion, which has a bearing on the brand image of Tesla and will also have a certain negative impact on the future development of the company. Tesla should take positive countermeasures in brand maintenance and quality control of automobile products. Prevent quality issues from hindering the company's overall internationalization process.</w:t>
      </w:r>
      <w:r>
        <w:rPr>
          <w:rFonts w:hint="default" w:ascii="Times New Roman" w:hAnsi="Times New Roman" w:cs="Times New Roman"/>
          <w:sz w:val="24"/>
          <w:szCs w:val="24"/>
        </w:rPr>
        <w:br w:type="page"/>
      </w:r>
    </w:p>
    <w:p>
      <w:pPr>
        <w:numPr>
          <w:ilvl w:val="0"/>
          <w:numId w:val="0"/>
        </w:numPr>
        <w:outlineLvl w:val="0"/>
        <w:rPr>
          <w:rFonts w:hint="default" w:ascii="Times New Roman" w:hAnsi="Times New Roman" w:cs="Times New Roman"/>
          <w:b/>
          <w:bCs/>
          <w:sz w:val="28"/>
          <w:szCs w:val="28"/>
        </w:rPr>
      </w:pPr>
      <w:bookmarkStart w:id="5" w:name="_Toc23723"/>
      <w:r>
        <w:rPr>
          <w:rFonts w:hint="default" w:ascii="Times New Roman" w:hAnsi="Times New Roman" w:cs="Times New Roman"/>
          <w:b/>
          <w:bCs/>
          <w:sz w:val="28"/>
          <w:szCs w:val="28"/>
          <w:lang w:val="en-US" w:eastAsia="zh-CN"/>
        </w:rPr>
        <w:t>2.</w:t>
      </w:r>
      <w:r>
        <w:rPr>
          <w:rFonts w:hint="default" w:ascii="Times New Roman" w:hAnsi="Times New Roman" w:cs="Times New Roman"/>
          <w:b/>
          <w:bCs/>
          <w:sz w:val="28"/>
          <w:szCs w:val="28"/>
        </w:rPr>
        <w:t>PEST Analysis</w:t>
      </w:r>
      <w:bookmarkEnd w:id="5"/>
    </w:p>
    <w:p>
      <w:pPr>
        <w:numPr>
          <w:ilvl w:val="0"/>
          <w:numId w:val="0"/>
        </w:numPr>
        <w:outlineLvl w:val="1"/>
        <w:rPr>
          <w:rFonts w:hint="eastAsia" w:ascii="Times New Roman" w:hAnsi="Times New Roman" w:cs="Times New Roman"/>
          <w:sz w:val="24"/>
          <w:szCs w:val="24"/>
          <w:lang w:val="en-US" w:eastAsia="zh-CN"/>
        </w:rPr>
      </w:pPr>
      <w:bookmarkStart w:id="6" w:name="_Toc26253"/>
      <w:r>
        <w:rPr>
          <w:rFonts w:hint="eastAsia" w:ascii="Times New Roman" w:hAnsi="Times New Roman" w:cs="Times New Roman"/>
          <w:b/>
          <w:bCs/>
          <w:sz w:val="28"/>
          <w:szCs w:val="28"/>
          <w:lang w:val="en-US" w:eastAsia="zh-CN"/>
        </w:rPr>
        <w:t xml:space="preserve">2.1 </w:t>
      </w:r>
      <w:r>
        <w:rPr>
          <w:rFonts w:hint="default" w:ascii="Times New Roman" w:hAnsi="Times New Roman" w:cs="Times New Roman"/>
          <w:b/>
          <w:bCs/>
          <w:sz w:val="28"/>
          <w:szCs w:val="28"/>
        </w:rPr>
        <w:t>Political environment</w:t>
      </w:r>
      <w:bookmarkEnd w:id="6"/>
    </w:p>
    <w:p>
      <w:pPr>
        <w:numPr>
          <w:ilvl w:val="0"/>
          <w:numId w:val="0"/>
        </w:numPr>
        <w:outlineLvl w:val="1"/>
        <w:rPr>
          <w:rFonts w:hint="default" w:ascii="Times New Roman" w:hAnsi="Times New Roman" w:cs="Times New Roman"/>
          <w:sz w:val="24"/>
          <w:szCs w:val="24"/>
          <w:lang w:val="en-US" w:eastAsia="zh-CN"/>
        </w:rPr>
      </w:pPr>
      <w:bookmarkStart w:id="7" w:name="_Toc16925"/>
      <w:r>
        <w:rPr>
          <w:rFonts w:hint="default" w:ascii="Times New Roman" w:hAnsi="Times New Roman" w:cs="Times New Roman"/>
          <w:sz w:val="24"/>
          <w:szCs w:val="24"/>
          <w:lang w:val="en-US" w:eastAsia="zh-CN"/>
        </w:rPr>
        <w:t>Since the 1990s, countries around the world have started energy-saving and emission reduction actions, and this action will continue through the 21st century. This is highly consistent with the growth of the Tesla car brand. China's open policy and measures to promote globalization are important favorable factors for the growth of the Tesla auto brand. In 2018, restrictions on foreign ownership of special vehicles and new energy vehicles will be lifted. Restrictions on foreign ownership of commercial vehicles will be lifted in 2020. In addition to the national policy level, the Shanghai government's opening to the outside world is also an important force to promote the rapid development of Tesla in China. In July 2018, Tesla signed a contract with Shanghai Municipal Government; The first vehicles were delivered on December 30, 2019, and the plant has been built at one of the fastest rates in the world.</w:t>
      </w:r>
    </w:p>
    <w:p>
      <w:pPr>
        <w:numPr>
          <w:ilvl w:val="0"/>
          <w:numId w:val="0"/>
        </w:numPr>
        <w:outlineLvl w:val="1"/>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2.2 Economic environment</w:t>
      </w:r>
      <w:bookmarkEnd w:id="7"/>
    </w:p>
    <w:p>
      <w:pPr>
        <w:numPr>
          <w:ilvl w:val="0"/>
          <w:numId w:val="0"/>
        </w:numPr>
        <w:outlineLvl w:val="1"/>
        <w:rPr>
          <w:rFonts w:hint="default" w:ascii="Times New Roman" w:hAnsi="Times New Roman" w:cs="Times New Roman"/>
          <w:sz w:val="24"/>
          <w:szCs w:val="24"/>
          <w:lang w:val="en-US" w:eastAsia="zh-CN"/>
        </w:rPr>
      </w:pPr>
      <w:bookmarkStart w:id="8" w:name="_Toc31865"/>
      <w:r>
        <w:rPr>
          <w:rFonts w:hint="default" w:ascii="Times New Roman" w:hAnsi="Times New Roman" w:cs="Times New Roman"/>
          <w:sz w:val="24"/>
          <w:szCs w:val="24"/>
          <w:lang w:val="en-US" w:eastAsia="zh-CN"/>
        </w:rPr>
        <w:t>Thanks to the U.S. government's endorsement of the company's concept, the company received a $465 million low-interest loan from the U.S. Department of Energy in late 2008 to fund mass production of Tesla ModelS. In 2012, it received a $10 million grant from the California Energy Commission for ModelX production. In addition to financial support, the company has taken advantage of ZEV-Credits, the zero-emissions trading scheme in the US. California requires carmakers to sell a certain number of carbon-free vehicles. Carmakers that do not meet the requirements can buy credits from other carmakers. Since 2008, Tesla has sold more than $1.3 billion in regulatory credits. In 2017, Tesla delivered 103,181 vehicles worldwide, but earned $360.3 million from selling carbon credits, which works out to about $3,500 per vehicle. In 2018, the ZEV generated $420 million in revenue.</w:t>
      </w:r>
    </w:p>
    <w:p>
      <w:pPr>
        <w:numPr>
          <w:ilvl w:val="0"/>
          <w:numId w:val="0"/>
        </w:numPr>
        <w:outlineLvl w:val="1"/>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2.3 Social environment</w:t>
      </w:r>
      <w:bookmarkEnd w:id="8"/>
    </w:p>
    <w:p>
      <w:pPr>
        <w:numPr>
          <w:ilvl w:val="0"/>
          <w:numId w:val="0"/>
        </w:numPr>
        <w:outlineLvl w:val="1"/>
        <w:rPr>
          <w:rFonts w:hint="default" w:ascii="Times New Roman" w:hAnsi="Times New Roman" w:cs="Times New Roman"/>
          <w:sz w:val="24"/>
          <w:szCs w:val="24"/>
          <w:lang w:val="en-US" w:eastAsia="zh-CN"/>
        </w:rPr>
      </w:pPr>
      <w:bookmarkStart w:id="9" w:name="_Toc31789"/>
      <w:r>
        <w:rPr>
          <w:rFonts w:hint="default" w:ascii="Times New Roman" w:hAnsi="Times New Roman" w:cs="Times New Roman"/>
          <w:sz w:val="24"/>
          <w:szCs w:val="24"/>
          <w:lang w:val="en-US" w:eastAsia="zh-CN"/>
        </w:rPr>
        <w:t>To deal with the global ecological environment issues, become the social environment to promote the growth of Tesla motor brand. The Kyoto Protocol, which was adopted in Kyoto, Japan in December 1997 to limit the greenhouse gas emissions of developed countries to curb global warming, took effect in 2005 and stipulated that all developed countries should reduce their emissions of six greenhouse gases, including carbon dioxide, by 5.2 percent from 1990 levels by 2010. The Paris Agreement, signed by 178 countries and regions in 2016, requires that the global average temperature rise should be kept below 2°C above pre-industrial levels and strive to limit the temperature rise to 15°C above pre-industrial levels. At the same time, it sets different specific requirements for energy conservation and emission reduction in developed, developing and least developed countries and regions.</w:t>
      </w: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2.4 Technology environment</w:t>
      </w:r>
      <w:bookmarkEnd w:id="9"/>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the research and development of the first car Roadster from the ACpropulsion electric vehicle transmission technology of the United States and the company's own innovation and research and development, the car body is purchased from the chassis and body structure of the Elise sports car of the United Kingdom, the battery is the Japanese Panasonic 18650 lithium battery, and the motor is jointly developed with Taiwan Tomita. Among them, Panasonic battery and Foton electric technology accompanied the growth of Truss company. The company has also established battery gigafactory in cooperation with Panasonic and acquired German automation manufacturer Gro-Hmann Engineering to enhance its core technological advantages by introducing or digesting global advanced technologies.</w:t>
      </w:r>
    </w:p>
    <w:p>
      <w:pPr>
        <w:rPr>
          <w:rFonts w:hint="eastAsia" w:ascii="Times New Roman" w:hAnsi="Times New Roman" w:cs="Times New Roman"/>
          <w:b/>
          <w:bCs/>
          <w:sz w:val="28"/>
          <w:szCs w:val="28"/>
          <w:lang w:val="en-US" w:eastAsia="zh-CN"/>
        </w:rPr>
      </w:pPr>
      <w:bookmarkStart w:id="10" w:name="_Toc31240"/>
    </w:p>
    <w:p>
      <w:p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3.</w:t>
      </w:r>
      <w:r>
        <w:rPr>
          <w:rFonts w:hint="default" w:ascii="Times New Roman" w:hAnsi="Times New Roman" w:cs="Times New Roman"/>
          <w:b/>
          <w:bCs/>
          <w:sz w:val="28"/>
          <w:szCs w:val="28"/>
          <w:lang w:val="en-US" w:eastAsia="zh-CN"/>
        </w:rPr>
        <w:t>SWOT analysis</w:t>
      </w:r>
      <w:bookmarkEnd w:id="10"/>
    </w:p>
    <w:p>
      <w:pPr>
        <w:numPr>
          <w:ilvl w:val="0"/>
          <w:numId w:val="0"/>
        </w:numPr>
        <w:outlineLvl w:val="1"/>
        <w:rPr>
          <w:rFonts w:hint="default" w:ascii="Times New Roman" w:hAnsi="Times New Roman" w:cs="Times New Roman"/>
          <w:sz w:val="24"/>
          <w:szCs w:val="24"/>
          <w:lang w:val="en-US" w:eastAsia="zh-CN"/>
        </w:rPr>
      </w:pPr>
      <w:bookmarkStart w:id="11" w:name="_Toc1845"/>
      <w:r>
        <w:rPr>
          <w:rFonts w:hint="eastAsia" w:ascii="Times New Roman" w:hAnsi="Times New Roman" w:cs="Times New Roman"/>
          <w:b/>
          <w:bCs/>
          <w:sz w:val="28"/>
          <w:szCs w:val="28"/>
          <w:lang w:val="en-US" w:eastAsia="zh-CN"/>
        </w:rPr>
        <w:t>3.1</w:t>
      </w:r>
      <w:r>
        <w:rPr>
          <w:rFonts w:hint="default" w:ascii="Times New Roman" w:hAnsi="Times New Roman" w:cs="Times New Roman"/>
          <w:sz w:val="24"/>
          <w:szCs w:val="24"/>
          <w:lang w:val="en-US" w:eastAsia="zh-CN"/>
        </w:rPr>
        <w:t xml:space="preserve"> </w:t>
      </w:r>
      <w:r>
        <w:rPr>
          <w:rFonts w:hint="default" w:ascii="Times New Roman" w:hAnsi="Times New Roman" w:cs="Times New Roman"/>
          <w:b/>
          <w:bCs/>
          <w:sz w:val="28"/>
          <w:szCs w:val="28"/>
          <w:lang w:val="en-US" w:eastAsia="zh-CN"/>
        </w:rPr>
        <w:t>Strengths</w:t>
      </w:r>
      <w:bookmarkEnd w:id="11"/>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Tesla's technological advantage is the key to its market competitiveness. Tesla's electric vehicle technology is the most advanced in the world, and its mature battery management system is the most efficient technology. Tesla's vehicles currently mainly use Panasonic 18650 lithium-cobalt batteries. The whole battery is composed of thousands of individual batteries, with high energy density, high safety factor and many charging cycles, which can well maintain the running stability of the vehicle. Tesla has relatively complete charging facilities. As of December 2019, Tesla had 300 charging stations in China, covering more than 140 cities across the country, with more than 2,200 charging stations and an intensive charging network to meet the needs of Tesla users.</w:t>
      </w:r>
    </w:p>
    <w:p>
      <w:pPr>
        <w:numPr>
          <w:ilvl w:val="0"/>
          <w:numId w:val="0"/>
        </w:numPr>
        <w:outlineLvl w:val="1"/>
        <w:rPr>
          <w:rFonts w:hint="default" w:ascii="Times New Roman" w:hAnsi="Times New Roman" w:cs="Times New Roman"/>
          <w:sz w:val="24"/>
          <w:szCs w:val="24"/>
          <w:lang w:val="en-US" w:eastAsia="zh-CN"/>
        </w:rPr>
      </w:pPr>
      <w:bookmarkStart w:id="12" w:name="_Toc24835"/>
      <w:r>
        <w:rPr>
          <w:rFonts w:hint="eastAsia" w:ascii="Times New Roman" w:hAnsi="Times New Roman" w:cs="Times New Roman"/>
          <w:b/>
          <w:bCs/>
          <w:sz w:val="28"/>
          <w:szCs w:val="28"/>
          <w:lang w:val="en-US" w:eastAsia="zh-CN"/>
        </w:rPr>
        <w:t xml:space="preserve">3.2 </w:t>
      </w:r>
      <w:r>
        <w:rPr>
          <w:rFonts w:hint="default" w:ascii="Times New Roman" w:hAnsi="Times New Roman" w:cs="Times New Roman"/>
          <w:b/>
          <w:bCs/>
          <w:sz w:val="28"/>
          <w:szCs w:val="28"/>
          <w:lang w:val="en-US" w:eastAsia="zh-CN"/>
        </w:rPr>
        <w:t>Weaknesses</w:t>
      </w:r>
      <w:bookmarkEnd w:id="12"/>
    </w:p>
    <w:p>
      <w:pPr>
        <w:numPr>
          <w:ilvl w:val="0"/>
          <w:numId w:val="0"/>
        </w:numPr>
        <w:outlineLvl w:val="1"/>
        <w:rPr>
          <w:rFonts w:hint="default" w:ascii="Times New Roman" w:hAnsi="Times New Roman" w:cs="Times New Roman"/>
          <w:sz w:val="24"/>
          <w:szCs w:val="24"/>
          <w:lang w:val="en-US" w:eastAsia="zh-CN"/>
        </w:rPr>
      </w:pPr>
      <w:bookmarkStart w:id="13" w:name="_Toc23495"/>
      <w:r>
        <w:rPr>
          <w:rFonts w:hint="default" w:ascii="Times New Roman" w:hAnsi="Times New Roman" w:cs="Times New Roman"/>
          <w:sz w:val="24"/>
          <w:szCs w:val="24"/>
          <w:lang w:val="en-US" w:eastAsia="zh-CN"/>
        </w:rPr>
        <w:t>Tesla is running out of capacity. Overall, Tesla's sales grew both globally and in China, increasing market share and vehicle sales. However, in terms of production, Tesla is facing serious capacity shortages and cannot achieve profitable production. The reason is that the battery propulsion system of Tesla motor still belongs to the category of high-tech. The use of new materials to improve vehicle safety and enhance appearance makes the production of Tesla motor unable to be automated, resulting in the production failing to meet the market demand. Even though Tesla has reduced its marketing costs by going "ad-free," it still incurs a lot of manufacturing and other costs. On the one hand, Tesla Motors' advanced battery technology prevents it from automating production, which inevitably leads to high raw material and labor costs. Tesla, on the other hand, is under financial pressure from the expansion of batteries and charging stations in China.</w:t>
      </w: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 xml:space="preserve">3.3 </w:t>
      </w:r>
      <w:r>
        <w:rPr>
          <w:rFonts w:hint="default" w:ascii="Times New Roman" w:hAnsi="Times New Roman" w:cs="Times New Roman"/>
          <w:b/>
          <w:bCs/>
          <w:sz w:val="28"/>
          <w:szCs w:val="28"/>
          <w:u w:val="none"/>
          <w:lang w:val="en-US" w:eastAsia="zh-CN"/>
        </w:rPr>
        <w:t>Opportunities</w:t>
      </w:r>
      <w:bookmarkEnd w:id="13"/>
    </w:p>
    <w:p>
      <w:pPr>
        <w:numPr>
          <w:ilvl w:val="0"/>
          <w:numId w:val="0"/>
        </w:numPr>
        <w:outlineLvl w:val="1"/>
        <w:rPr>
          <w:rFonts w:hint="default" w:ascii="Times New Roman" w:hAnsi="Times New Roman" w:cs="Times New Roman"/>
          <w:sz w:val="24"/>
          <w:szCs w:val="24"/>
          <w:lang w:val="en-US" w:eastAsia="zh-CN"/>
        </w:rPr>
      </w:pPr>
      <w:bookmarkStart w:id="14" w:name="_Toc28251"/>
      <w:r>
        <w:rPr>
          <w:rFonts w:hint="default" w:ascii="Times New Roman" w:hAnsi="Times New Roman" w:cs="Times New Roman"/>
          <w:sz w:val="24"/>
          <w:szCs w:val="24"/>
          <w:lang w:val="en-US" w:eastAsia="zh-CN"/>
        </w:rPr>
        <w:t xml:space="preserve">China's new energy vehicle market has great potential. At present, China's economic development is on the rise, and the domestic economic environment is favorable for the development of new energy vehicles. As the world's largest auto market, the Chinese market has seen a sharp increase in new-energy vehicle sales in recent years. From 2017 to 2019, China's total domestic new-energy vehicle sales maintained an upward trend, rising from 1.426 million to 2.873 million. </w:t>
      </w:r>
    </w:p>
    <w:p>
      <w:pPr>
        <w:numPr>
          <w:ilvl w:val="0"/>
          <w:numId w:val="0"/>
        </w:numPr>
        <w:outlineLvl w:val="1"/>
        <w:rPr>
          <w:rFonts w:hint="default" w:ascii="Times New Roman" w:hAnsi="Times New Roman" w:cs="Times New Roman"/>
          <w:sz w:val="24"/>
          <w:szCs w:val="24"/>
          <w:lang w:val="en-US" w:eastAsia="zh-CN"/>
        </w:rPr>
      </w:pPr>
    </w:p>
    <w:p>
      <w:pPr>
        <w:numPr>
          <w:ilvl w:val="0"/>
          <w:numId w:val="0"/>
        </w:numPr>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2020, sales dropped to 1.367 million units due to the impact of the COVID-19 pandemic and consumers' wait-and-see attitude towards the government's policy of subsidizing new-energy vehicles. However, in 2021, the sales volume increased rapidly again to 3.521 million, mainly because the subsidy standard of new energy vehicles in 2021 was reduced by 20% on the basis of 2020. In addition, with the increasing environmental awareness of Chinese consumers, new energy vehicles will receive more and more attention. Tesla has built a network of charging stations and set up charging piles in public areas of the city to meet the needs of the development of new energy vehicles. Currently, priority is being given to building charging infrastructure at large public parking lots such as airports, railway stations, shopping malls, hospitals and residential areas, as well as renovating and expanding charging facilities at existing service stations.</w:t>
      </w:r>
    </w:p>
    <w:p>
      <w:pPr>
        <w:numPr>
          <w:ilvl w:val="0"/>
          <w:numId w:val="0"/>
        </w:numPr>
        <w:outlineLvl w:val="1"/>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3.4 </w:t>
      </w:r>
      <w:r>
        <w:rPr>
          <w:rFonts w:hint="default" w:ascii="Times New Roman" w:hAnsi="Times New Roman" w:cs="Times New Roman"/>
          <w:b/>
          <w:bCs/>
          <w:sz w:val="28"/>
          <w:szCs w:val="28"/>
          <w:lang w:val="en-US" w:eastAsia="zh-CN"/>
        </w:rPr>
        <w:t>T</w:t>
      </w:r>
      <w:r>
        <w:rPr>
          <w:rFonts w:hint="default" w:ascii="Times New Roman" w:hAnsi="Times New Roman" w:cs="Times New Roman"/>
          <w:b/>
          <w:bCs/>
          <w:sz w:val="28"/>
          <w:szCs w:val="28"/>
        </w:rPr>
        <w:t>hreat</w:t>
      </w:r>
      <w:bookmarkEnd w:id="14"/>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market for new energy vehicles is highly competitive. Byd sold 593,700 new energy vehicles in 2021, 231.6 percent more than the previous year, becoming the world's second-largest company but still lagging behind industry giant Tesla. With sales of 935,700 vehicles, Tesla grew 87 per cent year on year, 1.6 times the sales of second-placed BYD, which has a 14.4 per cent share of the global new-energy passenger car market and 20.3 per cent of the pure electric vehicle market.</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And the range of consumer choice with the increase of new energy vehicle market product categories and more and more wide, brand loyalty is becoming less and less. The development of digital technology enables consumers to obtain a large amount of information and enhance their bargaining power. In addition, as autonomous driving technology matures and the sharing economy develops, consumers' desire to buy cars will also be affected.</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br w:type="page"/>
      </w:r>
    </w:p>
    <w:p>
      <w:pPr>
        <w:numPr>
          <w:ilvl w:val="0"/>
          <w:numId w:val="0"/>
        </w:numPr>
        <w:outlineLvl w:val="0"/>
        <w:rPr>
          <w:rFonts w:hint="default" w:ascii="Times New Roman" w:hAnsi="Times New Roman" w:cs="Times New Roman"/>
          <w:b/>
          <w:bCs/>
          <w:sz w:val="28"/>
          <w:szCs w:val="28"/>
          <w:lang w:val="en-US" w:eastAsia="zh-CN"/>
        </w:rPr>
      </w:pPr>
      <w:bookmarkStart w:id="15" w:name="_Toc7089"/>
      <w:r>
        <w:rPr>
          <w:rFonts w:hint="eastAsia" w:ascii="Times New Roman" w:hAnsi="Times New Roman" w:cs="Times New Roman"/>
          <w:b/>
          <w:bCs/>
          <w:sz w:val="28"/>
          <w:szCs w:val="28"/>
          <w:lang w:val="en-US" w:eastAsia="zh-CN"/>
        </w:rPr>
        <w:t>4.</w:t>
      </w:r>
      <w:r>
        <w:rPr>
          <w:rFonts w:hint="default" w:ascii="Times New Roman" w:hAnsi="Times New Roman" w:cs="Times New Roman"/>
          <w:b/>
          <w:bCs/>
          <w:sz w:val="28"/>
          <w:szCs w:val="28"/>
          <w:lang w:val="en-US" w:eastAsia="zh-CN"/>
        </w:rPr>
        <w:t xml:space="preserve">Analysis of </w:t>
      </w:r>
      <w:r>
        <w:rPr>
          <w:rFonts w:hint="eastAsia" w:ascii="Times New Roman" w:hAnsi="Times New Roman" w:cs="Times New Roman"/>
          <w:b/>
          <w:bCs/>
          <w:sz w:val="28"/>
          <w:szCs w:val="28"/>
          <w:lang w:val="en-US" w:eastAsia="zh-CN"/>
        </w:rPr>
        <w:t>Tesla</w:t>
      </w:r>
      <w:r>
        <w:rPr>
          <w:rFonts w:hint="default" w:ascii="Times New Roman" w:hAnsi="Times New Roman" w:cs="Times New Roman"/>
          <w:b/>
          <w:bCs/>
          <w:sz w:val="28"/>
          <w:szCs w:val="28"/>
          <w:lang w:val="en-US" w:eastAsia="zh-CN"/>
        </w:rPr>
        <w:t>'s marketing strategy</w:t>
      </w:r>
      <w:bookmarkEnd w:id="15"/>
    </w:p>
    <w:p>
      <w:pPr>
        <w:numPr>
          <w:ilvl w:val="0"/>
          <w:numId w:val="0"/>
        </w:numPr>
        <w:outlineLvl w:val="1"/>
        <w:rPr>
          <w:rFonts w:hint="default" w:ascii="Times New Roman" w:hAnsi="Times New Roman" w:cs="Times New Roman"/>
          <w:sz w:val="24"/>
          <w:szCs w:val="24"/>
          <w:lang w:val="en-US" w:eastAsia="zh-CN"/>
        </w:rPr>
      </w:pPr>
      <w:bookmarkStart w:id="16" w:name="_Toc23405"/>
      <w:r>
        <w:rPr>
          <w:rFonts w:hint="eastAsia" w:ascii="Times New Roman" w:hAnsi="Times New Roman" w:cs="Times New Roman"/>
          <w:b/>
          <w:bCs/>
          <w:sz w:val="28"/>
          <w:szCs w:val="28"/>
          <w:lang w:val="en-US" w:eastAsia="zh-CN"/>
        </w:rPr>
        <w:t xml:space="preserve">4.1 </w:t>
      </w:r>
      <w:bookmarkEnd w:id="16"/>
      <w:r>
        <w:rPr>
          <w:rFonts w:hint="default" w:ascii="Times New Roman" w:hAnsi="Times New Roman" w:cs="Times New Roman"/>
          <w:b/>
          <w:bCs/>
          <w:sz w:val="28"/>
          <w:szCs w:val="28"/>
          <w:lang w:val="en-US" w:eastAsia="zh-CN"/>
        </w:rPr>
        <w:t>Market segmentation</w:t>
      </w:r>
      <w:bookmarkStart w:id="17" w:name="_Toc8243"/>
    </w:p>
    <w:p>
      <w:pPr>
        <w:numPr>
          <w:ilvl w:val="0"/>
          <w:numId w:val="0"/>
        </w:numPr>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Market segmentation is the prerequisite for enterprises to select target market, precise market positioning and formulate reasonable market strategies. China is a vast country with vastly different terrain, and flat, open terrain is bound to be more suitable for electric vehicles than those with steep potholes. China, as a developing country with sustained economic growth, has a large population base and a large overall market demand. Tesla products are more suitable for relatively young consumer groups. From the perspective of selling price, the selling price of Tesla's products is not suitable for low or middle income groups to try to buy, but more suitable for middle and high income groups. People with higher social class and stronger awareness of green protection are more suitable to buy Tesla's car products.</w:t>
      </w:r>
    </w:p>
    <w:p>
      <w:pPr>
        <w:numPr>
          <w:ilvl w:val="0"/>
          <w:numId w:val="0"/>
        </w:numPr>
        <w:outlineLvl w:val="1"/>
        <w:rPr>
          <w:rFonts w:hint="default" w:ascii="Times New Roman" w:hAnsi="Times New Roman" w:cs="Times New Roman"/>
          <w:sz w:val="24"/>
          <w:szCs w:val="24"/>
          <w:lang w:val="en-US" w:eastAsia="zh-CN"/>
        </w:rPr>
      </w:pPr>
      <w:r>
        <w:rPr>
          <w:rFonts w:hint="eastAsia" w:ascii="Times New Roman" w:hAnsi="Times New Roman" w:cs="Times New Roman"/>
          <w:b/>
          <w:bCs/>
          <w:sz w:val="28"/>
          <w:szCs w:val="28"/>
          <w:lang w:val="en-US" w:eastAsia="zh-CN"/>
        </w:rPr>
        <w:t xml:space="preserve">4.2 </w:t>
      </w:r>
      <w:bookmarkEnd w:id="17"/>
      <w:bookmarkStart w:id="18" w:name="_Toc29798"/>
      <w:r>
        <w:rPr>
          <w:rFonts w:hint="default" w:ascii="Times New Roman" w:hAnsi="Times New Roman" w:cs="Times New Roman"/>
          <w:b/>
          <w:bCs/>
          <w:sz w:val="28"/>
          <w:szCs w:val="28"/>
          <w:lang w:val="en-US" w:eastAsia="zh-CN"/>
        </w:rPr>
        <w:t>Brand positioning</w:t>
      </w:r>
    </w:p>
    <w:p>
      <w:pPr>
        <w:numPr>
          <w:ilvl w:val="0"/>
          <w:numId w:val="0"/>
        </w:numPr>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Brand positioning is an important part of market positioning. Before building a factory in China to produce new energy vehicles, Tesla has been exporting its products to China in the form of export, mainly including Model S and Mode X series. The selling price of these two models is equivalent to more than 800,000 yuan. The domestic Model3 launched in 2019 and the domestic ModelY series launched in 2021 are both priced at around 300,000 RMB. Tesla's adjustments to brand positioning are fully reflected in the changes in product pricing</w:t>
      </w:r>
    </w:p>
    <w:p>
      <w:pPr>
        <w:numPr>
          <w:ilvl w:val="0"/>
          <w:numId w:val="0"/>
        </w:numPr>
        <w:rPr>
          <w:rFonts w:hint="default" w:ascii="Times New Roman" w:hAnsi="Times New Roman" w:cs="Times New Roman"/>
          <w:sz w:val="24"/>
          <w:szCs w:val="24"/>
          <w:lang w:val="en-US" w:eastAsia="zh-CN"/>
        </w:rPr>
      </w:pPr>
      <w:r>
        <w:rPr>
          <w:rFonts w:hint="eastAsia" w:ascii="Times New Roman" w:hAnsi="Times New Roman" w:cs="Times New Roman"/>
          <w:b/>
          <w:bCs/>
          <w:sz w:val="28"/>
          <w:szCs w:val="28"/>
          <w:lang w:val="en-US" w:eastAsia="zh-CN"/>
        </w:rPr>
        <w:t>4.3</w:t>
      </w:r>
      <w:r>
        <w:rPr>
          <w:rFonts w:hint="eastAsia" w:ascii="Times New Roman" w:hAnsi="Times New Roman" w:cs="Times New Roman"/>
          <w:b w:val="0"/>
          <w:bCs w:val="0"/>
          <w:sz w:val="28"/>
          <w:szCs w:val="28"/>
          <w:lang w:val="en-US" w:eastAsia="zh-CN"/>
        </w:rPr>
        <w:t xml:space="preserve"> </w:t>
      </w:r>
      <w:bookmarkEnd w:id="18"/>
      <w:r>
        <w:rPr>
          <w:rFonts w:hint="default" w:ascii="Times New Roman" w:hAnsi="Times New Roman" w:cs="Times New Roman"/>
          <w:b/>
          <w:bCs/>
          <w:sz w:val="28"/>
          <w:szCs w:val="28"/>
          <w:lang w:val="en-US" w:eastAsia="zh-CN"/>
        </w:rPr>
        <w:t>Channel strategy</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 takes a different channel strategy from traditional car companies. Learning from Apple's sales model, the company adopts the direct selling strategy of "offline experience + online pre-order + online service". This strategy brings advantages to the company's cash flow, inventory management and circulation cost control. Online booking, not only can minimize the pressure of inventory, and more in line with the production and market demand consistency requirements, thus reducing the market supply and demand in the variety of structural contradictions. Direct sale price is open and transparent, which saves consumers the cost of price comparison between different dealers and the energy of price negotiation, thus improving the marketing efficiency.</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 xml:space="preserve">4.4 </w:t>
      </w:r>
      <w:r>
        <w:rPr>
          <w:rFonts w:hint="default" w:ascii="Times New Roman" w:hAnsi="Times New Roman" w:cs="Times New Roman"/>
          <w:b/>
          <w:bCs/>
          <w:sz w:val="28"/>
          <w:szCs w:val="28"/>
          <w:lang w:val="en-US" w:eastAsia="zh-CN"/>
        </w:rPr>
        <w:t>Price strategy</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application of tiered pricing, penetration pricing and product portfolio pricing strategies has promoted the expansion of Tesla automobile market. First, tiered pricing strategy. The company has launched three generations of different levels of products, the price strategy corresponding to their levels. The first-generation Roadster and the second-generation Model SModel X belong to high-end and high-end products respectively. Model 3 and Model Y of the third generation belong to the low-end products and implement the price strategy of gradual penetration. In 2020, Tesla lowered the price of domestic Model 3 twice, and the price dropped to within 250,000 yuan, a decrease of nearly 100,000 yuan. Gradually lowering the price can better stimulate demand and expand the market.</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outlineLvl w:val="0"/>
        <w:rPr>
          <w:rFonts w:hint="default" w:ascii="Times New Roman" w:hAnsi="Times New Roman" w:cs="Times New Roman"/>
          <w:sz w:val="24"/>
          <w:szCs w:val="24"/>
          <w:lang w:val="en-US" w:eastAsia="zh-CN"/>
        </w:rPr>
      </w:pPr>
      <w:bookmarkStart w:id="19" w:name="_Toc17645"/>
      <w:r>
        <w:rPr>
          <w:rFonts w:hint="eastAsia" w:ascii="Times New Roman" w:hAnsi="Times New Roman" w:cs="Times New Roman"/>
          <w:b/>
          <w:bCs/>
          <w:sz w:val="28"/>
          <w:szCs w:val="28"/>
          <w:lang w:val="en-US" w:eastAsia="zh-CN"/>
        </w:rPr>
        <w:t>5.</w:t>
      </w:r>
      <w:r>
        <w:rPr>
          <w:rFonts w:hint="default" w:ascii="Times New Roman" w:hAnsi="Times New Roman" w:cs="Times New Roman"/>
          <w:b/>
          <w:bCs/>
          <w:sz w:val="28"/>
          <w:szCs w:val="28"/>
        </w:rPr>
        <w:t>Conclusion</w:t>
      </w:r>
      <w:bookmarkEnd w:id="19"/>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rapid development of globalization has provided fertile soil for the rapid growth of Tesla. The development capital of Tesla enterprise comes from all over the world, the production technology of new energy vehicles of Tesla comes from all over the world, and the industrial chain of Tesla is spread all over the world, which all benefit from economic globalization. However, Tesla is also facing some challenges now.</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Tesla has the risk of an excessively long industrial chain. Closely following the theme of "Ten intelligent new energy sources" and centering on the core business of new energy intelligent vehicles, Tesla has been trying to carry out the layout of the whole industrial chain. The current business scope has covered battery research and development and production, solar power generation and storage, electrical architecture, battery management systems, mechanical engineering and robot automation, and continue to expand the battery raw materials industry chain momentum. Although the long and complete industrial chain can create a series of core technologies, the company also faces the risk that some key technologies in the industrial chain fail to develop and some core technologies are surpassed, which increases the difficulty of management and coordination.</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quality and safety issues. According to the statistics of the new energy vehicle monitoring platform, spontaneous combustion accidents will occur every 44.7 billion kilometers of China's new energy vehicles, while Tesla will have a fire accident every 280 million kilometers on average. Aging batteries, design flaws, BMS system failures and crashes can all contribute to spontaneous combustion in electric vehicles, experts said. Since 2020, there have been more than 10 out-of-control traffic accidents involving Tesla Motors. The accidents are caused by sudden acceleration, brake failure, and steering failure, but after the accidents, the vehicles returned to normal and no problems were found. These problems pose new challenges for Tesla.</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numId w:val="0"/>
        </w:numPr>
        <w:outlineLvl w:val="0"/>
        <w:rPr>
          <w:rFonts w:hint="default" w:ascii="Times New Roman" w:hAnsi="Times New Roman" w:cs="Times New Roman"/>
          <w:b/>
          <w:bCs/>
          <w:sz w:val="28"/>
          <w:szCs w:val="28"/>
          <w:lang w:val="en-US" w:eastAsia="zh-CN"/>
        </w:rPr>
      </w:pPr>
      <w:bookmarkStart w:id="20" w:name="_Toc3561"/>
      <w:r>
        <w:rPr>
          <w:rFonts w:hint="eastAsia" w:ascii="Times New Roman" w:hAnsi="Times New Roman" w:cs="Times New Roman"/>
          <w:b/>
          <w:bCs/>
          <w:sz w:val="28"/>
          <w:szCs w:val="28"/>
          <w:lang w:val="en-US" w:eastAsia="zh-CN"/>
        </w:rPr>
        <w:t>6.</w:t>
      </w:r>
      <w:r>
        <w:rPr>
          <w:rFonts w:hint="default" w:ascii="Times New Roman" w:hAnsi="Times New Roman" w:cs="Times New Roman"/>
          <w:b/>
          <w:bCs/>
          <w:sz w:val="28"/>
          <w:szCs w:val="28"/>
        </w:rPr>
        <w:t>Recommendations</w:t>
      </w:r>
      <w:bookmarkEnd w:id="20"/>
    </w:p>
    <w:p>
      <w:pPr>
        <w:numPr>
          <w:numId w:val="0"/>
        </w:numPr>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bCs/>
          <w:sz w:val="28"/>
          <w:szCs w:val="28"/>
          <w:lang w:val="en-US" w:eastAsia="zh-CN"/>
        </w:rPr>
        <w:t xml:space="preserve">6.1 </w:t>
      </w:r>
      <w:r>
        <w:rPr>
          <w:rFonts w:hint="default" w:ascii="Times New Roman" w:hAnsi="Times New Roman" w:cs="Times New Roman"/>
          <w:b/>
          <w:bCs/>
          <w:sz w:val="28"/>
          <w:szCs w:val="28"/>
          <w:lang w:val="en-US" w:eastAsia="zh-CN"/>
        </w:rPr>
        <w:t>Stable product performance</w:t>
      </w:r>
    </w:p>
    <w:p>
      <w:pPr>
        <w:numPr>
          <w:numId w:val="0"/>
        </w:numPr>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Tesla's innovation and technology are its main competitive advantages and market advantages that need to be further exploited in the future. However, on the basis of accelerating the innovation process, the enterprise should also practice the basic skills of product manufacturing, which is to ensure the safety and stability of cars. Product innovation should not focus on speed, but also should not blindly pursue innovation while ignoring the most basic production requirements of products. On the contrary, fine workmanship, impeccable quality and perfection in the details of the vehicle can increase consumers' desire to buy</w:t>
      </w:r>
    </w:p>
    <w:p>
      <w:pPr>
        <w:numPr>
          <w:numId w:val="0"/>
        </w:numPr>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bCs/>
          <w:sz w:val="28"/>
          <w:szCs w:val="28"/>
          <w:lang w:val="en-US" w:eastAsia="zh-CN"/>
        </w:rPr>
        <w:t xml:space="preserve">6.2 </w:t>
      </w:r>
      <w:r>
        <w:rPr>
          <w:rFonts w:hint="default" w:ascii="Times New Roman" w:hAnsi="Times New Roman" w:cs="Times New Roman"/>
          <w:b/>
          <w:bCs/>
          <w:sz w:val="28"/>
          <w:szCs w:val="28"/>
          <w:lang w:val="en-US" w:eastAsia="zh-CN"/>
        </w:rPr>
        <w:t>Do a good job in product public relations and after-sales service</w:t>
      </w:r>
    </w:p>
    <w:p>
      <w:pPr>
        <w:numPr>
          <w:numId w:val="0"/>
        </w:numPr>
        <w:outlineLvl w:val="0"/>
        <w:rPr>
          <w:rFonts w:hint="default" w:ascii="Times New Roman" w:hAnsi="Times New Roman" w:cs="Times New Roman"/>
          <w:b/>
          <w:bCs/>
          <w:sz w:val="28"/>
          <w:szCs w:val="28"/>
          <w:lang w:val="en-US" w:eastAsia="zh-CN"/>
        </w:rPr>
      </w:pPr>
      <w:r>
        <w:rPr>
          <w:rFonts w:hint="default" w:ascii="Times New Roman" w:hAnsi="Times New Roman" w:cs="Times New Roman"/>
          <w:b w:val="0"/>
          <w:bCs w:val="0"/>
          <w:sz w:val="24"/>
          <w:szCs w:val="24"/>
          <w:lang w:val="en-US" w:eastAsia="zh-CN"/>
        </w:rPr>
        <w:t>The phenomenon of consumer rights protection frequently appears in the major media. Consumers who choose this kind of conspicuous way to protect their rights undoubtedly do not get satisfactory after-sales service. As a high-end brand of new energy vehicles, Tesla first requires customers to recognize the products and services provided by the company to maintain its brand image. Therefore, to do a good job in public relations and actively respond to problems is not to "degrade oneself", but to be responsible for consumers and corporate image.</w:t>
      </w:r>
    </w:p>
    <w:p>
      <w:pPr>
        <w:numPr>
          <w:numId w:val="0"/>
        </w:numPr>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bCs/>
          <w:sz w:val="28"/>
          <w:szCs w:val="28"/>
          <w:lang w:val="en-US" w:eastAsia="zh-CN"/>
        </w:rPr>
        <w:t xml:space="preserve">6.3 </w:t>
      </w:r>
      <w:r>
        <w:rPr>
          <w:rFonts w:hint="default" w:ascii="Times New Roman" w:hAnsi="Times New Roman" w:cs="Times New Roman"/>
          <w:b/>
          <w:bCs/>
          <w:sz w:val="28"/>
          <w:szCs w:val="28"/>
          <w:lang w:val="en-US" w:eastAsia="zh-CN"/>
        </w:rPr>
        <w:t>Reduce administrative cost</w:t>
      </w:r>
    </w:p>
    <w:p>
      <w:pPr>
        <w:numPr>
          <w:numId w:val="0"/>
        </w:numPr>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the overall layout of the industrial chain can speed up the internationalization process of enterprises through rational allocation of resources and win greater profits for enterprises, too long the industrial chain will affect operation efficiency and increase management costs. Therefore, Tesla should enhance the autonomy of all aspects of automobile manufacturing and focus on the innovation of core technologies through appropriate "administrative streamlining and decentralization" in the future.</w:t>
      </w:r>
    </w:p>
    <w:p>
      <w:pPr>
        <w:numPr>
          <w:numId w:val="0"/>
        </w:numPr>
        <w:outlineLvl w:val="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 xml:space="preserve">6.4 </w:t>
      </w:r>
      <w:r>
        <w:rPr>
          <w:rFonts w:hint="default" w:ascii="Times New Roman" w:hAnsi="Times New Roman" w:cs="Times New Roman"/>
          <w:b/>
          <w:bCs/>
          <w:sz w:val="28"/>
          <w:szCs w:val="28"/>
          <w:lang w:val="en-US" w:eastAsia="zh-CN"/>
        </w:rPr>
        <w:t>Strengthen intra-industry cooperation</w:t>
      </w:r>
    </w:p>
    <w:p>
      <w:pPr>
        <w:numPr>
          <w:numId w:val="0"/>
        </w:numPr>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No single enterprise can change the trend of the whole industry by itself. If an enterprise wants to maximize the development of the global market, its industry should first be recognized globally. Therefore, Tesla should strengthen cooperation with enterprises in the same industry, exchange needed technologies, share resources and promote the progress of the entire new energy automobile industry.</w:t>
      </w:r>
    </w:p>
    <w:p>
      <w:pPr>
        <w:numPr>
          <w:numId w:val="0"/>
        </w:numPr>
        <w:outlineLvl w:val="0"/>
        <w:rPr>
          <w:rFonts w:hint="default" w:ascii="Times New Roman" w:hAnsi="Times New Roman" w:cs="Times New Roman"/>
          <w:b w:val="0"/>
          <w:bCs w:val="0"/>
          <w:sz w:val="24"/>
          <w:szCs w:val="24"/>
          <w:lang w:val="en-US"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LF-3-36-73768262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kNmEzMjgzODY5OGZjYTkxMjIyY2Y2MDdjNjk3OTMifQ=="/>
  </w:docVars>
  <w:rsids>
    <w:rsidRoot w:val="61A73652"/>
    <w:rsid w:val="04F54777"/>
    <w:rsid w:val="0AB57BC6"/>
    <w:rsid w:val="48C84DD2"/>
    <w:rsid w:val="61A73652"/>
    <w:rsid w:val="7B981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customStyle="1" w:styleId="7">
    <w:name w:val="WPSOffice手动目录 1"/>
    <w:uiPriority w:val="0"/>
    <w:pPr>
      <w:ind w:leftChars="0"/>
    </w:pPr>
    <w:rPr>
      <w:rFonts w:ascii="Times New Roman" w:hAnsi="Times New Roman" w:eastAsia="宋体" w:cs="Times New Roman"/>
      <w:sz w:val="20"/>
      <w:szCs w:val="20"/>
    </w:rPr>
  </w:style>
  <w:style w:type="paragraph" w:customStyle="1" w:styleId="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3683</Words>
  <Characters>21114</Characters>
  <Lines>0</Lines>
  <Paragraphs>0</Paragraphs>
  <TotalTime>3</TotalTime>
  <ScaleCrop>false</ScaleCrop>
  <LinksUpToDate>false</LinksUpToDate>
  <CharactersWithSpaces>24697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2022-12-16T06:03:00Z</dcterms:created>
  <dc:creator>文档存本地丢失不负责</dc:creator>
  <cp:lastModifiedBy>13776</cp:lastModifiedBy>
  <dcterms:modified xsi:type="dcterms:W3CDTF">2023-04-24T18:35:07Z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C76B384D24904F9F83921A2F909BE1E6_13</vt:lpwstr>
  </property>
</Properties>
</file>