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B848594">
      <w:r w:rsidR="57E1622E">
        <w:rPr/>
        <w:t>Childrens</w:t>
      </w:r>
      <w:r w:rsidR="57E1622E">
        <w:rPr/>
        <w:t xml:space="preserve"> play</w:t>
      </w:r>
    </w:p>
    <w:p w:rsidR="57E1622E" w:rsidRDefault="57E1622E" w14:paraId="0BFB1C7F" w14:textId="223EC4B2">
      <w:r w:rsidR="57E1622E">
        <w:rPr/>
        <w:t>EC</w:t>
      </w:r>
    </w:p>
    <w:p w:rsidR="57E1622E" w:rsidRDefault="57E1622E" w14:paraId="1B1EB815" w14:textId="7FFBEB6E">
      <w:r w:rsidR="57E1622E">
        <w:rPr/>
        <w:t>2513721</w:t>
      </w:r>
    </w:p>
    <w:p w:rsidR="57E1622E" w:rsidRDefault="57E1622E" w14:paraId="21892C31" w14:textId="5DB8D081">
      <w:r w:rsidR="57E1622E">
        <w:rPr/>
        <w:t>Word count</w:t>
      </w:r>
      <w:r w:rsidR="19E265D3">
        <w:rPr/>
        <w:t xml:space="preserve"> 780</w:t>
      </w:r>
    </w:p>
    <w:p w:rsidR="57E1622E" w:rsidRDefault="57E1622E" w14:paraId="7396BF67" w14:textId="7C7AEBAB">
      <w:r w:rsidR="57E1622E">
        <w:rPr/>
        <w:t xml:space="preserve">Part 1 </w:t>
      </w:r>
    </w:p>
    <w:p w:rsidR="5ED2A312" w:rsidRDefault="5ED2A312" w14:paraId="32FCC04A" w14:textId="1B6997F8"/>
    <w:p w:rsidR="5ED2A312" w:rsidRDefault="5ED2A312" w14:paraId="62369E90" w14:textId="6DADFF5E"/>
    <w:p w:rsidR="5ED2A312" w:rsidRDefault="5ED2A312" w14:paraId="5C24E972" w14:textId="218528C7"/>
    <w:p w:rsidR="5ED2A312" w:rsidRDefault="5ED2A312" w14:paraId="0930599D" w14:textId="08E8729B"/>
    <w:p w:rsidR="5ED2A312" w:rsidRDefault="5ED2A312" w14:paraId="297D46E3" w14:textId="1B142B3A"/>
    <w:p w:rsidR="5ED2A312" w:rsidRDefault="5ED2A312" w14:paraId="4A3E1A46" w14:textId="4D48E7F9"/>
    <w:p w:rsidR="5ED2A312" w:rsidRDefault="5ED2A312" w14:paraId="1BCF693E" w14:textId="15650B3E"/>
    <w:p w:rsidR="5ED2A312" w:rsidRDefault="5ED2A312" w14:paraId="5D6CE401" w14:textId="7A4B6CD6"/>
    <w:p w:rsidR="5ED2A312" w:rsidRDefault="5ED2A312" w14:paraId="4B5D7CEE" w14:textId="6931FEA0"/>
    <w:p w:rsidR="5ED2A312" w:rsidRDefault="5ED2A312" w14:paraId="731A8D93" w14:textId="3EC178A3"/>
    <w:p w:rsidR="5ED2A312" w:rsidRDefault="5ED2A312" w14:paraId="4AE736BD" w14:textId="0F4D2F13"/>
    <w:p w:rsidR="5ED2A312" w:rsidRDefault="5ED2A312" w14:paraId="0050ACAD" w14:textId="48E6A81A"/>
    <w:p w:rsidR="5ED2A312" w:rsidRDefault="5ED2A312" w14:paraId="6A272003" w14:textId="2A977604"/>
    <w:p w:rsidR="5ED2A312" w:rsidRDefault="5ED2A312" w14:paraId="5D223170" w14:textId="087A36B9"/>
    <w:p w:rsidR="5ED2A312" w:rsidRDefault="5ED2A312" w14:paraId="26CEE0B0" w14:textId="76E83F6E"/>
    <w:p w:rsidR="5ED2A312" w:rsidRDefault="5ED2A312" w14:paraId="2B2DFB43" w14:textId="0D18DE79"/>
    <w:p w:rsidR="5ED2A312" w:rsidRDefault="5ED2A312" w14:paraId="22295386" w14:textId="6D414E51"/>
    <w:p w:rsidR="5ED2A312" w:rsidRDefault="5ED2A312" w14:paraId="632BD143" w14:textId="3FD9B5CC"/>
    <w:p w:rsidR="5ED2A312" w:rsidRDefault="5ED2A312" w14:paraId="720CF1FB" w14:textId="63C7434E"/>
    <w:p w:rsidR="5ED2A312" w:rsidRDefault="5ED2A312" w14:paraId="6B5A56EA" w14:textId="159102D5"/>
    <w:p w:rsidR="5ED2A312" w:rsidRDefault="5ED2A312" w14:paraId="33DA1C5F" w14:textId="59FD6CC8"/>
    <w:p w:rsidR="5ED2A312" w:rsidRDefault="5ED2A312" w14:paraId="053B2B04" w14:textId="09978C7F"/>
    <w:p w:rsidR="5ED2A312" w:rsidRDefault="5ED2A312" w14:paraId="2D21F5AB" w14:textId="669AAFC7"/>
    <w:p w:rsidR="5ED2A312" w:rsidRDefault="5ED2A312" w14:paraId="212F6095" w14:textId="3F5AEF54"/>
    <w:p w:rsidR="5ED2A312" w:rsidRDefault="5ED2A312" w14:paraId="3E221484" w14:textId="647A9B48"/>
    <w:p w:rsidR="5ED2A312" w:rsidRDefault="5ED2A312" w14:paraId="684DF1D4" w14:textId="69AC2319"/>
    <w:p w:rsidR="5ED2A312" w:rsidRDefault="5ED2A312" w14:paraId="70AF93A9" w14:textId="1815C072"/>
    <w:p w:rsidR="605C1C3F" w:rsidP="5ED2A312" w:rsidRDefault="605C1C3F" w14:paraId="594207DB" w14:textId="3B8DA2BF">
      <w:pPr>
        <w:pStyle w:val="ListParagraph"/>
        <w:numPr>
          <w:ilvl w:val="0"/>
          <w:numId w:val="1"/>
        </w:numPr>
        <w:rPr>
          <w:b w:val="1"/>
          <w:bCs w:val="1"/>
          <w:sz w:val="28"/>
          <w:szCs w:val="28"/>
        </w:rPr>
      </w:pPr>
      <w:r w:rsidRPr="5ED2A312" w:rsidR="605C1C3F">
        <w:rPr>
          <w:b w:val="1"/>
          <w:bCs w:val="1"/>
          <w:sz w:val="28"/>
          <w:szCs w:val="28"/>
        </w:rPr>
        <w:t>Evidence of a clear understanding of the importance of a variety of play types. The signi</w:t>
      </w:r>
      <w:r w:rsidRPr="5ED2A312" w:rsidR="12C3E9EE">
        <w:rPr>
          <w:b w:val="1"/>
          <w:bCs w:val="1"/>
          <w:sz w:val="28"/>
          <w:szCs w:val="28"/>
        </w:rPr>
        <w:t xml:space="preserve">ficance of holistic play should be considered. </w:t>
      </w:r>
    </w:p>
    <w:p w:rsidR="5ED2A312" w:rsidP="5ED2A312" w:rsidRDefault="5ED2A312" w14:paraId="0EB89067" w14:textId="4CE55255">
      <w:pPr>
        <w:pStyle w:val="Heading2"/>
        <w:ind w:left="720"/>
        <w:rPr>
          <w:b w:val="0"/>
          <w:bCs w:val="0"/>
          <w:sz w:val="24"/>
          <w:szCs w:val="24"/>
        </w:rPr>
      </w:pPr>
    </w:p>
    <w:p w:rsidR="132C4370" w:rsidP="5ED2A312" w:rsidRDefault="132C4370" w14:paraId="47268544" w14:textId="5CA9972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noProof w:val="0"/>
          <w:color w:val="000000" w:themeColor="text1" w:themeTint="FF" w:themeShade="FF"/>
          <w:sz w:val="28"/>
          <w:szCs w:val="28"/>
          <w:lang w:val="en-GB"/>
        </w:rPr>
        <w:t xml:space="preserve">Play is commonly associated with childhood and is widely recognised as a fundamental component of a child’s holistic development and learning. Through play, children actively construct meaning about the world around them, drawing on their experiences, relationships and interactions with their environment (Waters-Davies, 2022). Waters-Davies further argues that play supports development across all domains, including cognitive, social, emotional and physical development. Central to play is the concept of independence, as play provides children with opportunities to make choices, initiate learning and develop confidence in their own abilities. </w:t>
      </w:r>
      <w:r w:rsidRPr="5ED2A312" w:rsidR="132C4370">
        <w:rPr>
          <w:rFonts w:ascii="Arial Nova" w:hAnsi="Arial Nova" w:eastAsia="Arial Nova" w:cs="Arial Nova"/>
          <w:b w:val="1"/>
          <w:bCs w:val="1"/>
          <w:noProof w:val="0"/>
          <w:color w:val="000000" w:themeColor="text1" w:themeTint="FF" w:themeShade="FF"/>
          <w:sz w:val="28"/>
          <w:szCs w:val="28"/>
          <w:lang w:val="en-GB"/>
        </w:rPr>
        <w:t>Waters-Davies also argues that academics have found it difficult to define play, as what constitutes play is ultimately determined by the child and may differ between individuals. This highlights the subjective nature of play and suggests that definitions should focus less on rigid criteria and more on the value and purpose play provides for children.</w:t>
      </w:r>
    </w:p>
    <w:p w:rsidR="132C4370" w:rsidP="5ED2A312" w:rsidRDefault="132C4370" w14:paraId="3C2D4C55" w14:textId="69F5FA6D">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noProof w:val="0"/>
          <w:color w:val="000000" w:themeColor="text1" w:themeTint="FF" w:themeShade="FF"/>
          <w:sz w:val="28"/>
          <w:szCs w:val="28"/>
          <w:lang w:val="en-GB"/>
        </w:rPr>
        <w:t xml:space="preserve">This child-centred understanding of play is further reinforced by Welsh Early Childhood Play, Learning and Care (ECPLC) guidance, which promotes high-quality, play-based learning experiences rooted in children’s rights and developmentally appropriate practice. The guidance highlights the importance of recognising each child as unique and emphasises the need for practitioners to observe, listen and respond to children’s individual interests and needs, rather than adopting a ‘one size fits all’ approach (Welsh Government, 2025). This strengthens the argument that play is not only a natural activity for children, but a purposeful and powerful process that supports confidence, curiosity and strong foundations for lifelong learning. </w:t>
      </w:r>
    </w:p>
    <w:p w:rsidR="132C4370" w:rsidP="5ED2A312" w:rsidRDefault="132C4370" w14:paraId="6132E04E" w14:textId="42D3FA2D">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noProof w:val="0"/>
          <w:color w:val="000000" w:themeColor="text1" w:themeTint="FF" w:themeShade="FF"/>
          <w:sz w:val="28"/>
          <w:szCs w:val="28"/>
          <w:lang w:val="en-GB"/>
        </w:rPr>
        <w:t>Therefore, play should be understood as a holistic process, supporting interconnected aspects of development rather than isolated skills, enabling children to develop physically, emotionally, socially and cognitively through meaningful experiences.</w:t>
      </w:r>
    </w:p>
    <w:p w:rsidR="5ED2A312" w:rsidP="5ED2A312" w:rsidRDefault="5ED2A312" w14:paraId="7F635A69" w14:textId="17C51122">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132C4370" w:rsidP="5ED2A312" w:rsidRDefault="132C4370" w14:paraId="117CED09" w14:textId="2A44BC7F">
      <w:pPr>
        <w:pStyle w:val="Heading2"/>
        <w:keepNext w:val="1"/>
        <w:keepLines w:val="1"/>
        <w:spacing w:before="299" w:beforeAutospacing="off" w:after="299" w:afterAutospacing="off"/>
        <w:jc w:val="left"/>
        <w:rPr>
          <w:rFonts w:ascii="Arial Nova" w:hAnsi="Arial Nova" w:eastAsia="Arial Nova" w:cs="Arial Nova"/>
          <w:noProof w:val="0"/>
          <w:color w:val="000000" w:themeColor="text1" w:themeTint="FF" w:themeShade="FF"/>
          <w:sz w:val="36"/>
          <w:szCs w:val="36"/>
          <w:lang w:val="en-GB"/>
        </w:rPr>
      </w:pPr>
      <w:r w:rsidRPr="5ED2A312" w:rsidR="132C4370">
        <w:rPr>
          <w:rFonts w:ascii="Arial Nova" w:hAnsi="Arial Nova" w:eastAsia="Arial Nova" w:cs="Arial Nova"/>
          <w:b w:val="1"/>
          <w:bCs w:val="1"/>
          <w:noProof w:val="0"/>
          <w:color w:val="000000" w:themeColor="text1" w:themeTint="FF" w:themeShade="FF"/>
          <w:sz w:val="36"/>
          <w:szCs w:val="36"/>
          <w:lang w:val="en-GB"/>
        </w:rPr>
        <w:t>Physical play</w:t>
      </w:r>
    </w:p>
    <w:p w:rsidR="132C4370" w:rsidP="5ED2A312" w:rsidRDefault="132C4370" w14:paraId="306F5E7B" w14:textId="001D7AA4">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noProof w:val="0"/>
          <w:color w:val="000000" w:themeColor="text1" w:themeTint="FF" w:themeShade="FF"/>
          <w:sz w:val="28"/>
          <w:szCs w:val="28"/>
          <w:lang w:val="en-GB"/>
        </w:rPr>
        <w:t xml:space="preserve">Physical play is a vital aspect of children’s development and is particularly significant within outdoor environments, where children have greater freedom of movement and opportunity for exploration. Outdoor physical play allows children to test ideas, experiment with movement and engage in adventurous and challenging experiences. </w:t>
      </w:r>
      <w:r w:rsidRPr="5ED2A312" w:rsidR="132C4370">
        <w:rPr>
          <w:rFonts w:ascii="Arial Nova" w:hAnsi="Arial Nova" w:eastAsia="Arial Nova" w:cs="Arial Nova"/>
          <w:b w:val="1"/>
          <w:bCs w:val="1"/>
          <w:noProof w:val="0"/>
          <w:color w:val="000000" w:themeColor="text1" w:themeTint="FF" w:themeShade="FF"/>
          <w:sz w:val="28"/>
          <w:szCs w:val="28"/>
          <w:lang w:val="en-GB"/>
        </w:rPr>
        <w:t xml:space="preserve">Tovey (2014) </w:t>
      </w:r>
      <w:r w:rsidRPr="5ED2A312" w:rsidR="132C4370">
        <w:rPr>
          <w:rFonts w:ascii="Arial Nova" w:hAnsi="Arial Nova" w:eastAsia="Arial Nova" w:cs="Arial Nova"/>
          <w:noProof w:val="0"/>
          <w:color w:val="000000" w:themeColor="text1" w:themeTint="FF" w:themeShade="FF"/>
          <w:sz w:val="28"/>
          <w:szCs w:val="28"/>
          <w:lang w:val="en-GB"/>
        </w:rPr>
        <w:t>emphasises that outdoor environments support children to be curious and adventurous, encouraging them to take manageable risks and engage with uncertainty. This supports children’s confidence, independence and decision-making as they explore their physical capabilities.</w:t>
      </w:r>
    </w:p>
    <w:p w:rsidR="132C4370" w:rsidP="5ED2A312" w:rsidRDefault="132C4370" w14:paraId="2232250B" w14:textId="415B24A2">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b w:val="1"/>
          <w:bCs w:val="1"/>
          <w:noProof w:val="0"/>
          <w:color w:val="000000" w:themeColor="text1" w:themeTint="FF" w:themeShade="FF"/>
          <w:sz w:val="28"/>
          <w:szCs w:val="28"/>
          <w:lang w:val="en-GB"/>
        </w:rPr>
        <w:t>Tovey (2014)</w:t>
      </w:r>
      <w:r w:rsidRPr="5ED2A312" w:rsidR="132C4370">
        <w:rPr>
          <w:rFonts w:ascii="Arial Nova" w:hAnsi="Arial Nova" w:eastAsia="Arial Nova" w:cs="Arial Nova"/>
          <w:noProof w:val="0"/>
          <w:color w:val="000000" w:themeColor="text1" w:themeTint="FF" w:themeShade="FF"/>
          <w:sz w:val="28"/>
          <w:szCs w:val="28"/>
          <w:lang w:val="en-GB"/>
        </w:rPr>
        <w:t xml:space="preserve"> highlights that outdoor physical play often involves expansive, whole-body movement such as climbing, balancing, running and navigating uneven terrain. These experiences support not only physical development, but also emotional and cognitive growth, as children learn to assess risk, problem-solve and persist through challenge. The dynamic and unpredictable nature of outdoor environments provides unique opportunities for exploration that contrast with more static indoor spaces. </w:t>
      </w:r>
    </w:p>
    <w:p w:rsidR="132C4370" w:rsidP="5ED2A312" w:rsidRDefault="132C4370" w14:paraId="477067CD" w14:textId="122E4244">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noProof w:val="0"/>
          <w:color w:val="000000" w:themeColor="text1" w:themeTint="FF" w:themeShade="FF"/>
          <w:sz w:val="28"/>
          <w:szCs w:val="28"/>
          <w:lang w:val="en-GB"/>
        </w:rPr>
        <w:t xml:space="preserve">Within the Welsh context Physical play also supports the development of physical literacy, which refers to a child’s confidence, competence, motivation and enjoyment in movement. Within Wales, programmes such as </w:t>
      </w:r>
      <w:r w:rsidRPr="5ED2A312" w:rsidR="132C4370">
        <w:rPr>
          <w:rFonts w:ascii="Arial Nova" w:hAnsi="Arial Nova" w:eastAsia="Arial Nova" w:cs="Arial Nova"/>
          <w:b w:val="1"/>
          <w:bCs w:val="1"/>
          <w:noProof w:val="0"/>
          <w:color w:val="000000" w:themeColor="text1" w:themeTint="FF" w:themeShade="FF"/>
          <w:sz w:val="28"/>
          <w:szCs w:val="28"/>
          <w:lang w:val="en-GB"/>
        </w:rPr>
        <w:t>SKIP‑Cymru</w:t>
      </w:r>
      <w:r w:rsidRPr="5ED2A312" w:rsidR="132C4370">
        <w:rPr>
          <w:rFonts w:ascii="Arial Nova" w:hAnsi="Arial Nova" w:eastAsia="Arial Nova" w:cs="Arial Nova"/>
          <w:noProof w:val="0"/>
          <w:color w:val="000000" w:themeColor="text1" w:themeTint="FF" w:themeShade="FF"/>
          <w:sz w:val="28"/>
          <w:szCs w:val="28"/>
          <w:lang w:val="en-GB"/>
        </w:rPr>
        <w:t xml:space="preserve"> emphasise that while play-based learning provides many opportunities for movement, children also require skilled adult support to develop foundational motor skills. Research underpinning SKIP-Cymru highlights that teaching children how to move effectively supports confidence and motivation, enabling them to engage more fully in physical play and establish positive attitudes towards physical activity. By combining playful movement with intentional skill development, practitioners support children to become confident, competent movers and lay the foundations for lifelong physical and mental wellbeing.</w:t>
      </w:r>
    </w:p>
    <w:p w:rsidR="5ED2A312" w:rsidP="5ED2A312" w:rsidRDefault="5ED2A312" w14:paraId="7AFFDE7E" w14:textId="40CED3F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132C4370" w:rsidP="5ED2A312" w:rsidRDefault="132C4370" w14:paraId="4DACB059" w14:textId="1C816B7E">
      <w:pPr>
        <w:pStyle w:val="Heading3"/>
        <w:keepNext w:val="1"/>
        <w:keepLines w:val="1"/>
        <w:spacing w:before="281" w:beforeAutospacing="off" w:after="281"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b w:val="1"/>
          <w:bCs w:val="1"/>
          <w:noProof w:val="0"/>
          <w:color w:val="000000" w:themeColor="text1" w:themeTint="FF" w:themeShade="FF"/>
          <w:sz w:val="28"/>
          <w:szCs w:val="28"/>
          <w:lang w:val="en-GB"/>
        </w:rPr>
        <w:t>Imaginative Play</w:t>
      </w:r>
    </w:p>
    <w:p w:rsidR="132C4370" w:rsidP="5ED2A312" w:rsidRDefault="132C4370" w14:paraId="0696A5B9" w14:textId="14B0D255">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noProof w:val="0"/>
          <w:color w:val="000000" w:themeColor="text1" w:themeTint="FF" w:themeShade="FF"/>
          <w:sz w:val="28"/>
          <w:szCs w:val="28"/>
          <w:lang w:val="en-GB"/>
        </w:rPr>
        <w:t>Imaginative or symbolic play is particularly significant in supporting cognitive and social development. Lev Vygotsky (1978) argued that during imaginative play, children operate beyond their current level of functioning within the Zone of Proximal Development, engaging in behaviours and language that exceed their everyday capabilities. Through role play, children rehearse social roles, regulate their behaviour and develop abstract thinking.</w:t>
      </w:r>
    </w:p>
    <w:p w:rsidR="132C4370" w:rsidP="5ED2A312" w:rsidRDefault="132C4370" w14:paraId="0962F737" w14:textId="6721063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noProof w:val="0"/>
          <w:color w:val="000000" w:themeColor="text1" w:themeTint="FF" w:themeShade="FF"/>
          <w:sz w:val="28"/>
          <w:szCs w:val="28"/>
          <w:lang w:val="en-GB"/>
        </w:rPr>
        <w:t xml:space="preserve">Freely chosen symbolic play allows children to explore identity, </w:t>
      </w:r>
      <w:r w:rsidRPr="5ED2A312" w:rsidR="132C4370">
        <w:rPr>
          <w:rFonts w:ascii="Arial Nova" w:hAnsi="Arial Nova" w:eastAsia="Arial Nova" w:cs="Arial Nova"/>
          <w:noProof w:val="0"/>
          <w:color w:val="000000" w:themeColor="text1" w:themeTint="FF" w:themeShade="FF"/>
          <w:sz w:val="28"/>
          <w:szCs w:val="28"/>
          <w:lang w:val="en-GB"/>
        </w:rPr>
        <w:t>emotions</w:t>
      </w:r>
      <w:r w:rsidRPr="5ED2A312" w:rsidR="132C4370">
        <w:rPr>
          <w:rFonts w:ascii="Arial Nova" w:hAnsi="Arial Nova" w:eastAsia="Arial Nova" w:cs="Arial Nova"/>
          <w:noProof w:val="0"/>
          <w:color w:val="000000" w:themeColor="text1" w:themeTint="FF" w:themeShade="FF"/>
          <w:sz w:val="28"/>
          <w:szCs w:val="28"/>
          <w:lang w:val="en-GB"/>
        </w:rPr>
        <w:t xml:space="preserve"> and relationships within a safe psychological space. When children assign roles, create narratives and negotiate rules, they develop communication skills, </w:t>
      </w:r>
      <w:r w:rsidRPr="5ED2A312" w:rsidR="132C4370">
        <w:rPr>
          <w:rFonts w:ascii="Arial Nova" w:hAnsi="Arial Nova" w:eastAsia="Arial Nova" w:cs="Arial Nova"/>
          <w:noProof w:val="0"/>
          <w:color w:val="000000" w:themeColor="text1" w:themeTint="FF" w:themeShade="FF"/>
          <w:sz w:val="28"/>
          <w:szCs w:val="28"/>
          <w:lang w:val="en-GB"/>
        </w:rPr>
        <w:t>empathy</w:t>
      </w:r>
      <w:r w:rsidRPr="5ED2A312" w:rsidR="132C4370">
        <w:rPr>
          <w:rFonts w:ascii="Arial Nova" w:hAnsi="Arial Nova" w:eastAsia="Arial Nova" w:cs="Arial Nova"/>
          <w:noProof w:val="0"/>
          <w:color w:val="000000" w:themeColor="text1" w:themeTint="FF" w:themeShade="FF"/>
          <w:sz w:val="28"/>
          <w:szCs w:val="28"/>
          <w:lang w:val="en-GB"/>
        </w:rPr>
        <w:t xml:space="preserve"> and self-regulation. However, if adult's over-direct scenarios, the spontaneous problem-solving and creativity inherent in play may be diminished. Therefore, the adult’s role is to sensitively extend thinking through open-ended questioning and appropriate </w:t>
      </w:r>
      <w:r w:rsidRPr="5ED2A312" w:rsidR="132C4370">
        <w:rPr>
          <w:rFonts w:ascii="Arial Nova" w:hAnsi="Arial Nova" w:eastAsia="Arial Nova" w:cs="Arial Nova"/>
          <w:noProof w:val="0"/>
          <w:color w:val="000000" w:themeColor="text1" w:themeTint="FF" w:themeShade="FF"/>
          <w:sz w:val="28"/>
          <w:szCs w:val="28"/>
          <w:lang w:val="en-GB"/>
        </w:rPr>
        <w:t>resource provision</w:t>
      </w:r>
      <w:r w:rsidRPr="5ED2A312" w:rsidR="132C4370">
        <w:rPr>
          <w:rFonts w:ascii="Arial Nova" w:hAnsi="Arial Nova" w:eastAsia="Arial Nova" w:cs="Arial Nova"/>
          <w:noProof w:val="0"/>
          <w:color w:val="000000" w:themeColor="text1" w:themeTint="FF" w:themeShade="FF"/>
          <w:sz w:val="28"/>
          <w:szCs w:val="28"/>
          <w:lang w:val="en-GB"/>
        </w:rPr>
        <w:t xml:space="preserve"> rather than controlling the narrative.</w:t>
      </w:r>
    </w:p>
    <w:p w:rsidR="132C4370" w:rsidP="5ED2A312" w:rsidRDefault="132C4370" w14:paraId="6F7146CF" w14:textId="03EBC487">
      <w:pPr>
        <w:spacing w:before="240" w:beforeAutospacing="off" w:after="240" w:afterAutospacing="off"/>
        <w:jc w:val="left"/>
        <w:rPr>
          <w:rFonts w:ascii="Arial Nova" w:hAnsi="Arial Nova" w:eastAsia="Arial Nova" w:cs="Arial Nova"/>
          <w:noProof w:val="0"/>
          <w:color w:val="FF0000"/>
          <w:sz w:val="28"/>
          <w:szCs w:val="28"/>
          <w:lang w:val="en-GB"/>
        </w:rPr>
      </w:pPr>
      <w:r w:rsidRPr="5ED2A312" w:rsidR="132C4370">
        <w:rPr>
          <w:rFonts w:ascii="Arial Nova" w:hAnsi="Arial Nova" w:eastAsia="Arial Nova" w:cs="Arial Nova"/>
          <w:noProof w:val="0"/>
          <w:color w:val="000000" w:themeColor="text1" w:themeTint="FF" w:themeShade="FF"/>
          <w:sz w:val="28"/>
          <w:szCs w:val="28"/>
          <w:lang w:val="en-GB"/>
        </w:rPr>
        <w:t xml:space="preserve">Jean Piaget (1962) </w:t>
      </w:r>
      <w:r w:rsidRPr="5ED2A312" w:rsidR="132C4370">
        <w:rPr>
          <w:rFonts w:ascii="Arial Nova" w:hAnsi="Arial Nova" w:eastAsia="Arial Nova" w:cs="Arial Nova"/>
          <w:noProof w:val="0"/>
          <w:color w:val="000000" w:themeColor="text1" w:themeTint="FF" w:themeShade="FF"/>
          <w:sz w:val="28"/>
          <w:szCs w:val="28"/>
          <w:lang w:val="en-GB"/>
        </w:rPr>
        <w:t>identified</w:t>
      </w:r>
      <w:r w:rsidRPr="5ED2A312" w:rsidR="132C4370">
        <w:rPr>
          <w:rFonts w:ascii="Arial Nova" w:hAnsi="Arial Nova" w:eastAsia="Arial Nova" w:cs="Arial Nova"/>
          <w:noProof w:val="0"/>
          <w:color w:val="000000" w:themeColor="text1" w:themeTint="FF" w:themeShade="FF"/>
          <w:sz w:val="28"/>
          <w:szCs w:val="28"/>
          <w:lang w:val="en-GB"/>
        </w:rPr>
        <w:t xml:space="preserve"> the preoperational stage</w:t>
      </w:r>
      <w:r w:rsidRPr="5ED2A312" w:rsidR="10C8D04E">
        <w:rPr>
          <w:rFonts w:ascii="Arial Nova" w:hAnsi="Arial Nova" w:eastAsia="Arial Nova" w:cs="Arial Nova"/>
          <w:noProof w:val="0"/>
          <w:color w:val="000000" w:themeColor="text1" w:themeTint="FF" w:themeShade="FF"/>
          <w:sz w:val="28"/>
          <w:szCs w:val="28"/>
          <w:lang w:val="en-GB"/>
        </w:rPr>
        <w:t xml:space="preserve">, </w:t>
      </w:r>
      <w:r w:rsidRPr="5ED2A312" w:rsidR="10C8D04E">
        <w:rPr>
          <w:rFonts w:ascii="Arial Nova" w:hAnsi="Arial Nova" w:eastAsia="Arial Nova" w:cs="Arial Nova"/>
          <w:noProof w:val="0"/>
          <w:color w:val="000000" w:themeColor="text1" w:themeTint="FF" w:themeShade="FF"/>
          <w:sz w:val="28"/>
          <w:szCs w:val="28"/>
          <w:lang w:val="en-GB"/>
        </w:rPr>
        <w:t>a</w:t>
      </w:r>
      <w:r w:rsidRPr="5ED2A312" w:rsidR="132C4370">
        <w:rPr>
          <w:rFonts w:ascii="Arial Nova" w:hAnsi="Arial Nova" w:eastAsia="Arial Nova" w:cs="Arial Nova"/>
          <w:noProof w:val="0"/>
          <w:color w:val="000000" w:themeColor="text1" w:themeTint="FF" w:themeShade="FF"/>
          <w:sz w:val="28"/>
          <w:szCs w:val="28"/>
          <w:lang w:val="en-GB"/>
        </w:rPr>
        <w:t>pproximately 2</w:t>
      </w:r>
      <w:r w:rsidRPr="5ED2A312" w:rsidR="132C4370">
        <w:rPr>
          <w:rFonts w:ascii="Arial Nova" w:hAnsi="Arial Nova" w:eastAsia="Arial Nova" w:cs="Arial Nova"/>
          <w:noProof w:val="0"/>
          <w:color w:val="000000" w:themeColor="text1" w:themeTint="FF" w:themeShade="FF"/>
          <w:sz w:val="28"/>
          <w:szCs w:val="28"/>
          <w:lang w:val="en-GB"/>
        </w:rPr>
        <w:t>–7 years</w:t>
      </w:r>
      <w:r w:rsidRPr="5ED2A312" w:rsidR="3401F964">
        <w:rPr>
          <w:rFonts w:ascii="Arial Nova" w:hAnsi="Arial Nova" w:eastAsia="Arial Nova" w:cs="Arial Nova"/>
          <w:noProof w:val="0"/>
          <w:color w:val="000000" w:themeColor="text1" w:themeTint="FF" w:themeShade="FF"/>
          <w:sz w:val="28"/>
          <w:szCs w:val="28"/>
          <w:lang w:val="en-GB"/>
        </w:rPr>
        <w:t>,</w:t>
      </w:r>
      <w:r w:rsidRPr="5ED2A312" w:rsidR="132C4370">
        <w:rPr>
          <w:rFonts w:ascii="Arial Nova" w:hAnsi="Arial Nova" w:eastAsia="Arial Nova" w:cs="Arial Nova"/>
          <w:noProof w:val="0"/>
          <w:color w:val="000000" w:themeColor="text1" w:themeTint="FF" w:themeShade="FF"/>
          <w:sz w:val="28"/>
          <w:szCs w:val="28"/>
          <w:lang w:val="en-GB"/>
        </w:rPr>
        <w:t xml:space="preserve"> as a period characterised by symbolic thought and intuitive reasoning. During this stage, children use objects and actions to </w:t>
      </w:r>
      <w:r w:rsidRPr="5ED2A312" w:rsidR="132C4370">
        <w:rPr>
          <w:rFonts w:ascii="Arial Nova" w:hAnsi="Arial Nova" w:eastAsia="Arial Nova" w:cs="Arial Nova"/>
          <w:noProof w:val="0"/>
          <w:color w:val="000000" w:themeColor="text1" w:themeTint="FF" w:themeShade="FF"/>
          <w:sz w:val="28"/>
          <w:szCs w:val="28"/>
          <w:lang w:val="en-GB"/>
        </w:rPr>
        <w:t>represent</w:t>
      </w:r>
      <w:r w:rsidRPr="5ED2A312" w:rsidR="132C4370">
        <w:rPr>
          <w:rFonts w:ascii="Arial Nova" w:hAnsi="Arial Nova" w:eastAsia="Arial Nova" w:cs="Arial Nova"/>
          <w:noProof w:val="0"/>
          <w:color w:val="000000" w:themeColor="text1" w:themeTint="FF" w:themeShade="FF"/>
          <w:sz w:val="28"/>
          <w:szCs w:val="28"/>
          <w:lang w:val="en-GB"/>
        </w:rPr>
        <w:t xml:space="preserve"> other experiences, a process described as symbolic representation (My Teaching Cupboard, 2021). Piaget argued that this form of play supports cognitive development by enabling children to construct meaning and </w:t>
      </w:r>
      <w:r w:rsidRPr="5ED2A312" w:rsidR="132C4370">
        <w:rPr>
          <w:rFonts w:ascii="Arial Nova" w:hAnsi="Arial Nova" w:eastAsia="Arial Nova" w:cs="Arial Nova"/>
          <w:noProof w:val="0"/>
          <w:color w:val="000000" w:themeColor="text1" w:themeTint="FF" w:themeShade="FF"/>
          <w:sz w:val="28"/>
          <w:szCs w:val="28"/>
          <w:lang w:val="en-GB"/>
        </w:rPr>
        <w:t>consolidate</w:t>
      </w:r>
      <w:r w:rsidRPr="5ED2A312" w:rsidR="132C4370">
        <w:rPr>
          <w:rFonts w:ascii="Arial Nova" w:hAnsi="Arial Nova" w:eastAsia="Arial Nova" w:cs="Arial Nova"/>
          <w:noProof w:val="0"/>
          <w:color w:val="000000" w:themeColor="text1" w:themeTint="FF" w:themeShade="FF"/>
          <w:sz w:val="28"/>
          <w:szCs w:val="28"/>
          <w:lang w:val="en-GB"/>
        </w:rPr>
        <w:t xml:space="preserve"> emerging language and concepts. However, later theorists suggest he underestimated the social dimension of play, highlighting the greater emphasis Vygotsky placed on social interaction in cognitive development.</w:t>
      </w:r>
      <w:r w:rsidRPr="5ED2A312" w:rsidR="132C4370">
        <w:rPr>
          <w:rFonts w:ascii="Arial Nova" w:hAnsi="Arial Nova" w:eastAsia="Arial Nova" w:cs="Arial Nova"/>
          <w:noProof w:val="0"/>
          <w:color w:val="FF0000"/>
          <w:sz w:val="28"/>
          <w:szCs w:val="28"/>
          <w:lang w:val="en-GB"/>
        </w:rPr>
        <w:t xml:space="preserve"> </w:t>
      </w:r>
    </w:p>
    <w:p w:rsidR="132C4370" w:rsidP="5ED2A312" w:rsidRDefault="132C4370" w14:paraId="31F5BF79" w14:textId="38F8018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32C4370">
        <w:rPr>
          <w:rFonts w:ascii="Arial Nova" w:hAnsi="Arial Nova" w:eastAsia="Arial Nova" w:cs="Arial Nova"/>
          <w:noProof w:val="0"/>
          <w:color w:val="000000" w:themeColor="text1" w:themeTint="FF" w:themeShade="FF"/>
          <w:sz w:val="28"/>
          <w:szCs w:val="28"/>
          <w:lang w:val="en-GB"/>
        </w:rPr>
        <w:t>Observing children during self-directed play provides insight into their interests and developmental progress, enabling practitioners to plan responsive environments that reflect children’s individual needs (Welsh Government, 2025).</w:t>
      </w:r>
      <w:r w:rsidRPr="5ED2A312" w:rsidR="105ECB43">
        <w:rPr>
          <w:rFonts w:ascii="Arial Nova" w:hAnsi="Arial Nova" w:eastAsia="Arial Nova" w:cs="Arial Nova"/>
          <w:noProof w:val="0"/>
          <w:color w:val="000000" w:themeColor="text1" w:themeTint="FF" w:themeShade="FF"/>
          <w:sz w:val="28"/>
          <w:szCs w:val="28"/>
          <w:lang w:val="en-GB"/>
        </w:rPr>
        <w:t xml:space="preserve"> </w:t>
      </w:r>
    </w:p>
    <w:p w:rsidR="5ED2A312" w:rsidP="5ED2A312" w:rsidRDefault="5ED2A312" w14:paraId="71EF006D" w14:textId="7398A5C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17B858D3" w14:textId="7377874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68BBB1DD" w14:textId="4E382867">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43DCB1BF" w14:textId="46A9CF3E">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1EE411BF" w14:textId="66ABFF3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09D0D913" w14:textId="296EA50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1983BD20" w14:textId="0E1284BE">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73F02653" w14:textId="7ADF91BF">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38B6603A" w14:textId="773E841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4BCF6D88" w14:textId="64656B77">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15CCABAA" w14:textId="6A726900">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34E4147B" w14:textId="4E82078D">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105ECB43" w:rsidP="5ED2A312" w:rsidRDefault="105ECB43" w14:paraId="56FDBA5A" w14:textId="025B08E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105ECB43">
        <w:rPr>
          <w:rFonts w:ascii="Arial Nova" w:hAnsi="Arial Nova" w:eastAsia="Arial Nova" w:cs="Arial Nova"/>
          <w:noProof w:val="0"/>
          <w:color w:val="000000" w:themeColor="text1" w:themeTint="FF" w:themeShade="FF"/>
          <w:sz w:val="28"/>
          <w:szCs w:val="28"/>
          <w:lang w:val="en-GB"/>
        </w:rPr>
        <w:t xml:space="preserve">Part 2 </w:t>
      </w:r>
    </w:p>
    <w:p w:rsidR="40EC156A" w:rsidP="5ED2A312" w:rsidRDefault="40EC156A" w14:paraId="38F70FC9" w14:textId="5D810F2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40EC156A">
        <w:rPr>
          <w:rFonts w:ascii="Arial Nova" w:hAnsi="Arial Nova" w:eastAsia="Arial Nova" w:cs="Arial Nova"/>
          <w:noProof w:val="0"/>
          <w:color w:val="000000" w:themeColor="text1" w:themeTint="FF" w:themeShade="FF"/>
          <w:sz w:val="28"/>
          <w:szCs w:val="28"/>
          <w:lang w:val="en-GB"/>
        </w:rPr>
        <w:t xml:space="preserve">Word count </w:t>
      </w:r>
      <w:r w:rsidRPr="5ED2A312" w:rsidR="3B8D5C34">
        <w:rPr>
          <w:rFonts w:ascii="Arial Nova" w:hAnsi="Arial Nova" w:eastAsia="Arial Nova" w:cs="Arial Nova"/>
          <w:noProof w:val="0"/>
          <w:color w:val="000000" w:themeColor="text1" w:themeTint="FF" w:themeShade="FF"/>
          <w:sz w:val="28"/>
          <w:szCs w:val="28"/>
          <w:lang w:val="en-GB"/>
        </w:rPr>
        <w:t>747</w:t>
      </w:r>
    </w:p>
    <w:p w:rsidR="5ED2A312" w:rsidP="5ED2A312" w:rsidRDefault="5ED2A312" w14:paraId="4B43BAA5" w14:textId="0B37AD65">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5C15F6C9" w14:textId="5099C5F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6D8670AF" w14:textId="52F54C5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315FBCE8" w14:textId="615FFAEB">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6768F592" w14:textId="7750AC3F">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63C38C16" w14:textId="3E125462">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427CB3E7" w14:textId="389B68EE">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5835785E" w14:textId="101FCE9B">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5E195632" w14:textId="3C06CADB">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51C81829" w14:textId="1E04FFD5">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3AC447E4" w14:textId="4403DECC">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087F86B2" w14:textId="0FCCC6E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62716DC7" w14:textId="2EAC3F6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40447D07" w14:textId="6A2FFE9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2CCA6BA2" w14:textId="30D2728E">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40EC156A" w:rsidP="5ED2A312" w:rsidRDefault="40EC156A" w14:paraId="2247C58E" w14:textId="31492F57">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40EC156A">
        <w:rPr>
          <w:rFonts w:ascii="Arial Nova" w:hAnsi="Arial Nova" w:eastAsia="Arial Nova" w:cs="Arial Nova"/>
          <w:b w:val="1"/>
          <w:bCs w:val="1"/>
          <w:noProof w:val="0"/>
          <w:color w:val="000000" w:themeColor="text1" w:themeTint="FF" w:themeShade="FF"/>
          <w:sz w:val="28"/>
          <w:szCs w:val="28"/>
          <w:lang w:val="en-GB"/>
        </w:rPr>
        <w:t>2. Evidence of a Clear Understanding of Why It Is Important for Children to Choose Their Own Play and the Importance of the Role of the Adult in Children’s Play</w:t>
      </w:r>
    </w:p>
    <w:p w:rsidR="40EC156A" w:rsidP="5ED2A312" w:rsidRDefault="40EC156A" w14:paraId="17198FC5" w14:textId="72E6430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40EC156A">
        <w:rPr>
          <w:rFonts w:ascii="Arial Nova" w:hAnsi="Arial Nova" w:eastAsia="Arial Nova" w:cs="Arial Nova"/>
          <w:noProof w:val="0"/>
          <w:color w:val="000000" w:themeColor="text1" w:themeTint="FF" w:themeShade="FF"/>
          <w:sz w:val="28"/>
          <w:szCs w:val="28"/>
          <w:lang w:val="en-GB"/>
        </w:rPr>
        <w:t>Play has been recognised within Welsh policy as a fundamental process of learning that has evolved as part of human development. The Welsh Government emphasises that children possess an innate drive to play, and through this self-directed activity they develop across physical, social, emotional, cognitive and creative domains (Welsh Government, 2002). Play is therefore not a trivial or optional activity, but a central mechanism through which children construct meaning and develop competence. Restricting children’s autonomy in play may consequently limit opportunities for holistic development.</w:t>
      </w:r>
    </w:p>
    <w:p w:rsidR="40EC156A" w:rsidP="5ED2A312" w:rsidRDefault="40EC156A" w14:paraId="2162FCAB" w14:textId="2DDB20A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40EC156A">
        <w:rPr>
          <w:rFonts w:ascii="Arial Nova" w:hAnsi="Arial Nova" w:eastAsia="Arial Nova" w:cs="Arial Nova"/>
          <w:noProof w:val="0"/>
          <w:color w:val="000000" w:themeColor="text1" w:themeTint="FF" w:themeShade="FF"/>
          <w:sz w:val="28"/>
          <w:szCs w:val="28"/>
          <w:lang w:val="en-GB"/>
        </w:rPr>
        <w:t>Understanding self-directed play highlights the importance of the adult’s role in creating conditions that enable children to exercise autonomy while remaining supported.</w:t>
      </w:r>
    </w:p>
    <w:p w:rsidR="40EC156A" w:rsidP="5ED2A312" w:rsidRDefault="40EC156A" w14:paraId="5516A5F2" w14:textId="32649CCA">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40EC156A">
        <w:rPr>
          <w:rFonts w:ascii="Arial Nova" w:hAnsi="Arial Nova" w:eastAsia="Arial Nova" w:cs="Arial Nova"/>
          <w:noProof w:val="0"/>
          <w:color w:val="000000" w:themeColor="text1" w:themeTint="FF" w:themeShade="FF"/>
          <w:sz w:val="28"/>
          <w:szCs w:val="28"/>
          <w:lang w:val="en-GB"/>
        </w:rPr>
        <w:t>Self-directed play refers to play that is initiated, controlled and guided by the child rather than directed by adults. Children decide what to play, how to play and how long to engage, driven by intrinsic motivation rather than external outcomes (Welsh Government, 2002).</w:t>
      </w:r>
    </w:p>
    <w:p w:rsidR="40EC156A" w:rsidP="5ED2A312" w:rsidRDefault="40EC156A" w14:paraId="08F8819D" w14:textId="083E1695">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40EC156A">
        <w:rPr>
          <w:rFonts w:ascii="Arial Nova" w:hAnsi="Arial Nova" w:eastAsia="Arial Nova" w:cs="Arial Nova"/>
          <w:noProof w:val="0"/>
          <w:color w:val="000000" w:themeColor="text1" w:themeTint="FF" w:themeShade="FF"/>
          <w:sz w:val="28"/>
          <w:szCs w:val="28"/>
          <w:lang w:val="en-GB"/>
        </w:rPr>
        <w:t>When supporting play, the adult’s role is to guide and assist children with disabilities in developing the skills and confidence needed to become independent and competent players, valuing play for its own purpose. This involves creating environments that respond to individual needs while reducing physical, social and personal barriers that may limit participation. In supporting self-directed play, adults act as scaffolders, providing temporary guidance that enables children to make their own decisions and sustain play independently. Similar to scaffolding used in construction, this support allows development to occur and is gradually withdrawn as children become capable of directing their own play without adult assistance (Bianquin, 2019).</w:t>
      </w:r>
    </w:p>
    <w:p w:rsidR="40EC156A" w:rsidP="5ED2A312" w:rsidRDefault="40EC156A" w14:paraId="426C3F49" w14:textId="137A4D3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40EC156A">
        <w:rPr>
          <w:rFonts w:ascii="Arial Nova" w:hAnsi="Arial Nova" w:eastAsia="Arial Nova" w:cs="Arial Nova"/>
          <w:noProof w:val="0"/>
          <w:color w:val="000000" w:themeColor="text1" w:themeTint="FF" w:themeShade="FF"/>
          <w:sz w:val="28"/>
          <w:szCs w:val="28"/>
          <w:lang w:val="en-GB"/>
        </w:rPr>
        <w:t>Play Policy Wales further defines play as behaviour that is freely chosen, personally directed and intrinsically motivated (Welsh Government, 2002). The absence of an external goal is what gives play its distinctive developmental value, as children can follow their own interests, test hypotheses and build resilience through exploration. This suggests that adult-imposed outcomes, if overly directive, risk undermining the intrinsic motivation that makes play so powerful.</w:t>
      </w:r>
    </w:p>
    <w:p w:rsidR="40EC156A" w:rsidP="5ED2A312" w:rsidRDefault="40EC156A" w14:paraId="22B36724" w14:textId="369EDF97">
      <w:pPr>
        <w:spacing w:before="240" w:beforeAutospacing="off" w:after="240" w:afterAutospacing="off"/>
        <w:jc w:val="left"/>
        <w:rPr>
          <w:rFonts w:ascii="Arial Nova" w:hAnsi="Arial Nova" w:eastAsia="Arial Nova" w:cs="Arial Nova"/>
          <w:noProof w:val="0"/>
          <w:color w:val="auto"/>
          <w:sz w:val="28"/>
          <w:szCs w:val="28"/>
          <w:lang w:val="en-GB"/>
        </w:rPr>
      </w:pPr>
      <w:r w:rsidRPr="5ED2A312" w:rsidR="40EC156A">
        <w:rPr>
          <w:rFonts w:ascii="Arial Nova" w:hAnsi="Arial Nova" w:eastAsia="Arial Nova" w:cs="Arial Nova"/>
          <w:noProof w:val="0"/>
          <w:color w:val="auto"/>
          <w:sz w:val="28"/>
          <w:szCs w:val="28"/>
          <w:lang w:val="en-GB"/>
        </w:rPr>
        <w:t>This conceptualisation of play aligns closely with the Reggio Emilia Play Approach, a child-centred educational philosophy that emphasises children’s active participation in their learning. Within this approach, children are viewed as competent learners who construct knowledge through exploration, creativity and interaction with others and their environment. A core principle of the Reggio Emilia approach is the recognition of the “hundred languages of children</w:t>
      </w:r>
      <w:r w:rsidRPr="5ED2A312" w:rsidR="40EC156A">
        <w:rPr>
          <w:rFonts w:ascii="Arial Nova" w:hAnsi="Arial Nova" w:eastAsia="Arial Nova" w:cs="Arial Nova"/>
          <w:noProof w:val="0"/>
          <w:color w:val="auto"/>
          <w:sz w:val="28"/>
          <w:szCs w:val="28"/>
          <w:lang w:val="en-GB"/>
        </w:rPr>
        <w:t>”,</w:t>
      </w:r>
      <w:r w:rsidRPr="5ED2A312" w:rsidR="40EC156A">
        <w:rPr>
          <w:rFonts w:ascii="Arial Nova" w:hAnsi="Arial Nova" w:eastAsia="Arial Nova" w:cs="Arial Nova"/>
          <w:noProof w:val="0"/>
          <w:color w:val="auto"/>
          <w:sz w:val="28"/>
          <w:szCs w:val="28"/>
          <w:lang w:val="en-GB"/>
        </w:rPr>
        <w:t xml:space="preserve"> which acknowledges that children express their thinking, ideas and understanding in a variety of ways, including through play, movement, </w:t>
      </w:r>
      <w:r w:rsidRPr="5ED2A312" w:rsidR="40EC156A">
        <w:rPr>
          <w:rFonts w:ascii="Arial Nova" w:hAnsi="Arial Nova" w:eastAsia="Arial Nova" w:cs="Arial Nova"/>
          <w:noProof w:val="0"/>
          <w:color w:val="auto"/>
          <w:sz w:val="28"/>
          <w:szCs w:val="28"/>
          <w:lang w:val="en-GB"/>
        </w:rPr>
        <w:t>art</w:t>
      </w:r>
      <w:r w:rsidRPr="5ED2A312" w:rsidR="40EC156A">
        <w:rPr>
          <w:rFonts w:ascii="Arial Nova" w:hAnsi="Arial Nova" w:eastAsia="Arial Nova" w:cs="Arial Nova"/>
          <w:noProof w:val="0"/>
          <w:color w:val="auto"/>
          <w:sz w:val="28"/>
          <w:szCs w:val="28"/>
          <w:lang w:val="en-GB"/>
        </w:rPr>
        <w:t xml:space="preserve"> and storytelling (Pentagon Play, 2023). The approach values autonomy and supports children to lead their own play experiences, while practitioners adopt the role of observers and guides rather than instructors. Additionally, the learning environment is considered a “third teacher</w:t>
      </w:r>
      <w:r w:rsidRPr="5ED2A312" w:rsidR="40EC156A">
        <w:rPr>
          <w:rFonts w:ascii="Arial Nova" w:hAnsi="Arial Nova" w:eastAsia="Arial Nova" w:cs="Arial Nova"/>
          <w:noProof w:val="0"/>
          <w:color w:val="auto"/>
          <w:sz w:val="28"/>
          <w:szCs w:val="28"/>
          <w:lang w:val="en-GB"/>
        </w:rPr>
        <w:t>”,</w:t>
      </w:r>
      <w:r w:rsidRPr="5ED2A312" w:rsidR="40EC156A">
        <w:rPr>
          <w:rFonts w:ascii="Arial Nova" w:hAnsi="Arial Nova" w:eastAsia="Arial Nova" w:cs="Arial Nova"/>
          <w:noProof w:val="0"/>
          <w:color w:val="auto"/>
          <w:sz w:val="28"/>
          <w:szCs w:val="28"/>
          <w:lang w:val="en-GB"/>
        </w:rPr>
        <w:t xml:space="preserve"> playing a crucial role in promoting curiosity, </w:t>
      </w:r>
      <w:r w:rsidRPr="5ED2A312" w:rsidR="40EC156A">
        <w:rPr>
          <w:rFonts w:ascii="Arial Nova" w:hAnsi="Arial Nova" w:eastAsia="Arial Nova" w:cs="Arial Nova"/>
          <w:noProof w:val="0"/>
          <w:color w:val="auto"/>
          <w:sz w:val="28"/>
          <w:szCs w:val="28"/>
          <w:lang w:val="en-GB"/>
        </w:rPr>
        <w:t>problem-solving</w:t>
      </w:r>
      <w:r w:rsidRPr="5ED2A312" w:rsidR="40EC156A">
        <w:rPr>
          <w:rFonts w:ascii="Arial Nova" w:hAnsi="Arial Nova" w:eastAsia="Arial Nova" w:cs="Arial Nova"/>
          <w:noProof w:val="0"/>
          <w:color w:val="auto"/>
          <w:sz w:val="28"/>
          <w:szCs w:val="28"/>
          <w:lang w:val="en-GB"/>
        </w:rPr>
        <w:t xml:space="preserve"> and meaningful learning experiences (Pentagon Play, 2023).</w:t>
      </w:r>
    </w:p>
    <w:p w:rsidR="5ED2A312" w:rsidP="5ED2A312" w:rsidRDefault="5ED2A312" w14:paraId="7A7539FC" w14:textId="7852E808">
      <w:pPr>
        <w:spacing w:before="240" w:beforeAutospacing="off" w:after="240" w:afterAutospacing="off"/>
        <w:jc w:val="left"/>
        <w:rPr>
          <w:rFonts w:ascii="Arial Nova" w:hAnsi="Arial Nova" w:eastAsia="Arial Nova" w:cs="Arial Nova"/>
          <w:noProof w:val="0"/>
          <w:color w:val="auto"/>
          <w:sz w:val="28"/>
          <w:szCs w:val="28"/>
          <w:lang w:val="en-GB"/>
        </w:rPr>
      </w:pPr>
    </w:p>
    <w:p w:rsidR="40EC156A" w:rsidP="5ED2A312" w:rsidRDefault="40EC156A" w14:paraId="04C54A0B" w14:textId="420A86F8">
      <w:pPr>
        <w:spacing w:before="240" w:beforeAutospacing="off" w:after="240" w:afterAutospacing="off"/>
        <w:jc w:val="left"/>
        <w:rPr>
          <w:rFonts w:ascii="Arial Nova" w:hAnsi="Arial Nova" w:eastAsia="Arial Nova" w:cs="Arial Nova"/>
          <w:b w:val="0"/>
          <w:bCs w:val="0"/>
          <w:noProof w:val="0"/>
          <w:color w:val="auto"/>
          <w:sz w:val="28"/>
          <w:szCs w:val="28"/>
          <w:lang w:val="en-GB"/>
        </w:rPr>
      </w:pPr>
      <w:r w:rsidRPr="5ED2A312" w:rsidR="40EC156A">
        <w:rPr>
          <w:rFonts w:ascii="Arial Nova" w:hAnsi="Arial Nova" w:eastAsia="Arial Nova" w:cs="Arial Nova"/>
          <w:noProof w:val="0"/>
          <w:color w:val="auto"/>
          <w:sz w:val="28"/>
          <w:szCs w:val="28"/>
          <w:lang w:val="en-GB"/>
        </w:rPr>
        <w:t xml:space="preserve">A key element of physical play is adventurous or risky play, which is sometimes viewed negatively due to concerns around safety and the potential for injury. As a result, such play may be limited by adult anxiety and risk-averse practice. However, research suggests that risky play is a valuable and necessary part of children’s development. </w:t>
      </w:r>
      <w:r w:rsidRPr="5ED2A312" w:rsidR="40EC156A">
        <w:rPr>
          <w:rFonts w:ascii="Arial Nova" w:hAnsi="Arial Nova" w:eastAsia="Arial Nova" w:cs="Arial Nova"/>
          <w:b w:val="0"/>
          <w:bCs w:val="0"/>
          <w:noProof w:val="0"/>
          <w:color w:val="auto"/>
          <w:sz w:val="28"/>
          <w:szCs w:val="28"/>
          <w:lang w:val="en-GB"/>
        </w:rPr>
        <w:t>Yalcin and Erden (2018)</w:t>
      </w:r>
      <w:r w:rsidRPr="5ED2A312" w:rsidR="40EC156A">
        <w:rPr>
          <w:rFonts w:ascii="Arial Nova" w:hAnsi="Arial Nova" w:eastAsia="Arial Nova" w:cs="Arial Nova"/>
          <w:b w:val="0"/>
          <w:bCs w:val="0"/>
          <w:noProof w:val="0"/>
          <w:color w:val="auto"/>
          <w:sz w:val="28"/>
          <w:szCs w:val="28"/>
          <w:lang w:val="en-GB"/>
        </w:rPr>
        <w:t xml:space="preserve"> </w:t>
      </w:r>
      <w:r w:rsidRPr="5ED2A312" w:rsidR="40EC156A">
        <w:rPr>
          <w:rFonts w:ascii="Arial Nova" w:hAnsi="Arial Nova" w:eastAsia="Arial Nova" w:cs="Arial Nova"/>
          <w:noProof w:val="0"/>
          <w:color w:val="auto"/>
          <w:sz w:val="28"/>
          <w:szCs w:val="28"/>
          <w:lang w:val="en-GB"/>
        </w:rPr>
        <w:t xml:space="preserve">argue that engaging in risky play allows children to develop risk-assessment skills, </w:t>
      </w:r>
      <w:r w:rsidRPr="5ED2A312" w:rsidR="40EC156A">
        <w:rPr>
          <w:rFonts w:ascii="Arial Nova" w:hAnsi="Arial Nova" w:eastAsia="Arial Nova" w:cs="Arial Nova"/>
          <w:noProof w:val="0"/>
          <w:color w:val="auto"/>
          <w:sz w:val="28"/>
          <w:szCs w:val="28"/>
          <w:lang w:val="en-GB"/>
        </w:rPr>
        <w:t>confidence</w:t>
      </w:r>
      <w:r w:rsidRPr="5ED2A312" w:rsidR="40EC156A">
        <w:rPr>
          <w:rFonts w:ascii="Arial Nova" w:hAnsi="Arial Nova" w:eastAsia="Arial Nova" w:cs="Arial Nova"/>
          <w:noProof w:val="0"/>
          <w:color w:val="auto"/>
          <w:sz w:val="28"/>
          <w:szCs w:val="28"/>
          <w:lang w:val="en-GB"/>
        </w:rPr>
        <w:t xml:space="preserve"> and self-regulation, as they learn to judge their own abilities and limits. Through experiencing manageable levels of risk, children gain resilience, </w:t>
      </w:r>
      <w:r w:rsidRPr="5ED2A312" w:rsidR="40EC156A">
        <w:rPr>
          <w:rFonts w:ascii="Arial Nova" w:hAnsi="Arial Nova" w:eastAsia="Arial Nova" w:cs="Arial Nova"/>
          <w:noProof w:val="0"/>
          <w:color w:val="auto"/>
          <w:sz w:val="28"/>
          <w:szCs w:val="28"/>
          <w:lang w:val="en-GB"/>
        </w:rPr>
        <w:t>independence</w:t>
      </w:r>
      <w:r w:rsidRPr="5ED2A312" w:rsidR="40EC156A">
        <w:rPr>
          <w:rFonts w:ascii="Arial Nova" w:hAnsi="Arial Nova" w:eastAsia="Arial Nova" w:cs="Arial Nova"/>
          <w:noProof w:val="0"/>
          <w:color w:val="auto"/>
          <w:sz w:val="28"/>
          <w:szCs w:val="28"/>
          <w:lang w:val="en-GB"/>
        </w:rPr>
        <w:t xml:space="preserve"> and a sense of achievement. Rather than removing risk entirely, practitioners have </w:t>
      </w:r>
      <w:r w:rsidRPr="5ED2A312" w:rsidR="40EC156A">
        <w:rPr>
          <w:rFonts w:ascii="Arial Nova" w:hAnsi="Arial Nova" w:eastAsia="Arial Nova" w:cs="Arial Nova"/>
          <w:noProof w:val="0"/>
          <w:color w:val="auto"/>
          <w:sz w:val="28"/>
          <w:szCs w:val="28"/>
          <w:lang w:val="en-GB"/>
        </w:rPr>
        <w:t>an important role</w:t>
      </w:r>
      <w:r w:rsidRPr="5ED2A312" w:rsidR="40EC156A">
        <w:rPr>
          <w:rFonts w:ascii="Arial Nova" w:hAnsi="Arial Nova" w:eastAsia="Arial Nova" w:cs="Arial Nova"/>
          <w:noProof w:val="0"/>
          <w:color w:val="auto"/>
          <w:sz w:val="28"/>
          <w:szCs w:val="28"/>
          <w:lang w:val="en-GB"/>
        </w:rPr>
        <w:t xml:space="preserve"> in supporting children to manage risk safely, enabling physical play to support confidence, decision-making and emotional wellbeing</w:t>
      </w:r>
      <w:r w:rsidRPr="5ED2A312" w:rsidR="40EC156A">
        <w:rPr>
          <w:rFonts w:ascii="Arial Nova" w:hAnsi="Arial Nova" w:eastAsia="Arial Nova" w:cs="Arial Nova"/>
          <w:b w:val="0"/>
          <w:bCs w:val="0"/>
          <w:noProof w:val="0"/>
          <w:color w:val="auto"/>
          <w:sz w:val="28"/>
          <w:szCs w:val="28"/>
          <w:lang w:val="en-GB"/>
        </w:rPr>
        <w:t xml:space="preserve"> (</w:t>
      </w:r>
      <w:r w:rsidRPr="5ED2A312" w:rsidR="40EC156A">
        <w:rPr>
          <w:rFonts w:ascii="Arial Nova" w:hAnsi="Arial Nova" w:eastAsia="Arial Nova" w:cs="Arial Nova"/>
          <w:b w:val="0"/>
          <w:bCs w:val="0"/>
          <w:noProof w:val="0"/>
          <w:color w:val="auto"/>
          <w:sz w:val="28"/>
          <w:szCs w:val="28"/>
          <w:lang w:val="en-GB"/>
        </w:rPr>
        <w:t>Yalcin and Erden, 2018</w:t>
      </w:r>
      <w:r w:rsidRPr="5ED2A312" w:rsidR="40EC156A">
        <w:rPr>
          <w:rFonts w:ascii="Arial Nova" w:hAnsi="Arial Nova" w:eastAsia="Arial Nova" w:cs="Arial Nova"/>
          <w:b w:val="0"/>
          <w:bCs w:val="0"/>
          <w:noProof w:val="0"/>
          <w:color w:val="auto"/>
          <w:sz w:val="28"/>
          <w:szCs w:val="28"/>
          <w:lang w:val="en-GB"/>
        </w:rPr>
        <w:t>).</w:t>
      </w:r>
    </w:p>
    <w:p w:rsidR="5ED2A312" w:rsidP="5ED2A312" w:rsidRDefault="5ED2A312" w14:paraId="316C926C" w14:textId="509A6ED6">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40EC156A" w:rsidP="5ED2A312" w:rsidRDefault="40EC156A" w14:paraId="4BC3A9BA" w14:textId="05B9304A">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40EC156A">
        <w:rPr>
          <w:rFonts w:ascii="Arial Nova" w:hAnsi="Arial Nova" w:eastAsia="Arial Nova" w:cs="Arial Nova"/>
          <w:noProof w:val="0"/>
          <w:color w:val="000000" w:themeColor="text1" w:themeTint="FF" w:themeShade="FF"/>
          <w:sz w:val="28"/>
          <w:szCs w:val="28"/>
          <w:lang w:val="en-GB"/>
        </w:rPr>
        <w:t>However, neither perspective advocates the absence of adults. Instead, they emphasise the importance of enabling adults who create environments that respect children’s agency while ensuring safety, inclusion and meaningful challenge. The central idea is that efforts to support play should consider each child’s individual characteristics while providing an environment that is flexible, safe and open to unpredictability. Adult involvement should therefore focus on creating conditions that allow children to make independent choices about what and how they play, supporting adults in developing the skills and understanding needed to achieve this (Bianquin, 2019)</w:t>
      </w:r>
    </w:p>
    <w:p w:rsidR="40EC156A" w:rsidP="5ED2A312" w:rsidRDefault="40EC156A" w14:paraId="56212320" w14:textId="23B293C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5ED2A312" w:rsidR="40EC156A">
        <w:rPr>
          <w:rFonts w:ascii="Arial Nova" w:hAnsi="Arial Nova" w:eastAsia="Arial Nova" w:cs="Arial Nova"/>
          <w:noProof w:val="0"/>
          <w:color w:val="000000" w:themeColor="text1" w:themeTint="FF" w:themeShade="FF"/>
          <w:sz w:val="28"/>
          <w:szCs w:val="28"/>
          <w:lang w:val="en-GB"/>
        </w:rPr>
        <w:t>Overall, self-directed play is essential because it enables children to develop independence, confidence and competence through intrinsically motivated experiences, while the adult’s role remains crucial in facilitating environments and relationships that support, rather than control, children’s play.</w:t>
      </w:r>
    </w:p>
    <w:p w:rsidR="5ED2A312" w:rsidP="5ED2A312" w:rsidRDefault="5ED2A312" w14:paraId="2ADCE1EB" w14:textId="4BFDEC94">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0A6400B4" w14:textId="36E42B7A">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24C6B328" w14:textId="0DA0105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5ED2A312" w:rsidP="5ED2A312" w:rsidRDefault="5ED2A312" w14:paraId="2CE55BAE" w14:textId="79052D52">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1FFD4779" w:rsidP="5ED2A312" w:rsidRDefault="1FFD4779" w14:paraId="3A6D9E44" w14:textId="715129E2">
      <w:pPr>
        <w:pStyle w:val="ListParagraph"/>
        <w:ind w:left="720"/>
        <w:rPr>
          <w:b w:val="0"/>
          <w:bCs w:val="0"/>
          <w:sz w:val="24"/>
          <w:szCs w:val="24"/>
        </w:rPr>
      </w:pPr>
      <w:r w:rsidRPr="5ED2A312" w:rsidR="1FFD4779">
        <w:rPr>
          <w:b w:val="0"/>
          <w:bCs w:val="0"/>
          <w:sz w:val="24"/>
          <w:szCs w:val="24"/>
        </w:rPr>
        <w:t xml:space="preserve">Part 3 </w:t>
      </w:r>
    </w:p>
    <w:p w:rsidR="1FFD4779" w:rsidP="5ED2A312" w:rsidRDefault="1FFD4779" w14:paraId="23FD7A36" w14:textId="09CD7DDD">
      <w:pPr>
        <w:pStyle w:val="ListParagraph"/>
        <w:ind w:left="720"/>
        <w:rPr>
          <w:b w:val="0"/>
          <w:bCs w:val="0"/>
          <w:sz w:val="24"/>
          <w:szCs w:val="24"/>
        </w:rPr>
      </w:pPr>
      <w:r w:rsidRPr="5ED2A312" w:rsidR="1FFD4779">
        <w:rPr>
          <w:b w:val="0"/>
          <w:bCs w:val="0"/>
          <w:sz w:val="24"/>
          <w:szCs w:val="24"/>
        </w:rPr>
        <w:t xml:space="preserve">Word count </w:t>
      </w:r>
      <w:r w:rsidRPr="5ED2A312" w:rsidR="5997B7AF">
        <w:rPr>
          <w:b w:val="0"/>
          <w:bCs w:val="0"/>
          <w:sz w:val="24"/>
          <w:szCs w:val="24"/>
        </w:rPr>
        <w:t xml:space="preserve"> 648</w:t>
      </w:r>
    </w:p>
    <w:p w:rsidR="5ED2A312" w:rsidP="5ED2A312" w:rsidRDefault="5ED2A312" w14:paraId="76D0210A" w14:textId="01740210">
      <w:pPr>
        <w:pStyle w:val="ListParagraph"/>
        <w:ind w:left="720"/>
        <w:rPr>
          <w:b w:val="0"/>
          <w:bCs w:val="0"/>
          <w:sz w:val="24"/>
          <w:szCs w:val="24"/>
        </w:rPr>
      </w:pPr>
    </w:p>
    <w:p w:rsidR="5ED2A312" w:rsidP="5ED2A312" w:rsidRDefault="5ED2A312" w14:paraId="19EDF427" w14:textId="0DA68024">
      <w:pPr>
        <w:pStyle w:val="ListParagraph"/>
        <w:ind w:left="720"/>
        <w:rPr>
          <w:b w:val="0"/>
          <w:bCs w:val="0"/>
          <w:sz w:val="24"/>
          <w:szCs w:val="24"/>
        </w:rPr>
      </w:pPr>
    </w:p>
    <w:p w:rsidR="5ED2A312" w:rsidP="5ED2A312" w:rsidRDefault="5ED2A312" w14:paraId="513DCA66" w14:textId="14E945EC">
      <w:pPr>
        <w:pStyle w:val="ListParagraph"/>
        <w:ind w:left="720"/>
        <w:rPr>
          <w:b w:val="0"/>
          <w:bCs w:val="0"/>
          <w:sz w:val="24"/>
          <w:szCs w:val="24"/>
        </w:rPr>
      </w:pPr>
    </w:p>
    <w:p w:rsidR="5ED2A312" w:rsidP="5ED2A312" w:rsidRDefault="5ED2A312" w14:paraId="06022621" w14:textId="5B33CEA2">
      <w:pPr>
        <w:pStyle w:val="ListParagraph"/>
        <w:ind w:left="720"/>
        <w:rPr>
          <w:b w:val="0"/>
          <w:bCs w:val="0"/>
          <w:sz w:val="24"/>
          <w:szCs w:val="24"/>
        </w:rPr>
      </w:pPr>
    </w:p>
    <w:p w:rsidR="5ED2A312" w:rsidP="5ED2A312" w:rsidRDefault="5ED2A312" w14:paraId="6A2F73EB" w14:textId="56675F0E">
      <w:pPr>
        <w:pStyle w:val="ListParagraph"/>
        <w:ind w:left="720"/>
        <w:rPr>
          <w:b w:val="0"/>
          <w:bCs w:val="0"/>
          <w:sz w:val="24"/>
          <w:szCs w:val="24"/>
        </w:rPr>
      </w:pPr>
    </w:p>
    <w:p w:rsidR="5ED2A312" w:rsidP="5ED2A312" w:rsidRDefault="5ED2A312" w14:paraId="25935E61" w14:textId="1F5BC206">
      <w:pPr>
        <w:pStyle w:val="ListParagraph"/>
        <w:ind w:left="720"/>
        <w:rPr>
          <w:b w:val="0"/>
          <w:bCs w:val="0"/>
          <w:sz w:val="24"/>
          <w:szCs w:val="24"/>
        </w:rPr>
      </w:pPr>
    </w:p>
    <w:p w:rsidR="5ED2A312" w:rsidP="5ED2A312" w:rsidRDefault="5ED2A312" w14:paraId="78E0B384" w14:textId="44D164FE">
      <w:pPr>
        <w:pStyle w:val="ListParagraph"/>
        <w:ind w:left="720"/>
        <w:rPr>
          <w:b w:val="0"/>
          <w:bCs w:val="0"/>
          <w:sz w:val="24"/>
          <w:szCs w:val="24"/>
        </w:rPr>
      </w:pPr>
    </w:p>
    <w:p w:rsidR="5ED2A312" w:rsidP="5ED2A312" w:rsidRDefault="5ED2A312" w14:paraId="1CE6C3DD" w14:textId="06600CBA">
      <w:pPr>
        <w:pStyle w:val="ListParagraph"/>
        <w:ind w:left="720"/>
        <w:rPr>
          <w:b w:val="0"/>
          <w:bCs w:val="0"/>
          <w:sz w:val="24"/>
          <w:szCs w:val="24"/>
        </w:rPr>
      </w:pPr>
    </w:p>
    <w:p w:rsidR="5ED2A312" w:rsidP="5ED2A312" w:rsidRDefault="5ED2A312" w14:paraId="572311E3" w14:textId="2D6D8DED">
      <w:pPr>
        <w:pStyle w:val="ListParagraph"/>
        <w:ind w:left="720"/>
        <w:rPr>
          <w:b w:val="0"/>
          <w:bCs w:val="0"/>
          <w:sz w:val="24"/>
          <w:szCs w:val="24"/>
        </w:rPr>
      </w:pPr>
    </w:p>
    <w:p w:rsidR="5ED2A312" w:rsidP="5ED2A312" w:rsidRDefault="5ED2A312" w14:paraId="696B8187" w14:textId="28846524">
      <w:pPr>
        <w:pStyle w:val="ListParagraph"/>
        <w:ind w:left="720"/>
        <w:rPr>
          <w:b w:val="0"/>
          <w:bCs w:val="0"/>
          <w:sz w:val="24"/>
          <w:szCs w:val="24"/>
        </w:rPr>
      </w:pPr>
    </w:p>
    <w:p w:rsidR="5ED2A312" w:rsidP="5ED2A312" w:rsidRDefault="5ED2A312" w14:paraId="0B79128A" w14:textId="14ADC3C9">
      <w:pPr>
        <w:pStyle w:val="ListParagraph"/>
        <w:ind w:left="720"/>
        <w:rPr>
          <w:b w:val="0"/>
          <w:bCs w:val="0"/>
          <w:sz w:val="24"/>
          <w:szCs w:val="24"/>
        </w:rPr>
      </w:pPr>
    </w:p>
    <w:p w:rsidR="5ED2A312" w:rsidP="5ED2A312" w:rsidRDefault="5ED2A312" w14:paraId="23187494" w14:textId="639ED620">
      <w:pPr>
        <w:pStyle w:val="ListParagraph"/>
        <w:ind w:left="720"/>
        <w:rPr>
          <w:b w:val="0"/>
          <w:bCs w:val="0"/>
          <w:sz w:val="24"/>
          <w:szCs w:val="24"/>
        </w:rPr>
      </w:pPr>
    </w:p>
    <w:p w:rsidR="5ED2A312" w:rsidP="5ED2A312" w:rsidRDefault="5ED2A312" w14:paraId="0F1B6490" w14:textId="1D0AF320">
      <w:pPr>
        <w:pStyle w:val="ListParagraph"/>
        <w:ind w:left="720"/>
        <w:rPr>
          <w:b w:val="0"/>
          <w:bCs w:val="0"/>
          <w:sz w:val="24"/>
          <w:szCs w:val="24"/>
        </w:rPr>
      </w:pPr>
    </w:p>
    <w:p w:rsidR="5ED2A312" w:rsidP="5ED2A312" w:rsidRDefault="5ED2A312" w14:paraId="2171EFD9" w14:textId="2628028C">
      <w:pPr>
        <w:pStyle w:val="ListParagraph"/>
        <w:ind w:left="720"/>
        <w:rPr>
          <w:b w:val="0"/>
          <w:bCs w:val="0"/>
          <w:sz w:val="24"/>
          <w:szCs w:val="24"/>
        </w:rPr>
      </w:pPr>
    </w:p>
    <w:p w:rsidR="5ED2A312" w:rsidP="5ED2A312" w:rsidRDefault="5ED2A312" w14:paraId="43E17FB2" w14:textId="31C9CD9A">
      <w:pPr>
        <w:pStyle w:val="ListParagraph"/>
        <w:ind w:left="720"/>
        <w:rPr>
          <w:b w:val="0"/>
          <w:bCs w:val="0"/>
          <w:sz w:val="24"/>
          <w:szCs w:val="24"/>
        </w:rPr>
      </w:pPr>
    </w:p>
    <w:p w:rsidR="5ED2A312" w:rsidP="5ED2A312" w:rsidRDefault="5ED2A312" w14:paraId="12343209" w14:textId="7B6B2D93">
      <w:pPr>
        <w:pStyle w:val="ListParagraph"/>
        <w:ind w:left="720"/>
        <w:rPr>
          <w:b w:val="0"/>
          <w:bCs w:val="0"/>
          <w:sz w:val="24"/>
          <w:szCs w:val="24"/>
        </w:rPr>
      </w:pPr>
    </w:p>
    <w:p w:rsidR="5ED2A312" w:rsidP="5ED2A312" w:rsidRDefault="5ED2A312" w14:paraId="4C24941B" w14:textId="765B4D1C">
      <w:pPr>
        <w:pStyle w:val="ListParagraph"/>
        <w:ind w:left="720"/>
        <w:rPr>
          <w:b w:val="0"/>
          <w:bCs w:val="0"/>
          <w:sz w:val="24"/>
          <w:szCs w:val="24"/>
        </w:rPr>
      </w:pPr>
    </w:p>
    <w:p w:rsidR="5ED2A312" w:rsidP="5ED2A312" w:rsidRDefault="5ED2A312" w14:paraId="36B8765D" w14:textId="54C27794">
      <w:pPr>
        <w:pStyle w:val="ListParagraph"/>
        <w:ind w:left="720"/>
        <w:rPr>
          <w:b w:val="0"/>
          <w:bCs w:val="0"/>
          <w:sz w:val="24"/>
          <w:szCs w:val="24"/>
        </w:rPr>
      </w:pPr>
    </w:p>
    <w:p w:rsidR="5ED2A312" w:rsidP="5ED2A312" w:rsidRDefault="5ED2A312" w14:paraId="74DD96BC" w14:textId="4FA6575F">
      <w:pPr>
        <w:pStyle w:val="ListParagraph"/>
        <w:ind w:left="720"/>
        <w:rPr>
          <w:b w:val="0"/>
          <w:bCs w:val="0"/>
          <w:sz w:val="24"/>
          <w:szCs w:val="24"/>
        </w:rPr>
      </w:pPr>
    </w:p>
    <w:p w:rsidR="5ED2A312" w:rsidP="5ED2A312" w:rsidRDefault="5ED2A312" w14:paraId="4F00E33B" w14:textId="78B0A5E0">
      <w:pPr>
        <w:pStyle w:val="ListParagraph"/>
        <w:ind w:left="720"/>
        <w:rPr>
          <w:b w:val="0"/>
          <w:bCs w:val="0"/>
          <w:sz w:val="24"/>
          <w:szCs w:val="24"/>
        </w:rPr>
      </w:pPr>
    </w:p>
    <w:p w:rsidR="5ED2A312" w:rsidP="5ED2A312" w:rsidRDefault="5ED2A312" w14:paraId="60BDA9C9" w14:textId="237479E2">
      <w:pPr>
        <w:pStyle w:val="ListParagraph"/>
        <w:ind w:left="720"/>
        <w:rPr>
          <w:b w:val="0"/>
          <w:bCs w:val="0"/>
          <w:sz w:val="24"/>
          <w:szCs w:val="24"/>
        </w:rPr>
      </w:pPr>
    </w:p>
    <w:p w:rsidR="5ED2A312" w:rsidP="5ED2A312" w:rsidRDefault="5ED2A312" w14:paraId="7CA99CFA" w14:textId="4F0E7C73">
      <w:pPr>
        <w:pStyle w:val="ListParagraph"/>
        <w:ind w:left="720"/>
        <w:rPr>
          <w:b w:val="0"/>
          <w:bCs w:val="0"/>
          <w:sz w:val="24"/>
          <w:szCs w:val="24"/>
        </w:rPr>
      </w:pPr>
    </w:p>
    <w:p w:rsidR="5ED2A312" w:rsidP="5ED2A312" w:rsidRDefault="5ED2A312" w14:paraId="25DA3443" w14:textId="2879F821">
      <w:pPr>
        <w:pStyle w:val="ListParagraph"/>
        <w:ind w:left="720"/>
        <w:rPr>
          <w:b w:val="0"/>
          <w:bCs w:val="0"/>
          <w:sz w:val="24"/>
          <w:szCs w:val="24"/>
        </w:rPr>
      </w:pPr>
    </w:p>
    <w:p w:rsidR="5ED2A312" w:rsidP="5ED2A312" w:rsidRDefault="5ED2A312" w14:paraId="4B79FD23" w14:textId="5670F080">
      <w:pPr>
        <w:pStyle w:val="ListParagraph"/>
        <w:ind w:left="720"/>
        <w:rPr>
          <w:b w:val="0"/>
          <w:bCs w:val="0"/>
          <w:sz w:val="24"/>
          <w:szCs w:val="24"/>
        </w:rPr>
      </w:pPr>
    </w:p>
    <w:p w:rsidR="5ED2A312" w:rsidP="5ED2A312" w:rsidRDefault="5ED2A312" w14:paraId="3AD8822B" w14:textId="6EC4FB91">
      <w:pPr>
        <w:pStyle w:val="ListParagraph"/>
        <w:ind w:left="720"/>
        <w:rPr>
          <w:b w:val="0"/>
          <w:bCs w:val="0"/>
          <w:sz w:val="24"/>
          <w:szCs w:val="24"/>
        </w:rPr>
      </w:pPr>
    </w:p>
    <w:p w:rsidR="5ED2A312" w:rsidP="5ED2A312" w:rsidRDefault="5ED2A312" w14:paraId="4B511F44" w14:textId="0CD2284F">
      <w:pPr>
        <w:pStyle w:val="ListParagraph"/>
        <w:ind w:left="720"/>
        <w:rPr>
          <w:b w:val="0"/>
          <w:bCs w:val="0"/>
          <w:sz w:val="24"/>
          <w:szCs w:val="24"/>
        </w:rPr>
      </w:pPr>
    </w:p>
    <w:p w:rsidR="5ED2A312" w:rsidP="5ED2A312" w:rsidRDefault="5ED2A312" w14:paraId="79613E73" w14:textId="1CF7E078">
      <w:pPr>
        <w:pStyle w:val="ListParagraph"/>
        <w:ind w:left="720"/>
        <w:rPr>
          <w:b w:val="0"/>
          <w:bCs w:val="0"/>
          <w:sz w:val="24"/>
          <w:szCs w:val="24"/>
        </w:rPr>
      </w:pPr>
    </w:p>
    <w:p w:rsidR="5ED2A312" w:rsidP="5ED2A312" w:rsidRDefault="5ED2A312" w14:paraId="4C44209A" w14:textId="7A4E2E27">
      <w:pPr>
        <w:pStyle w:val="ListParagraph"/>
        <w:ind w:left="720"/>
        <w:rPr>
          <w:b w:val="0"/>
          <w:bCs w:val="0"/>
          <w:sz w:val="24"/>
          <w:szCs w:val="24"/>
        </w:rPr>
      </w:pPr>
    </w:p>
    <w:p w:rsidR="5ED2A312" w:rsidP="5ED2A312" w:rsidRDefault="5ED2A312" w14:paraId="43D6F0B0" w14:textId="3B019A8E">
      <w:pPr>
        <w:pStyle w:val="ListParagraph"/>
        <w:ind w:left="720"/>
        <w:rPr>
          <w:b w:val="0"/>
          <w:bCs w:val="0"/>
          <w:sz w:val="24"/>
          <w:szCs w:val="24"/>
        </w:rPr>
      </w:pPr>
    </w:p>
    <w:p w:rsidR="5ED2A312" w:rsidP="5ED2A312" w:rsidRDefault="5ED2A312" w14:paraId="65C3F0E6" w14:textId="46C0CA11">
      <w:pPr>
        <w:pStyle w:val="ListParagraph"/>
        <w:ind w:left="720"/>
        <w:rPr>
          <w:b w:val="0"/>
          <w:bCs w:val="0"/>
          <w:sz w:val="24"/>
          <w:szCs w:val="24"/>
        </w:rPr>
      </w:pPr>
    </w:p>
    <w:p w:rsidR="5ED2A312" w:rsidP="5ED2A312" w:rsidRDefault="5ED2A312" w14:paraId="09E1C103" w14:textId="607BBC32">
      <w:pPr>
        <w:pStyle w:val="ListParagraph"/>
        <w:ind w:left="720"/>
        <w:rPr>
          <w:b w:val="0"/>
          <w:bCs w:val="0"/>
          <w:sz w:val="24"/>
          <w:szCs w:val="24"/>
        </w:rPr>
      </w:pPr>
    </w:p>
    <w:p w:rsidR="5ED2A312" w:rsidP="5ED2A312" w:rsidRDefault="5ED2A312" w14:paraId="1807A245" w14:textId="7B9BD92E">
      <w:pPr>
        <w:pStyle w:val="ListParagraph"/>
        <w:ind w:left="720"/>
        <w:rPr>
          <w:b w:val="0"/>
          <w:bCs w:val="0"/>
          <w:sz w:val="24"/>
          <w:szCs w:val="24"/>
        </w:rPr>
      </w:pPr>
    </w:p>
    <w:p w:rsidR="5ED2A312" w:rsidP="5ED2A312" w:rsidRDefault="5ED2A312" w14:paraId="75B034EF" w14:textId="34CF7DDE">
      <w:pPr>
        <w:pStyle w:val="ListParagraph"/>
        <w:ind w:left="720"/>
        <w:rPr>
          <w:b w:val="0"/>
          <w:bCs w:val="0"/>
          <w:sz w:val="24"/>
          <w:szCs w:val="24"/>
        </w:rPr>
      </w:pPr>
    </w:p>
    <w:p w:rsidR="5ED2A312" w:rsidP="5ED2A312" w:rsidRDefault="5ED2A312" w14:paraId="0AC5D480" w14:textId="364CAA34">
      <w:pPr>
        <w:pStyle w:val="ListParagraph"/>
        <w:ind w:left="720"/>
        <w:rPr>
          <w:b w:val="0"/>
          <w:bCs w:val="0"/>
          <w:sz w:val="24"/>
          <w:szCs w:val="24"/>
        </w:rPr>
      </w:pPr>
    </w:p>
    <w:p w:rsidR="5ED2A312" w:rsidP="5ED2A312" w:rsidRDefault="5ED2A312" w14:paraId="2F68C22F" w14:textId="21BB5F34">
      <w:pPr>
        <w:pStyle w:val="ListParagraph"/>
        <w:ind w:left="720"/>
        <w:rPr>
          <w:b w:val="0"/>
          <w:bCs w:val="0"/>
          <w:sz w:val="24"/>
          <w:szCs w:val="24"/>
        </w:rPr>
      </w:pPr>
    </w:p>
    <w:p w:rsidR="5ED2A312" w:rsidP="5ED2A312" w:rsidRDefault="5ED2A312" w14:paraId="086AED06" w14:textId="5FF695F1">
      <w:pPr>
        <w:pStyle w:val="ListParagraph"/>
        <w:ind w:left="720"/>
        <w:rPr>
          <w:b w:val="0"/>
          <w:bCs w:val="0"/>
          <w:sz w:val="24"/>
          <w:szCs w:val="24"/>
        </w:rPr>
      </w:pPr>
    </w:p>
    <w:p w:rsidR="5ED2A312" w:rsidP="5ED2A312" w:rsidRDefault="5ED2A312" w14:paraId="6BCC2A2F" w14:textId="6CC2E718">
      <w:pPr>
        <w:pStyle w:val="ListParagraph"/>
        <w:ind w:left="720"/>
        <w:rPr>
          <w:b w:val="0"/>
          <w:bCs w:val="0"/>
          <w:sz w:val="24"/>
          <w:szCs w:val="24"/>
        </w:rPr>
      </w:pPr>
    </w:p>
    <w:p w:rsidR="5ED2A312" w:rsidP="5ED2A312" w:rsidRDefault="5ED2A312" w14:paraId="2E1262F3" w14:textId="011545D6">
      <w:pPr>
        <w:pStyle w:val="ListParagraph"/>
        <w:ind w:left="720"/>
        <w:rPr>
          <w:b w:val="0"/>
          <w:bCs w:val="0"/>
          <w:sz w:val="24"/>
          <w:szCs w:val="24"/>
        </w:rPr>
      </w:pPr>
    </w:p>
    <w:p w:rsidR="5ED2A312" w:rsidP="5ED2A312" w:rsidRDefault="5ED2A312" w14:paraId="6DB2E3C5" w14:textId="021F064C">
      <w:pPr>
        <w:pStyle w:val="ListParagraph"/>
        <w:ind w:left="720"/>
        <w:rPr>
          <w:b w:val="0"/>
          <w:bCs w:val="0"/>
          <w:sz w:val="24"/>
          <w:szCs w:val="24"/>
        </w:rPr>
      </w:pPr>
    </w:p>
    <w:p w:rsidR="5ED2A312" w:rsidP="5ED2A312" w:rsidRDefault="5ED2A312" w14:paraId="571B617E" w14:textId="307AC403">
      <w:pPr>
        <w:pStyle w:val="ListParagraph"/>
        <w:ind w:left="720"/>
        <w:rPr>
          <w:b w:val="0"/>
          <w:bCs w:val="0"/>
          <w:sz w:val="24"/>
          <w:szCs w:val="24"/>
        </w:rPr>
      </w:pPr>
    </w:p>
    <w:p w:rsidR="5ED2A312" w:rsidP="5ED2A312" w:rsidRDefault="5ED2A312" w14:paraId="2D9E36DB" w14:textId="7D516AAB">
      <w:pPr>
        <w:pStyle w:val="ListParagraph"/>
        <w:ind w:left="720"/>
        <w:rPr>
          <w:b w:val="0"/>
          <w:bCs w:val="0"/>
          <w:sz w:val="24"/>
          <w:szCs w:val="24"/>
        </w:rPr>
      </w:pPr>
    </w:p>
    <w:p w:rsidR="5ED2A312" w:rsidP="5ED2A312" w:rsidRDefault="5ED2A312" w14:paraId="4E70D508" w14:textId="781748A6">
      <w:pPr>
        <w:pStyle w:val="ListParagraph"/>
        <w:ind w:left="720"/>
        <w:rPr>
          <w:b w:val="0"/>
          <w:bCs w:val="0"/>
          <w:sz w:val="24"/>
          <w:szCs w:val="24"/>
        </w:rPr>
      </w:pPr>
    </w:p>
    <w:p w:rsidR="5ED2A312" w:rsidP="5ED2A312" w:rsidRDefault="5ED2A312" w14:paraId="7CA6333C" w14:textId="0D9D2370">
      <w:pPr>
        <w:pStyle w:val="ListParagraph"/>
        <w:ind w:left="720"/>
        <w:rPr>
          <w:b w:val="0"/>
          <w:bCs w:val="0"/>
          <w:sz w:val="24"/>
          <w:szCs w:val="24"/>
        </w:rPr>
      </w:pPr>
    </w:p>
    <w:p w:rsidR="5ED2A312" w:rsidP="5ED2A312" w:rsidRDefault="5ED2A312" w14:paraId="2F80C6E0" w14:textId="33FA4696">
      <w:pPr>
        <w:pStyle w:val="ListParagraph"/>
        <w:ind w:left="720"/>
        <w:rPr>
          <w:b w:val="0"/>
          <w:bCs w:val="0"/>
          <w:sz w:val="24"/>
          <w:szCs w:val="24"/>
        </w:rPr>
      </w:pPr>
    </w:p>
    <w:p w:rsidR="5ED2A312" w:rsidP="5ED2A312" w:rsidRDefault="5ED2A312" w14:paraId="429D6F9B" w14:textId="21ECCF38">
      <w:pPr>
        <w:pStyle w:val="ListParagraph"/>
        <w:ind w:left="720"/>
        <w:rPr>
          <w:b w:val="0"/>
          <w:bCs w:val="0"/>
          <w:sz w:val="24"/>
          <w:szCs w:val="24"/>
        </w:rPr>
      </w:pPr>
    </w:p>
    <w:p w:rsidR="5ED2A312" w:rsidP="5ED2A312" w:rsidRDefault="5ED2A312" w14:paraId="2C3081AC" w14:textId="4BF34C47">
      <w:pPr>
        <w:pStyle w:val="ListParagraph"/>
        <w:ind w:left="720"/>
        <w:rPr>
          <w:b w:val="0"/>
          <w:bCs w:val="0"/>
          <w:sz w:val="24"/>
          <w:szCs w:val="24"/>
        </w:rPr>
      </w:pPr>
    </w:p>
    <w:p w:rsidR="30028F6C" w:rsidP="5ED2A312" w:rsidRDefault="30028F6C" w14:paraId="538A945D" w14:textId="0CD943C9">
      <w:pPr>
        <w:spacing w:before="150" w:beforeAutospacing="off" w:after="0" w:afterAutospacing="off" w:line="216" w:lineRule="auto"/>
        <w:jc w:val="left"/>
        <w:rPr>
          <w:rFonts w:ascii="Calibri" w:hAnsi="Calibri" w:eastAsia="Calibri" w:cs="Calibri"/>
          <w:noProof w:val="0"/>
          <w:sz w:val="32"/>
          <w:szCs w:val="32"/>
          <w:lang w:val="en-GB"/>
        </w:rPr>
      </w:pPr>
      <w:r w:rsidRPr="5ED2A312" w:rsidR="30028F6C">
        <w:rPr>
          <w:rFonts w:ascii="Calibri" w:hAnsi="Calibri" w:eastAsia="Calibri" w:cs="Calibri"/>
          <w:b w:val="1"/>
          <w:bCs w:val="1"/>
          <w:noProof w:val="0"/>
          <w:sz w:val="32"/>
          <w:szCs w:val="32"/>
          <w:lang w:val="en-GB"/>
        </w:rPr>
        <w:t xml:space="preserve">3. In depth discussion and understanding of an observation method for young children </w:t>
      </w:r>
    </w:p>
    <w:p w:rsidR="30028F6C" w:rsidP="5ED2A312" w:rsidRDefault="30028F6C" w14:paraId="0BE6311B" w14:textId="2F54A4B7">
      <w:pPr>
        <w:spacing w:before="150" w:beforeAutospacing="off" w:after="0" w:afterAutospacing="off" w:line="216" w:lineRule="auto"/>
        <w:jc w:val="left"/>
        <w:rPr>
          <w:rFonts w:ascii="Calibri" w:hAnsi="Calibri" w:eastAsia="Calibri" w:cs="Calibri"/>
          <w:noProof w:val="0"/>
          <w:sz w:val="32"/>
          <w:szCs w:val="32"/>
          <w:lang w:val="en-GB"/>
        </w:rPr>
      </w:pPr>
      <w:r w:rsidRPr="5ED2A312" w:rsidR="30028F6C">
        <w:rPr>
          <w:rFonts w:ascii="Calibri" w:hAnsi="Calibri" w:eastAsia="Calibri" w:cs="Calibri"/>
          <w:b w:val="1"/>
          <w:bCs w:val="1"/>
          <w:noProof w:val="0"/>
          <w:sz w:val="32"/>
          <w:szCs w:val="32"/>
          <w:lang w:val="en-GB"/>
        </w:rPr>
        <w:t>Choose from the observation methods discussed in lectures.</w:t>
      </w:r>
    </w:p>
    <w:p w:rsidR="30028F6C" w:rsidP="5ED2A312" w:rsidRDefault="30028F6C" w14:paraId="034CA88D" w14:textId="121C5A22">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30028F6C">
        <w:rPr>
          <w:rFonts w:ascii="Calibri" w:hAnsi="Calibri" w:eastAsia="Calibri" w:cs="Calibri"/>
          <w:noProof w:val="0"/>
          <w:color w:val="000000" w:themeColor="text1" w:themeTint="FF" w:themeShade="FF"/>
          <w:sz w:val="32"/>
          <w:szCs w:val="32"/>
          <w:lang w:val="en-GB"/>
        </w:rPr>
        <w:t>Observation is a central element of early childhood practice, supporting practitioners in understanding children’s development within everyday play and interaction. In recent years, early years observation has shifted away from checklist-style documentation towards reflective professional judgement. Rather than functioning as assessment, observation is understood as an interpretative process through which practitioners seek to understand the whole child (Smidt, 2015).</w:t>
      </w:r>
    </w:p>
    <w:p w:rsidR="30028F6C" w:rsidP="5ED2A312" w:rsidRDefault="30028F6C" w14:paraId="787C8CF9" w14:textId="5EF80634">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30028F6C">
        <w:rPr>
          <w:rFonts w:ascii="Calibri" w:hAnsi="Calibri" w:eastAsia="Calibri" w:cs="Calibri"/>
          <w:noProof w:val="0"/>
          <w:color w:val="000000" w:themeColor="text1" w:themeTint="FF" w:themeShade="FF"/>
          <w:sz w:val="32"/>
          <w:szCs w:val="32"/>
          <w:lang w:val="en-GB"/>
        </w:rPr>
        <w:t>One widely used scale-based observation method is the Leuven Involvement Scale for Young Children, developed by Ferre Laevers. The scale assesses two core indicators of educational quality: emotional wellbeing and involvement. Wellbeing refers to the extent to which a child feels secure and emotionally at ease, while involvement reflects depth of concentration, curiosity and intrinsic motivation. Laevers argues that high levels of both indicate optimal conditions for deep-level learning (MacRae and Jones, 2023). Laevers’ understanding of involvement is influenced by Eugene Gendlin’s concept of “felt sense,” which emphasises learning through embodied and emotional experience (MacRae and Jones, 2023).</w:t>
      </w:r>
    </w:p>
    <w:p w:rsidR="30028F6C" w:rsidP="5ED2A312" w:rsidRDefault="30028F6C" w14:paraId="11693BA9" w14:textId="164FE988">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30028F6C">
        <w:rPr>
          <w:rFonts w:ascii="Calibri" w:hAnsi="Calibri" w:eastAsia="Calibri" w:cs="Calibri"/>
          <w:noProof w:val="0"/>
          <w:color w:val="000000" w:themeColor="text1" w:themeTint="FF" w:themeShade="FF"/>
          <w:sz w:val="32"/>
          <w:szCs w:val="32"/>
          <w:lang w:val="en-GB"/>
        </w:rPr>
        <w:t>The Leuven Scale is based on short, focused observations approximately two minutes, during which practitioners rate children on a five-point scale from extremely low to extremely high. Wellbeing is judged through indicators such as posture, facial expression and vitality, while involvement is assessed through concentration, persistence and absorption. Observations are repeated across contexts to acknowledge that engagement fluctuates.</w:t>
      </w:r>
    </w:p>
    <w:p w:rsidR="30028F6C" w:rsidP="5ED2A312" w:rsidRDefault="30028F6C" w14:paraId="7705052C" w14:textId="6D6EF156">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30028F6C">
        <w:rPr>
          <w:rFonts w:ascii="Calibri" w:hAnsi="Calibri" w:eastAsia="Calibri" w:cs="Calibri"/>
          <w:noProof w:val="0"/>
          <w:color w:val="000000" w:themeColor="text1" w:themeTint="FF" w:themeShade="FF"/>
          <w:sz w:val="32"/>
          <w:szCs w:val="32"/>
          <w:lang w:val="en-GB"/>
        </w:rPr>
        <w:t>A key strength of the Leuven Scale is its child-centred perspective. Unlike environmental rating tools such as the</w:t>
      </w:r>
      <w:r w:rsidRPr="5ED2A312" w:rsidR="30028F6C">
        <w:rPr>
          <w:rFonts w:ascii="Calibri" w:hAnsi="Calibri" w:eastAsia="Calibri" w:cs="Calibri"/>
          <w:b w:val="0"/>
          <w:bCs w:val="0"/>
          <w:noProof w:val="0"/>
          <w:color w:val="000000" w:themeColor="text1" w:themeTint="FF" w:themeShade="FF"/>
          <w:sz w:val="32"/>
          <w:szCs w:val="32"/>
          <w:lang w:val="en-GB"/>
        </w:rPr>
        <w:t xml:space="preserve"> </w:t>
      </w:r>
      <w:r w:rsidRPr="5ED2A312" w:rsidR="30028F6C">
        <w:rPr>
          <w:rFonts w:ascii="Calibri" w:hAnsi="Calibri" w:eastAsia="Calibri" w:cs="Calibri"/>
          <w:b w:val="0"/>
          <w:bCs w:val="0"/>
          <w:noProof w:val="0"/>
          <w:color w:val="000000" w:themeColor="text1" w:themeTint="FF" w:themeShade="FF"/>
          <w:sz w:val="32"/>
          <w:szCs w:val="32"/>
          <w:lang w:val="en-GB"/>
        </w:rPr>
        <w:t>Early Childhood Environment Rating Scale-Revised</w:t>
      </w:r>
      <w:r w:rsidRPr="5ED2A312" w:rsidR="30028F6C">
        <w:rPr>
          <w:rFonts w:ascii="Calibri" w:hAnsi="Calibri" w:eastAsia="Calibri" w:cs="Calibri"/>
          <w:b w:val="0"/>
          <w:bCs w:val="0"/>
          <w:noProof w:val="0"/>
          <w:color w:val="000000" w:themeColor="text1" w:themeTint="FF" w:themeShade="FF"/>
          <w:sz w:val="32"/>
          <w:szCs w:val="32"/>
          <w:lang w:val="en-GB"/>
        </w:rPr>
        <w:t>,</w:t>
      </w:r>
      <w:r w:rsidRPr="5ED2A312" w:rsidR="30028F6C">
        <w:rPr>
          <w:rFonts w:ascii="Calibri" w:hAnsi="Calibri" w:eastAsia="Calibri" w:cs="Calibri"/>
          <w:noProof w:val="0"/>
          <w:color w:val="000000" w:themeColor="text1" w:themeTint="FF" w:themeShade="FF"/>
          <w:sz w:val="32"/>
          <w:szCs w:val="32"/>
          <w:lang w:val="en-GB"/>
        </w:rPr>
        <w:t xml:space="preserve"> which assess the quality of provision across domains including interaction and programme structure, Leuven focuses on how children experience that provision. Large-scale research such as the Study of Early Education and Development (Department for Education, 2021) has used ECERS-R and related tools to measure process quality in early years settings. However, while ECERS-R evaluates environmental conditions, Leuven captures children’s engagement within those conditions.</w:t>
      </w:r>
    </w:p>
    <w:p w:rsidR="30028F6C" w:rsidP="5ED2A312" w:rsidRDefault="30028F6C" w14:paraId="74C515E4" w14:textId="62BE0621">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30028F6C">
        <w:rPr>
          <w:rFonts w:ascii="Calibri" w:hAnsi="Calibri" w:eastAsia="Calibri" w:cs="Calibri"/>
          <w:noProof w:val="0"/>
          <w:color w:val="000000" w:themeColor="text1" w:themeTint="FF" w:themeShade="FF"/>
          <w:sz w:val="32"/>
          <w:szCs w:val="32"/>
          <w:lang w:val="en-GB"/>
        </w:rPr>
        <w:t xml:space="preserve">Research suggests that structural factors such as group size and child–adult ratios influence development through their impact on adult–child interactions (Barandiaran </w:t>
      </w:r>
      <w:r w:rsidRPr="5ED2A312" w:rsidR="30028F6C">
        <w:rPr>
          <w:rFonts w:ascii="Calibri" w:hAnsi="Calibri" w:eastAsia="Calibri" w:cs="Calibri"/>
          <w:i w:val="1"/>
          <w:iCs w:val="1"/>
          <w:noProof w:val="0"/>
          <w:color w:val="000000" w:themeColor="text1" w:themeTint="FF" w:themeShade="FF"/>
          <w:sz w:val="32"/>
          <w:szCs w:val="32"/>
          <w:lang w:val="en-GB"/>
        </w:rPr>
        <w:t>et al.</w:t>
      </w:r>
      <w:r w:rsidRPr="5ED2A312" w:rsidR="30028F6C">
        <w:rPr>
          <w:rFonts w:ascii="Calibri" w:hAnsi="Calibri" w:eastAsia="Calibri" w:cs="Calibri"/>
          <w:noProof w:val="0"/>
          <w:color w:val="000000" w:themeColor="text1" w:themeTint="FF" w:themeShade="FF"/>
          <w:sz w:val="32"/>
          <w:szCs w:val="32"/>
          <w:lang w:val="en-GB"/>
        </w:rPr>
        <w:t xml:space="preserve">, 2015). However, evidence examining the relationship between caregiver sensitivity, wellbeing and exploration remains limited. Barandiaran </w:t>
      </w:r>
      <w:r w:rsidRPr="5ED2A312" w:rsidR="30028F6C">
        <w:rPr>
          <w:rFonts w:ascii="Calibri" w:hAnsi="Calibri" w:eastAsia="Calibri" w:cs="Calibri"/>
          <w:i w:val="1"/>
          <w:iCs w:val="1"/>
          <w:noProof w:val="0"/>
          <w:color w:val="000000" w:themeColor="text1" w:themeTint="FF" w:themeShade="FF"/>
          <w:sz w:val="32"/>
          <w:szCs w:val="32"/>
          <w:lang w:val="en-GB"/>
        </w:rPr>
        <w:t>et al.</w:t>
      </w:r>
      <w:r w:rsidRPr="5ED2A312" w:rsidR="30028F6C">
        <w:rPr>
          <w:rFonts w:ascii="Calibri" w:hAnsi="Calibri" w:eastAsia="Calibri" w:cs="Calibri"/>
          <w:noProof w:val="0"/>
          <w:color w:val="000000" w:themeColor="text1" w:themeTint="FF" w:themeShade="FF"/>
          <w:sz w:val="32"/>
          <w:szCs w:val="32"/>
          <w:lang w:val="en-GB"/>
        </w:rPr>
        <w:t xml:space="preserve"> (2015) found that although caregiver sensitivity was positively associated with exploratory behaviour, it did not moderate the relationship between wellbeing and exploration, indicating greater theoretical complexity.</w:t>
      </w:r>
    </w:p>
    <w:p w:rsidR="30028F6C" w:rsidP="5ED2A312" w:rsidRDefault="30028F6C" w14:paraId="4E903727" w14:textId="561E9D3F">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30028F6C">
        <w:rPr>
          <w:rFonts w:ascii="Calibri" w:hAnsi="Calibri" w:eastAsia="Calibri" w:cs="Calibri"/>
          <w:noProof w:val="0"/>
          <w:color w:val="000000" w:themeColor="text1" w:themeTint="FF" w:themeShade="FF"/>
          <w:sz w:val="32"/>
          <w:szCs w:val="32"/>
          <w:lang w:val="en-GB"/>
        </w:rPr>
        <w:t>Despite its strengths, the Leuven Scale has limitations. As a subjective tool, scoring relies on practitioner interpretation, raising potential concerns regardingreliability and bias. Short observation periods may not capture sustained patterns of engagement, and the scale measures intensity of involvement rather than specific learning outcomes. Some researchers argue that this focus on observable intensity may privilege cognitive interpretations of engagement and overlook embodied or sensory forms of learning that occur through movement and physical experience (MacRae and Jones, 2019). For this reason, the Leuven Scale is most effective when used alongside broader measures of provision.</w:t>
      </w:r>
    </w:p>
    <w:p w:rsidR="30028F6C" w:rsidP="5ED2A312" w:rsidRDefault="30028F6C" w14:paraId="744DAA62" w14:textId="241CDB54">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30028F6C">
        <w:rPr>
          <w:rFonts w:ascii="Calibri" w:hAnsi="Calibri" w:eastAsia="Calibri" w:cs="Calibri"/>
          <w:noProof w:val="0"/>
          <w:color w:val="000000" w:themeColor="text1" w:themeTint="FF" w:themeShade="FF"/>
          <w:sz w:val="32"/>
          <w:szCs w:val="32"/>
          <w:lang w:val="en-GB"/>
        </w:rPr>
        <w:t>While the Leuven Scale provides valuable insight into children’s emotional wellbeing and engagement, it does not offer a fully holistic assessment of development, as it focuses primarily on emotional and experiential dimensions rather than specific cognitive, linguistic or physical outcomes.</w:t>
      </w:r>
    </w:p>
    <w:p w:rsidR="30028F6C" w:rsidP="5ED2A312" w:rsidRDefault="30028F6C" w14:paraId="440DB895" w14:textId="6CAE307F">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30028F6C">
        <w:rPr>
          <w:rFonts w:ascii="Calibri" w:hAnsi="Calibri" w:eastAsia="Calibri" w:cs="Calibri"/>
          <w:noProof w:val="0"/>
          <w:color w:val="000000" w:themeColor="text1" w:themeTint="FF" w:themeShade="FF"/>
          <w:sz w:val="32"/>
          <w:szCs w:val="32"/>
          <w:lang w:val="en-GB"/>
        </w:rPr>
        <w:t xml:space="preserve">To explain the link between intense activity and learning, Laevers draws on constructivist theory, combining Piaget’s view of children as active knowledge builders with </w:t>
      </w:r>
      <w:r w:rsidRPr="5ED2A312" w:rsidR="30028F6C">
        <w:rPr>
          <w:rFonts w:ascii="Calibri" w:hAnsi="Calibri" w:eastAsia="Calibri" w:cs="Calibri"/>
          <w:noProof w:val="0"/>
          <w:color w:val="000000" w:themeColor="text1" w:themeTint="FF" w:themeShade="FF"/>
          <w:sz w:val="32"/>
          <w:szCs w:val="32"/>
          <w:lang w:val="en-GB"/>
        </w:rPr>
        <w:t>Gendlin’s</w:t>
      </w:r>
      <w:r w:rsidRPr="5ED2A312" w:rsidR="30028F6C">
        <w:rPr>
          <w:rFonts w:ascii="Calibri" w:hAnsi="Calibri" w:eastAsia="Calibri" w:cs="Calibri"/>
          <w:noProof w:val="0"/>
          <w:color w:val="000000" w:themeColor="text1" w:themeTint="FF" w:themeShade="FF"/>
          <w:sz w:val="32"/>
          <w:szCs w:val="32"/>
          <w:lang w:val="en-GB"/>
        </w:rPr>
        <w:t xml:space="preserve"> concept of “felt sense,” which highlights the role of bodily experience, </w:t>
      </w:r>
      <w:r w:rsidRPr="5ED2A312" w:rsidR="30028F6C">
        <w:rPr>
          <w:rFonts w:ascii="Calibri" w:hAnsi="Calibri" w:eastAsia="Calibri" w:cs="Calibri"/>
          <w:noProof w:val="0"/>
          <w:color w:val="000000" w:themeColor="text1" w:themeTint="FF" w:themeShade="FF"/>
          <w:sz w:val="32"/>
          <w:szCs w:val="32"/>
          <w:lang w:val="en-GB"/>
        </w:rPr>
        <w:t>intuition</w:t>
      </w:r>
      <w:r w:rsidRPr="5ED2A312" w:rsidR="30028F6C">
        <w:rPr>
          <w:rFonts w:ascii="Calibri" w:hAnsi="Calibri" w:eastAsia="Calibri" w:cs="Calibri"/>
          <w:noProof w:val="0"/>
          <w:color w:val="000000" w:themeColor="text1" w:themeTint="FF" w:themeShade="FF"/>
          <w:sz w:val="32"/>
          <w:szCs w:val="32"/>
          <w:lang w:val="en-GB"/>
        </w:rPr>
        <w:t xml:space="preserve"> and emotion in learning. This perspective suggests that children’s emotional wellbeing and level of involvement can be used as signs of deep learning. However, some researchers argue that focusing </w:t>
      </w:r>
      <w:r w:rsidRPr="5ED2A312" w:rsidR="30028F6C">
        <w:rPr>
          <w:rFonts w:ascii="Calibri" w:hAnsi="Calibri" w:eastAsia="Calibri" w:cs="Calibri"/>
          <w:noProof w:val="0"/>
          <w:color w:val="000000" w:themeColor="text1" w:themeTint="FF" w:themeShade="FF"/>
          <w:sz w:val="32"/>
          <w:szCs w:val="32"/>
          <w:lang w:val="en-GB"/>
        </w:rPr>
        <w:t>mainly on</w:t>
      </w:r>
      <w:r w:rsidRPr="5ED2A312" w:rsidR="30028F6C">
        <w:rPr>
          <w:rFonts w:ascii="Calibri" w:hAnsi="Calibri" w:eastAsia="Calibri" w:cs="Calibri"/>
          <w:noProof w:val="0"/>
          <w:color w:val="000000" w:themeColor="text1" w:themeTint="FF" w:themeShade="FF"/>
          <w:sz w:val="32"/>
          <w:szCs w:val="32"/>
          <w:lang w:val="en-GB"/>
        </w:rPr>
        <w:t xml:space="preserve"> visible intensity and concentration may place too much emphasis on cognitive forms of engagement and overlook learning that occurs through movement, physical </w:t>
      </w:r>
      <w:r w:rsidRPr="5ED2A312" w:rsidR="30028F6C">
        <w:rPr>
          <w:rFonts w:ascii="Calibri" w:hAnsi="Calibri" w:eastAsia="Calibri" w:cs="Calibri"/>
          <w:noProof w:val="0"/>
          <w:color w:val="000000" w:themeColor="text1" w:themeTint="FF" w:themeShade="FF"/>
          <w:sz w:val="32"/>
          <w:szCs w:val="32"/>
          <w:lang w:val="en-GB"/>
        </w:rPr>
        <w:t>activity</w:t>
      </w:r>
      <w:r w:rsidRPr="5ED2A312" w:rsidR="30028F6C">
        <w:rPr>
          <w:rFonts w:ascii="Calibri" w:hAnsi="Calibri" w:eastAsia="Calibri" w:cs="Calibri"/>
          <w:noProof w:val="0"/>
          <w:color w:val="000000" w:themeColor="text1" w:themeTint="FF" w:themeShade="FF"/>
          <w:sz w:val="32"/>
          <w:szCs w:val="32"/>
          <w:lang w:val="en-GB"/>
        </w:rPr>
        <w:t xml:space="preserve"> and sensory experiences. (MacRae and Jones, 2020). While the Leuven Scale </w:t>
      </w:r>
      <w:r w:rsidRPr="5ED2A312" w:rsidR="30028F6C">
        <w:rPr>
          <w:rFonts w:ascii="Calibri" w:hAnsi="Calibri" w:eastAsia="Calibri" w:cs="Calibri"/>
          <w:noProof w:val="0"/>
          <w:color w:val="000000" w:themeColor="text1" w:themeTint="FF" w:themeShade="FF"/>
          <w:sz w:val="32"/>
          <w:szCs w:val="32"/>
          <w:lang w:val="en-GB"/>
        </w:rPr>
        <w:t>provides</w:t>
      </w:r>
      <w:r w:rsidRPr="5ED2A312" w:rsidR="30028F6C">
        <w:rPr>
          <w:rFonts w:ascii="Calibri" w:hAnsi="Calibri" w:eastAsia="Calibri" w:cs="Calibri"/>
          <w:noProof w:val="0"/>
          <w:color w:val="000000" w:themeColor="text1" w:themeTint="FF" w:themeShade="FF"/>
          <w:sz w:val="32"/>
          <w:szCs w:val="32"/>
          <w:lang w:val="en-GB"/>
        </w:rPr>
        <w:t xml:space="preserve"> valuable insight into </w:t>
      </w:r>
      <w:r w:rsidRPr="5ED2A312" w:rsidR="50D6D7DA">
        <w:rPr>
          <w:rFonts w:ascii="Calibri" w:hAnsi="Calibri" w:eastAsia="Calibri" w:cs="Calibri"/>
          <w:noProof w:val="0"/>
          <w:color w:val="000000" w:themeColor="text1" w:themeTint="FF" w:themeShade="FF"/>
          <w:sz w:val="32"/>
          <w:szCs w:val="32"/>
          <w:lang w:val="en-GB"/>
        </w:rPr>
        <w:t>children</w:t>
      </w:r>
      <w:r w:rsidRPr="5ED2A312" w:rsidR="30028F6C">
        <w:rPr>
          <w:rFonts w:ascii="Calibri" w:hAnsi="Calibri" w:eastAsia="Calibri" w:cs="Calibri"/>
          <w:noProof w:val="0"/>
          <w:color w:val="000000" w:themeColor="text1" w:themeTint="FF" w:themeShade="FF"/>
          <w:sz w:val="32"/>
          <w:szCs w:val="32"/>
          <w:lang w:val="en-GB"/>
        </w:rPr>
        <w:t xml:space="preserve"> lived experiences, its effective use requires skilled professional judgement and should be complemented by broader assessment approaches.</w:t>
      </w:r>
    </w:p>
    <w:p w:rsidR="5ED2A312" w:rsidP="5ED2A312" w:rsidRDefault="5ED2A312" w14:paraId="6405937F" w14:textId="68719934">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0218CFBF" w14:textId="47F340FA">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7CB81489" w14:textId="5961704E">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3D040281" w14:textId="51DF4A70">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524BB617" w14:textId="1CE13C86">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78D4DC08" w14:textId="2C2E58F9">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49A6F0CD" w:rsidP="5ED2A312" w:rsidRDefault="49A6F0CD" w14:paraId="19FD5A7F" w14:textId="60F6E1F7">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49A6F0CD">
        <w:rPr>
          <w:rFonts w:ascii="Calibri" w:hAnsi="Calibri" w:eastAsia="Calibri" w:cs="Calibri"/>
          <w:noProof w:val="0"/>
          <w:color w:val="000000" w:themeColor="text1" w:themeTint="FF" w:themeShade="FF"/>
          <w:sz w:val="32"/>
          <w:szCs w:val="32"/>
          <w:lang w:val="en-GB"/>
        </w:rPr>
        <w:t xml:space="preserve">Part 4 </w:t>
      </w:r>
    </w:p>
    <w:p w:rsidR="49A6F0CD" w:rsidP="5ED2A312" w:rsidRDefault="49A6F0CD" w14:paraId="1AB0983D" w14:textId="2AA5A7A3">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5ED2A312" w:rsidR="49A6F0CD">
        <w:rPr>
          <w:rFonts w:ascii="Calibri" w:hAnsi="Calibri" w:eastAsia="Calibri" w:cs="Calibri"/>
          <w:noProof w:val="0"/>
          <w:color w:val="000000" w:themeColor="text1" w:themeTint="FF" w:themeShade="FF"/>
          <w:sz w:val="32"/>
          <w:szCs w:val="32"/>
          <w:lang w:val="en-GB"/>
        </w:rPr>
        <w:t xml:space="preserve">Word count </w:t>
      </w:r>
      <w:r w:rsidRPr="5ED2A312" w:rsidR="657891E7">
        <w:rPr>
          <w:rFonts w:ascii="Calibri" w:hAnsi="Calibri" w:eastAsia="Calibri" w:cs="Calibri"/>
          <w:noProof w:val="0"/>
          <w:color w:val="000000" w:themeColor="text1" w:themeTint="FF" w:themeShade="FF"/>
          <w:sz w:val="32"/>
          <w:szCs w:val="32"/>
          <w:lang w:val="en-GB"/>
        </w:rPr>
        <w:t>590</w:t>
      </w:r>
    </w:p>
    <w:p w:rsidR="5ED2A312" w:rsidP="5ED2A312" w:rsidRDefault="5ED2A312" w14:paraId="5DFDAAF5" w14:textId="17E1707A">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16E5A04D" w14:textId="135F7FAE">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4B6DD836" w14:textId="40B6C31E">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32992374" w14:textId="174187C6">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4BABCF42" w14:textId="2BB0D45C">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73062074" w14:textId="6B7E2674">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0ADE6350" w14:textId="0C4BCE47">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6D3EED78" w14:textId="369B0FB3">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69473364" w14:textId="16B845A9">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6F541B8E" w14:textId="3431E345">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61A320AB" w14:textId="69985399">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0261179B" w14:textId="37E1C3F7">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0B7A2483" w14:textId="46ABF233">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29EF52E6" w14:textId="27643248">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3B9CD4B4" w14:textId="0A9F42DA">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657891E7" w:rsidP="5ED2A312" w:rsidRDefault="657891E7" w14:paraId="7C229F03" w14:textId="6163FBCE">
      <w:pPr>
        <w:pStyle w:val="Normal"/>
        <w:spacing w:before="240" w:beforeAutospacing="off" w:after="240" w:afterAutospacing="off"/>
        <w:jc w:val="left"/>
      </w:pPr>
      <w:r w:rsidRPr="5ED2A312" w:rsidR="657891E7">
        <w:rPr>
          <w:rFonts w:ascii="Calibri" w:hAnsi="Calibri" w:eastAsia="Calibri" w:cs="Calibri"/>
          <w:noProof w:val="0"/>
          <w:color w:val="000000" w:themeColor="text1" w:themeTint="FF" w:themeShade="FF"/>
          <w:sz w:val="32"/>
          <w:szCs w:val="32"/>
          <w:lang w:val="en-GB"/>
        </w:rPr>
        <w:t xml:space="preserve">Part 4 Demonstrate an understanding of the role of play when undertaking observations and assessments of children and consider how this effects the child's engagement and the accuracy of the observation. Children are active meaning-makers who are naturally curious and competent learners, constructing understanding through their own experiences, </w:t>
      </w:r>
      <w:r w:rsidRPr="5ED2A312" w:rsidR="657891E7">
        <w:rPr>
          <w:rFonts w:ascii="Calibri" w:hAnsi="Calibri" w:eastAsia="Calibri" w:cs="Calibri"/>
          <w:noProof w:val="0"/>
          <w:color w:val="000000" w:themeColor="text1" w:themeTint="FF" w:themeShade="FF"/>
          <w:sz w:val="32"/>
          <w:szCs w:val="32"/>
          <w:lang w:val="en-GB"/>
        </w:rPr>
        <w:t>interests</w:t>
      </w:r>
      <w:r w:rsidRPr="5ED2A312" w:rsidR="657891E7">
        <w:rPr>
          <w:rFonts w:ascii="Calibri" w:hAnsi="Calibri" w:eastAsia="Calibri" w:cs="Calibri"/>
          <w:noProof w:val="0"/>
          <w:color w:val="000000" w:themeColor="text1" w:themeTint="FF" w:themeShade="FF"/>
          <w:sz w:val="32"/>
          <w:szCs w:val="32"/>
          <w:lang w:val="en-GB"/>
        </w:rPr>
        <w:t xml:space="preserve"> and questioning (Smidt, 2015). Smidt further explains that as young children learn most effectively through play, </w:t>
      </w:r>
      <w:r w:rsidRPr="5ED2A312" w:rsidR="657891E7">
        <w:rPr>
          <w:rFonts w:ascii="Calibri" w:hAnsi="Calibri" w:eastAsia="Calibri" w:cs="Calibri"/>
          <w:noProof w:val="0"/>
          <w:color w:val="000000" w:themeColor="text1" w:themeTint="FF" w:themeShade="FF"/>
          <w:sz w:val="32"/>
          <w:szCs w:val="32"/>
          <w:lang w:val="en-GB"/>
        </w:rPr>
        <w:t>observing</w:t>
      </w:r>
      <w:r w:rsidRPr="5ED2A312" w:rsidR="657891E7">
        <w:rPr>
          <w:rFonts w:ascii="Calibri" w:hAnsi="Calibri" w:eastAsia="Calibri" w:cs="Calibri"/>
          <w:noProof w:val="0"/>
          <w:color w:val="000000" w:themeColor="text1" w:themeTint="FF" w:themeShade="FF"/>
          <w:sz w:val="32"/>
          <w:szCs w:val="32"/>
          <w:lang w:val="en-GB"/>
        </w:rPr>
        <w:t xml:space="preserve"> children within play contexts enables practitioners to gain insight into their thinking, </w:t>
      </w:r>
      <w:r w:rsidRPr="5ED2A312" w:rsidR="657891E7">
        <w:rPr>
          <w:rFonts w:ascii="Calibri" w:hAnsi="Calibri" w:eastAsia="Calibri" w:cs="Calibri"/>
          <w:noProof w:val="0"/>
          <w:color w:val="000000" w:themeColor="text1" w:themeTint="FF" w:themeShade="FF"/>
          <w:sz w:val="32"/>
          <w:szCs w:val="32"/>
          <w:lang w:val="en-GB"/>
        </w:rPr>
        <w:t>interests</w:t>
      </w:r>
      <w:r w:rsidRPr="5ED2A312" w:rsidR="657891E7">
        <w:rPr>
          <w:rFonts w:ascii="Calibri" w:hAnsi="Calibri" w:eastAsia="Calibri" w:cs="Calibri"/>
          <w:noProof w:val="0"/>
          <w:color w:val="000000" w:themeColor="text1" w:themeTint="FF" w:themeShade="FF"/>
          <w:sz w:val="32"/>
          <w:szCs w:val="32"/>
          <w:lang w:val="en-GB"/>
        </w:rPr>
        <w:t xml:space="preserve"> and developmental progress. Play therefore becomes a crucial context for meaningful observation and assessment. Vygotsky (2016) argues that play is not simply an activity children engage in for enjoyment, but a central process that supports mental development. Through play, children develop thinking skills, practise social roles, learn </w:t>
      </w:r>
      <w:r w:rsidRPr="5ED2A312" w:rsidR="657891E7">
        <w:rPr>
          <w:rFonts w:ascii="Calibri" w:hAnsi="Calibri" w:eastAsia="Calibri" w:cs="Calibri"/>
          <w:noProof w:val="0"/>
          <w:color w:val="000000" w:themeColor="text1" w:themeTint="FF" w:themeShade="FF"/>
          <w:sz w:val="32"/>
          <w:szCs w:val="32"/>
          <w:lang w:val="en-GB"/>
        </w:rPr>
        <w:t>self-control</w:t>
      </w:r>
      <w:r w:rsidRPr="5ED2A312" w:rsidR="657891E7">
        <w:rPr>
          <w:rFonts w:ascii="Calibri" w:hAnsi="Calibri" w:eastAsia="Calibri" w:cs="Calibri"/>
          <w:noProof w:val="0"/>
          <w:color w:val="000000" w:themeColor="text1" w:themeTint="FF" w:themeShade="FF"/>
          <w:sz w:val="32"/>
          <w:szCs w:val="32"/>
          <w:lang w:val="en-GB"/>
        </w:rPr>
        <w:t xml:space="preserve"> and expand their imagination as they act beyond their immediate reality. This perspective is significant for observation and assessment, as if play leads development, then </w:t>
      </w:r>
      <w:r w:rsidRPr="5ED2A312" w:rsidR="657891E7">
        <w:rPr>
          <w:rFonts w:ascii="Calibri" w:hAnsi="Calibri" w:eastAsia="Calibri" w:cs="Calibri"/>
          <w:noProof w:val="0"/>
          <w:color w:val="000000" w:themeColor="text1" w:themeTint="FF" w:themeShade="FF"/>
          <w:sz w:val="32"/>
          <w:szCs w:val="32"/>
          <w:lang w:val="en-GB"/>
        </w:rPr>
        <w:t>observing</w:t>
      </w:r>
      <w:r w:rsidRPr="5ED2A312" w:rsidR="657891E7">
        <w:rPr>
          <w:rFonts w:ascii="Calibri" w:hAnsi="Calibri" w:eastAsia="Calibri" w:cs="Calibri"/>
          <w:noProof w:val="0"/>
          <w:color w:val="000000" w:themeColor="text1" w:themeTint="FF" w:themeShade="FF"/>
          <w:sz w:val="32"/>
          <w:szCs w:val="32"/>
          <w:lang w:val="en-GB"/>
        </w:rPr>
        <w:t xml:space="preserve"> children during play allows practitioners to </w:t>
      </w:r>
      <w:r w:rsidRPr="5ED2A312" w:rsidR="657891E7">
        <w:rPr>
          <w:rFonts w:ascii="Calibri" w:hAnsi="Calibri" w:eastAsia="Calibri" w:cs="Calibri"/>
          <w:noProof w:val="0"/>
          <w:color w:val="000000" w:themeColor="text1" w:themeTint="FF" w:themeShade="FF"/>
          <w:sz w:val="32"/>
          <w:szCs w:val="32"/>
          <w:lang w:val="en-GB"/>
        </w:rPr>
        <w:t>witness</w:t>
      </w:r>
      <w:r w:rsidRPr="5ED2A312" w:rsidR="657891E7">
        <w:rPr>
          <w:rFonts w:ascii="Calibri" w:hAnsi="Calibri" w:eastAsia="Calibri" w:cs="Calibri"/>
          <w:noProof w:val="0"/>
          <w:color w:val="000000" w:themeColor="text1" w:themeTint="FF" w:themeShade="FF"/>
          <w:sz w:val="32"/>
          <w:szCs w:val="32"/>
          <w:lang w:val="en-GB"/>
        </w:rPr>
        <w:t xml:space="preserve"> development as it occurs in real time. Vygotsky further explains that children do not play purely for fun; rather, play enables them to respond to their needs, </w:t>
      </w:r>
      <w:r w:rsidRPr="5ED2A312" w:rsidR="657891E7">
        <w:rPr>
          <w:rFonts w:ascii="Calibri" w:hAnsi="Calibri" w:eastAsia="Calibri" w:cs="Calibri"/>
          <w:noProof w:val="0"/>
          <w:color w:val="000000" w:themeColor="text1" w:themeTint="FF" w:themeShade="FF"/>
          <w:sz w:val="32"/>
          <w:szCs w:val="32"/>
          <w:lang w:val="en-GB"/>
        </w:rPr>
        <w:t>motivations</w:t>
      </w:r>
      <w:r w:rsidRPr="5ED2A312" w:rsidR="657891E7">
        <w:rPr>
          <w:rFonts w:ascii="Calibri" w:hAnsi="Calibri" w:eastAsia="Calibri" w:cs="Calibri"/>
          <w:noProof w:val="0"/>
          <w:color w:val="000000" w:themeColor="text1" w:themeTint="FF" w:themeShade="FF"/>
          <w:sz w:val="32"/>
          <w:szCs w:val="32"/>
          <w:lang w:val="en-GB"/>
        </w:rPr>
        <w:t xml:space="preserve"> and desires, allowing them to explore experiences that may not yet be possible in real life. He criticises developmental theories that focus solely on intelligence or fixed stages, arguing instead that development progresses through children’s motivation to act, explore and engage meaningfully with their environment. Consequently, </w:t>
      </w:r>
      <w:r w:rsidRPr="5ED2A312" w:rsidR="657891E7">
        <w:rPr>
          <w:rFonts w:ascii="Calibri" w:hAnsi="Calibri" w:eastAsia="Calibri" w:cs="Calibri"/>
          <w:noProof w:val="0"/>
          <w:color w:val="000000" w:themeColor="text1" w:themeTint="FF" w:themeShade="FF"/>
          <w:sz w:val="32"/>
          <w:szCs w:val="32"/>
          <w:lang w:val="en-GB"/>
        </w:rPr>
        <w:t>observing</w:t>
      </w:r>
      <w:r w:rsidRPr="5ED2A312" w:rsidR="657891E7">
        <w:rPr>
          <w:rFonts w:ascii="Calibri" w:hAnsi="Calibri" w:eastAsia="Calibri" w:cs="Calibri"/>
          <w:noProof w:val="0"/>
          <w:color w:val="000000" w:themeColor="text1" w:themeTint="FF" w:themeShade="FF"/>
          <w:sz w:val="32"/>
          <w:szCs w:val="32"/>
          <w:lang w:val="en-GB"/>
        </w:rPr>
        <w:t xml:space="preserve"> play </w:t>
      </w:r>
      <w:r w:rsidRPr="5ED2A312" w:rsidR="657891E7">
        <w:rPr>
          <w:rFonts w:ascii="Calibri" w:hAnsi="Calibri" w:eastAsia="Calibri" w:cs="Calibri"/>
          <w:noProof w:val="0"/>
          <w:color w:val="000000" w:themeColor="text1" w:themeTint="FF" w:themeShade="FF"/>
          <w:sz w:val="32"/>
          <w:szCs w:val="32"/>
          <w:lang w:val="en-GB"/>
        </w:rPr>
        <w:t>provides</w:t>
      </w:r>
      <w:r w:rsidRPr="5ED2A312" w:rsidR="657891E7">
        <w:rPr>
          <w:rFonts w:ascii="Calibri" w:hAnsi="Calibri" w:eastAsia="Calibri" w:cs="Calibri"/>
          <w:noProof w:val="0"/>
          <w:color w:val="000000" w:themeColor="text1" w:themeTint="FF" w:themeShade="FF"/>
          <w:sz w:val="32"/>
          <w:szCs w:val="32"/>
          <w:lang w:val="en-GB"/>
        </w:rPr>
        <w:t xml:space="preserve"> valuable insight into children’s emerging abilities, </w:t>
      </w:r>
      <w:r w:rsidRPr="5ED2A312" w:rsidR="657891E7">
        <w:rPr>
          <w:rFonts w:ascii="Calibri" w:hAnsi="Calibri" w:eastAsia="Calibri" w:cs="Calibri"/>
          <w:noProof w:val="0"/>
          <w:color w:val="000000" w:themeColor="text1" w:themeTint="FF" w:themeShade="FF"/>
          <w:sz w:val="32"/>
          <w:szCs w:val="32"/>
          <w:lang w:val="en-GB"/>
        </w:rPr>
        <w:t>interests</w:t>
      </w:r>
      <w:r w:rsidRPr="5ED2A312" w:rsidR="657891E7">
        <w:rPr>
          <w:rFonts w:ascii="Calibri" w:hAnsi="Calibri" w:eastAsia="Calibri" w:cs="Calibri"/>
          <w:noProof w:val="0"/>
          <w:color w:val="000000" w:themeColor="text1" w:themeTint="FF" w:themeShade="FF"/>
          <w:sz w:val="32"/>
          <w:szCs w:val="32"/>
          <w:lang w:val="en-GB"/>
        </w:rPr>
        <w:t xml:space="preserve"> and developmental progress. The role of the adult is therefore crucial in supporting play-based observation and assessment. Practitioners must adopt a sensitive and reflective approach, often standing back to allow children to lead their own play experiences while carefully </w:t>
      </w:r>
      <w:r w:rsidRPr="5ED2A312" w:rsidR="657891E7">
        <w:rPr>
          <w:rFonts w:ascii="Calibri" w:hAnsi="Calibri" w:eastAsia="Calibri" w:cs="Calibri"/>
          <w:noProof w:val="0"/>
          <w:color w:val="000000" w:themeColor="text1" w:themeTint="FF" w:themeShade="FF"/>
          <w:sz w:val="32"/>
          <w:szCs w:val="32"/>
          <w:lang w:val="en-GB"/>
        </w:rPr>
        <w:t>observing</w:t>
      </w:r>
      <w:r w:rsidRPr="5ED2A312" w:rsidR="657891E7">
        <w:rPr>
          <w:rFonts w:ascii="Calibri" w:hAnsi="Calibri" w:eastAsia="Calibri" w:cs="Calibri"/>
          <w:noProof w:val="0"/>
          <w:color w:val="000000" w:themeColor="text1" w:themeTint="FF" w:themeShade="FF"/>
          <w:sz w:val="32"/>
          <w:szCs w:val="32"/>
          <w:lang w:val="en-GB"/>
        </w:rPr>
        <w:t xml:space="preserve"> interactions and behaviours. By avoiding unnecessary intervention, adults enable children to remain deeply engaged, resulting in more authentic observations of learning and development. Effective observation also relies on practitioners having strong knowledge of child development and an understanding of individual children, as this supports </w:t>
      </w:r>
      <w:r w:rsidRPr="5ED2A312" w:rsidR="657891E7">
        <w:rPr>
          <w:rFonts w:ascii="Calibri" w:hAnsi="Calibri" w:eastAsia="Calibri" w:cs="Calibri"/>
          <w:noProof w:val="0"/>
          <w:color w:val="000000" w:themeColor="text1" w:themeTint="FF" w:themeShade="FF"/>
          <w:sz w:val="32"/>
          <w:szCs w:val="32"/>
          <w:lang w:val="en-GB"/>
        </w:rPr>
        <w:t>accurate</w:t>
      </w:r>
      <w:r w:rsidRPr="5ED2A312" w:rsidR="657891E7">
        <w:rPr>
          <w:rFonts w:ascii="Calibri" w:hAnsi="Calibri" w:eastAsia="Calibri" w:cs="Calibri"/>
          <w:noProof w:val="0"/>
          <w:color w:val="000000" w:themeColor="text1" w:themeTint="FF" w:themeShade="FF"/>
          <w:sz w:val="32"/>
          <w:szCs w:val="32"/>
          <w:lang w:val="en-GB"/>
        </w:rPr>
        <w:t xml:space="preserve"> interpretation of behaviours and prevents assumptions based solely on age or expected stages. Furthermore, creating enabling environments that reflect children’s interests encourages sustained involvement in play, allowing practitioners to </w:t>
      </w:r>
      <w:r w:rsidRPr="5ED2A312" w:rsidR="657891E7">
        <w:rPr>
          <w:rFonts w:ascii="Calibri" w:hAnsi="Calibri" w:eastAsia="Calibri" w:cs="Calibri"/>
          <w:noProof w:val="0"/>
          <w:color w:val="000000" w:themeColor="text1" w:themeTint="FF" w:themeShade="FF"/>
          <w:sz w:val="32"/>
          <w:szCs w:val="32"/>
          <w:lang w:val="en-GB"/>
        </w:rPr>
        <w:t>observe</w:t>
      </w:r>
      <w:r w:rsidRPr="5ED2A312" w:rsidR="657891E7">
        <w:rPr>
          <w:rFonts w:ascii="Calibri" w:hAnsi="Calibri" w:eastAsia="Calibri" w:cs="Calibri"/>
          <w:noProof w:val="0"/>
          <w:color w:val="000000" w:themeColor="text1" w:themeTint="FF" w:themeShade="FF"/>
          <w:sz w:val="32"/>
          <w:szCs w:val="32"/>
          <w:lang w:val="en-GB"/>
        </w:rPr>
        <w:t xml:space="preserve"> genuine engagement and emerging skills. In this way, the adult’s role directly influences both the child’s level of engagement and the accuracy of assessment outcomes. Practitioners play a crucial role in supporting play as an effective context for observation and assessment. Howard and McInnes (2013) emphasise that play is characterised by children’s sense of autonomy and control, arguing that it is not the activity itself but how it is experienced by the child that defines play. When children perceive an activity as play, they are more likely to feel relaxed, </w:t>
      </w:r>
      <w:r w:rsidRPr="5ED2A312" w:rsidR="657891E7">
        <w:rPr>
          <w:rFonts w:ascii="Calibri" w:hAnsi="Calibri" w:eastAsia="Calibri" w:cs="Calibri"/>
          <w:noProof w:val="0"/>
          <w:color w:val="000000" w:themeColor="text1" w:themeTint="FF" w:themeShade="FF"/>
          <w:sz w:val="32"/>
          <w:szCs w:val="32"/>
          <w:lang w:val="en-GB"/>
        </w:rPr>
        <w:t>motivated</w:t>
      </w:r>
      <w:r w:rsidRPr="5ED2A312" w:rsidR="657891E7">
        <w:rPr>
          <w:rFonts w:ascii="Calibri" w:hAnsi="Calibri" w:eastAsia="Calibri" w:cs="Calibri"/>
          <w:noProof w:val="0"/>
          <w:color w:val="000000" w:themeColor="text1" w:themeTint="FF" w:themeShade="FF"/>
          <w:sz w:val="32"/>
          <w:szCs w:val="32"/>
          <w:lang w:val="en-GB"/>
        </w:rPr>
        <w:t xml:space="preserve"> and emotionally secure, creating a fear-free environment in which they can explore ideas, take </w:t>
      </w:r>
      <w:r w:rsidRPr="5ED2A312" w:rsidR="657891E7">
        <w:rPr>
          <w:rFonts w:ascii="Calibri" w:hAnsi="Calibri" w:eastAsia="Calibri" w:cs="Calibri"/>
          <w:noProof w:val="0"/>
          <w:color w:val="000000" w:themeColor="text1" w:themeTint="FF" w:themeShade="FF"/>
          <w:sz w:val="32"/>
          <w:szCs w:val="32"/>
          <w:lang w:val="en-GB"/>
        </w:rPr>
        <w:t>risks</w:t>
      </w:r>
      <w:r w:rsidRPr="5ED2A312" w:rsidR="657891E7">
        <w:rPr>
          <w:rFonts w:ascii="Calibri" w:hAnsi="Calibri" w:eastAsia="Calibri" w:cs="Calibri"/>
          <w:noProof w:val="0"/>
          <w:color w:val="000000" w:themeColor="text1" w:themeTint="FF" w:themeShade="FF"/>
          <w:sz w:val="32"/>
          <w:szCs w:val="32"/>
          <w:lang w:val="en-GB"/>
        </w:rPr>
        <w:t xml:space="preserve"> and regulate their own learning. This highlights the importance of adults adopting a supportive rather than directive role, standing back to allow self-initiated play while drawing on strong knowledge of child development and an understanding of individual children to interpret behaviours accurately. Furthermore, by creating enabling environments that reflect children’s interests and promote choice, practitioners can encourage deeper engagement, enabling children to </w:t>
      </w:r>
      <w:r w:rsidRPr="5ED2A312" w:rsidR="657891E7">
        <w:rPr>
          <w:rFonts w:ascii="Calibri" w:hAnsi="Calibri" w:eastAsia="Calibri" w:cs="Calibri"/>
          <w:noProof w:val="0"/>
          <w:color w:val="000000" w:themeColor="text1" w:themeTint="FF" w:themeShade="FF"/>
          <w:sz w:val="32"/>
          <w:szCs w:val="32"/>
          <w:lang w:val="en-GB"/>
        </w:rPr>
        <w:t>demonstrate</w:t>
      </w:r>
      <w:r w:rsidRPr="5ED2A312" w:rsidR="657891E7">
        <w:rPr>
          <w:rFonts w:ascii="Calibri" w:hAnsi="Calibri" w:eastAsia="Calibri" w:cs="Calibri"/>
          <w:noProof w:val="0"/>
          <w:color w:val="000000" w:themeColor="text1" w:themeTint="FF" w:themeShade="FF"/>
          <w:sz w:val="32"/>
          <w:szCs w:val="32"/>
          <w:lang w:val="en-GB"/>
        </w:rPr>
        <w:t xml:space="preserve"> authentic skills and interactions. As Howard and McInnes suggest that play amplifies learning processes, </w:t>
      </w:r>
      <w:r w:rsidRPr="5ED2A312" w:rsidR="657891E7">
        <w:rPr>
          <w:rFonts w:ascii="Calibri" w:hAnsi="Calibri" w:eastAsia="Calibri" w:cs="Calibri"/>
          <w:noProof w:val="0"/>
          <w:color w:val="000000" w:themeColor="text1" w:themeTint="FF" w:themeShade="FF"/>
          <w:sz w:val="32"/>
          <w:szCs w:val="32"/>
          <w:lang w:val="en-GB"/>
        </w:rPr>
        <w:t>observing</w:t>
      </w:r>
      <w:r w:rsidRPr="5ED2A312" w:rsidR="657891E7">
        <w:rPr>
          <w:rFonts w:ascii="Calibri" w:hAnsi="Calibri" w:eastAsia="Calibri" w:cs="Calibri"/>
          <w:noProof w:val="0"/>
          <w:color w:val="000000" w:themeColor="text1" w:themeTint="FF" w:themeShade="FF"/>
          <w:sz w:val="32"/>
          <w:szCs w:val="32"/>
          <w:lang w:val="en-GB"/>
        </w:rPr>
        <w:t xml:space="preserve"> children within play contexts allows practitioners to gain more </w:t>
      </w:r>
      <w:r w:rsidRPr="5ED2A312" w:rsidR="657891E7">
        <w:rPr>
          <w:rFonts w:ascii="Calibri" w:hAnsi="Calibri" w:eastAsia="Calibri" w:cs="Calibri"/>
          <w:noProof w:val="0"/>
          <w:color w:val="000000" w:themeColor="text1" w:themeTint="FF" w:themeShade="FF"/>
          <w:sz w:val="32"/>
          <w:szCs w:val="32"/>
          <w:lang w:val="en-GB"/>
        </w:rPr>
        <w:t>accurate</w:t>
      </w:r>
      <w:r w:rsidRPr="5ED2A312" w:rsidR="657891E7">
        <w:rPr>
          <w:rFonts w:ascii="Calibri" w:hAnsi="Calibri" w:eastAsia="Calibri" w:cs="Calibri"/>
          <w:noProof w:val="0"/>
          <w:color w:val="000000" w:themeColor="text1" w:themeTint="FF" w:themeShade="FF"/>
          <w:sz w:val="32"/>
          <w:szCs w:val="32"/>
          <w:lang w:val="en-GB"/>
        </w:rPr>
        <w:t xml:space="preserve"> insights into children’s development, as learning and engagement occur simultaneously within meaningful experiences. This </w:t>
      </w:r>
      <w:r w:rsidRPr="5ED2A312" w:rsidR="657891E7">
        <w:rPr>
          <w:rFonts w:ascii="Calibri" w:hAnsi="Calibri" w:eastAsia="Calibri" w:cs="Calibri"/>
          <w:noProof w:val="0"/>
          <w:color w:val="000000" w:themeColor="text1" w:themeTint="FF" w:themeShade="FF"/>
          <w:sz w:val="32"/>
          <w:szCs w:val="32"/>
          <w:lang w:val="en-GB"/>
        </w:rPr>
        <w:t>demonstrates</w:t>
      </w:r>
      <w:r w:rsidRPr="5ED2A312" w:rsidR="657891E7">
        <w:rPr>
          <w:rFonts w:ascii="Calibri" w:hAnsi="Calibri" w:eastAsia="Calibri" w:cs="Calibri"/>
          <w:noProof w:val="0"/>
          <w:color w:val="000000" w:themeColor="text1" w:themeTint="FF" w:themeShade="FF"/>
          <w:sz w:val="32"/>
          <w:szCs w:val="32"/>
          <w:lang w:val="en-GB"/>
        </w:rPr>
        <w:t xml:space="preserve"> that play-based observation not only increases children’s engagement but also enhances the validity and reliability of assessment by capturing authentic learning behaviours.</w:t>
      </w:r>
    </w:p>
    <w:p w:rsidR="5ED2A312" w:rsidP="5ED2A312" w:rsidRDefault="5ED2A312" w14:paraId="7B97BB46" w14:textId="591BA430">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460F612D" w14:textId="3AC4616D">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6B3C9C1F" w14:textId="21FB2DC4">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2AB754CF" w14:textId="16D50E51">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603F2E54" w14:textId="6C5AC643">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6E197FB1" w14:textId="64A9B0E2">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20B960B9" w14:textId="48E0CC2E">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18393045" w14:textId="3D874F08">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4EE27F4D" w14:textId="570A931F">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44EF0934" w14:textId="4E5647AA">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123C3DC4" w14:textId="01A14B80">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08CC9AC8" w14:textId="556A4B34">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7A78C43C" w14:textId="1D48ACFC">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4601E9C0" w14:textId="4F26790F">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2A9A018B" w14:textId="70E36918">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133D75FB" w14:textId="4EAE0C90">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63AEAAFA" w:rsidP="5ED2A312" w:rsidRDefault="63AEAAFA" w14:paraId="50A809C5" w14:textId="024C21B4">
      <w:pPr>
        <w:spacing w:before="240" w:beforeAutospacing="off" w:after="240" w:afterAutospacing="off"/>
        <w:jc w:val="left"/>
      </w:pPr>
      <w:r w:rsidRPr="5ED2A312" w:rsidR="63AEAAFA">
        <w:rPr>
          <w:rFonts w:ascii="Calibri" w:hAnsi="Calibri" w:eastAsia="Calibri" w:cs="Calibri"/>
          <w:b w:val="1"/>
          <w:bCs w:val="1"/>
          <w:noProof w:val="0"/>
          <w:color w:val="000000" w:themeColor="text1" w:themeTint="FF" w:themeShade="FF"/>
          <w:sz w:val="32"/>
          <w:szCs w:val="32"/>
          <w:lang w:val="en-GB"/>
        </w:rPr>
        <w:t>Reference List</w:t>
      </w:r>
    </w:p>
    <w:p w:rsidR="63AEAAFA" w:rsidP="5ED2A312" w:rsidRDefault="63AEAAFA" w14:paraId="1649BAD1" w14:textId="76881155">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Barandiaran, A., Muela, A., López de Arana, E., Larrea, I. and Vitoria, J.R. (2015) ‘Exploratory behaviour, emotional wellbeing and childcare quality in preschool education’, </w:t>
      </w:r>
      <w:r w:rsidRPr="5ED2A312" w:rsidR="63AEAAFA">
        <w:rPr>
          <w:rFonts w:ascii="Calibri" w:hAnsi="Calibri" w:eastAsia="Calibri" w:cs="Calibri"/>
          <w:i w:val="1"/>
          <w:iCs w:val="1"/>
          <w:noProof w:val="0"/>
          <w:color w:val="000000" w:themeColor="text1" w:themeTint="FF" w:themeShade="FF"/>
          <w:sz w:val="32"/>
          <w:szCs w:val="32"/>
          <w:lang w:val="en-GB"/>
        </w:rPr>
        <w:t>Anales de Psicología</w:t>
      </w:r>
      <w:r w:rsidRPr="5ED2A312" w:rsidR="63AEAAFA">
        <w:rPr>
          <w:rFonts w:ascii="Calibri" w:hAnsi="Calibri" w:eastAsia="Calibri" w:cs="Calibri"/>
          <w:noProof w:val="0"/>
          <w:color w:val="000000" w:themeColor="text1" w:themeTint="FF" w:themeShade="FF"/>
          <w:sz w:val="32"/>
          <w:szCs w:val="32"/>
          <w:lang w:val="en-GB"/>
        </w:rPr>
        <w:t xml:space="preserve">, 31(2), pp. 570–578. Available at: </w:t>
      </w:r>
      <w:hyperlink r:id="Rd97330ae96664567">
        <w:r w:rsidRPr="5ED2A312" w:rsidR="63AEAAFA">
          <w:rPr>
            <w:rStyle w:val="Hyperlink"/>
            <w:rFonts w:ascii="Calibri" w:hAnsi="Calibri" w:eastAsia="Calibri" w:cs="Calibri"/>
            <w:noProof w:val="0"/>
            <w:color w:val="000000" w:themeColor="text1" w:themeTint="FF" w:themeShade="FF"/>
            <w:sz w:val="32"/>
            <w:szCs w:val="32"/>
            <w:lang w:val="en-GB"/>
          </w:rPr>
          <w:t>https://scielo.isciii.es/scielo.php?pid=S0212-97282015000200020&amp;script=sci_arttext</w:t>
        </w:r>
      </w:hyperlink>
      <w:r w:rsidRPr="5ED2A312" w:rsidR="63AEAAFA">
        <w:rPr>
          <w:rFonts w:ascii="Calibri" w:hAnsi="Calibri" w:eastAsia="Calibri" w:cs="Calibri"/>
          <w:noProof w:val="0"/>
          <w:color w:val="000000" w:themeColor="text1" w:themeTint="FF" w:themeShade="FF"/>
          <w:sz w:val="32"/>
          <w:szCs w:val="32"/>
          <w:lang w:val="en-GB"/>
        </w:rPr>
        <w:t xml:space="preserve"> (Accessed: 21 February 2026).</w:t>
      </w:r>
    </w:p>
    <w:p w:rsidR="63AEAAFA" w:rsidP="5ED2A312" w:rsidRDefault="63AEAAFA" w14:paraId="5C312B8C" w14:textId="53DA60C7">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Bianquin, N. (2019) ‘How can I, as an adult, facilitate play?’, in Bulgarelli, D. and Bianquin, N. (eds.) </w:t>
      </w:r>
      <w:r w:rsidRPr="5ED2A312" w:rsidR="63AEAAFA">
        <w:rPr>
          <w:rFonts w:ascii="Calibri" w:hAnsi="Calibri" w:eastAsia="Calibri" w:cs="Calibri"/>
          <w:i w:val="1"/>
          <w:iCs w:val="1"/>
          <w:noProof w:val="0"/>
          <w:color w:val="000000" w:themeColor="text1" w:themeTint="FF" w:themeShade="FF"/>
          <w:sz w:val="32"/>
          <w:szCs w:val="32"/>
          <w:lang w:val="en-GB"/>
        </w:rPr>
        <w:t>Play development in children with disabilities</w:t>
      </w:r>
      <w:r w:rsidRPr="5ED2A312" w:rsidR="63AEAAFA">
        <w:rPr>
          <w:rFonts w:ascii="Calibri" w:hAnsi="Calibri" w:eastAsia="Calibri" w:cs="Calibri"/>
          <w:noProof w:val="0"/>
          <w:color w:val="000000" w:themeColor="text1" w:themeTint="FF" w:themeShade="FF"/>
          <w:sz w:val="32"/>
          <w:szCs w:val="32"/>
          <w:lang w:val="en-GB"/>
        </w:rPr>
        <w:t xml:space="preserve">. Berlin: De Gruyter, pp. 51–58. Available at: </w:t>
      </w:r>
      <w:hyperlink r:id="R6d1c9321a2644ee3">
        <w:r w:rsidRPr="5ED2A312" w:rsidR="63AEAAFA">
          <w:rPr>
            <w:rStyle w:val="Hyperlink"/>
            <w:rFonts w:ascii="Calibri" w:hAnsi="Calibri" w:eastAsia="Calibri" w:cs="Calibri"/>
            <w:noProof w:val="0"/>
            <w:color w:val="000000" w:themeColor="text1" w:themeTint="FF" w:themeShade="FF"/>
            <w:sz w:val="32"/>
            <w:szCs w:val="32"/>
            <w:lang w:val="en-GB"/>
          </w:rPr>
          <w:t>https://reference-global.com/download/chapter/9783110613445/10.1515/9783110613445-009.pdf</w:t>
        </w:r>
      </w:hyperlink>
      <w:r w:rsidRPr="5ED2A312" w:rsidR="63AEAAFA">
        <w:rPr>
          <w:rFonts w:ascii="Calibri" w:hAnsi="Calibri" w:eastAsia="Calibri" w:cs="Calibri"/>
          <w:noProof w:val="0"/>
          <w:color w:val="000000" w:themeColor="text1" w:themeTint="FF" w:themeShade="FF"/>
          <w:sz w:val="32"/>
          <w:szCs w:val="32"/>
          <w:lang w:val="en-GB"/>
        </w:rPr>
        <w:t xml:space="preserve"> (Accessed: 23 February 2026).</w:t>
      </w:r>
    </w:p>
    <w:p w:rsidR="63AEAAFA" w:rsidP="5ED2A312" w:rsidRDefault="63AEAAFA" w14:paraId="6A606621" w14:textId="20663B43">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Connect Childcare (no date) </w:t>
      </w:r>
      <w:r w:rsidRPr="5ED2A312" w:rsidR="63AEAAFA">
        <w:rPr>
          <w:rFonts w:ascii="Calibri" w:hAnsi="Calibri" w:eastAsia="Calibri" w:cs="Calibri"/>
          <w:i w:val="1"/>
          <w:iCs w:val="1"/>
          <w:noProof w:val="0"/>
          <w:color w:val="000000" w:themeColor="text1" w:themeTint="FF" w:themeShade="FF"/>
          <w:sz w:val="32"/>
          <w:szCs w:val="32"/>
          <w:lang w:val="en-GB"/>
        </w:rPr>
        <w:t>EYFS observation methods in early years</w:t>
      </w:r>
      <w:r w:rsidRPr="5ED2A312" w:rsidR="63AEAAFA">
        <w:rPr>
          <w:rFonts w:ascii="Calibri" w:hAnsi="Calibri" w:eastAsia="Calibri" w:cs="Calibri"/>
          <w:noProof w:val="0"/>
          <w:color w:val="000000" w:themeColor="text1" w:themeTint="FF" w:themeShade="FF"/>
          <w:sz w:val="32"/>
          <w:szCs w:val="32"/>
          <w:lang w:val="en-GB"/>
        </w:rPr>
        <w:t xml:space="preserve">. Available at: </w:t>
      </w:r>
      <w:hyperlink r:id="Rb13a958939ff43d4">
        <w:r w:rsidRPr="5ED2A312" w:rsidR="63AEAAFA">
          <w:rPr>
            <w:rStyle w:val="Hyperlink"/>
            <w:rFonts w:ascii="Calibri" w:hAnsi="Calibri" w:eastAsia="Calibri" w:cs="Calibri"/>
            <w:noProof w:val="0"/>
            <w:color w:val="000000" w:themeColor="text1" w:themeTint="FF" w:themeShade="FF"/>
            <w:sz w:val="32"/>
            <w:szCs w:val="32"/>
            <w:lang w:val="en-GB"/>
          </w:rPr>
          <w:t>https://connectchildcare.com/blog/eyfs-observation-methods-in-early-years/</w:t>
        </w:r>
      </w:hyperlink>
      <w:r w:rsidRPr="5ED2A312" w:rsidR="63AEAAFA">
        <w:rPr>
          <w:rFonts w:ascii="Calibri" w:hAnsi="Calibri" w:eastAsia="Calibri" w:cs="Calibri"/>
          <w:noProof w:val="0"/>
          <w:color w:val="000000" w:themeColor="text1" w:themeTint="FF" w:themeShade="FF"/>
          <w:sz w:val="32"/>
          <w:szCs w:val="32"/>
          <w:lang w:val="en-GB"/>
        </w:rPr>
        <w:t xml:space="preserve"> (Accessed: 20 February 2026).</w:t>
      </w:r>
    </w:p>
    <w:p w:rsidR="63AEAAFA" w:rsidP="5ED2A312" w:rsidRDefault="63AEAAFA" w14:paraId="44C469C5" w14:textId="0384FA01">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Department for Education (2021) </w:t>
      </w:r>
      <w:r w:rsidRPr="5ED2A312" w:rsidR="63AEAAFA">
        <w:rPr>
          <w:rFonts w:ascii="Calibri" w:hAnsi="Calibri" w:eastAsia="Calibri" w:cs="Calibri"/>
          <w:i w:val="1"/>
          <w:iCs w:val="1"/>
          <w:noProof w:val="0"/>
          <w:color w:val="000000" w:themeColor="text1" w:themeTint="FF" w:themeShade="FF"/>
          <w:sz w:val="32"/>
          <w:szCs w:val="32"/>
          <w:lang w:val="en-GB"/>
        </w:rPr>
        <w:t>Study of Early Education and Development (SEED): Developing alternative quality scales for Early Childhood Education and Care (ECEC) using exploratory analysis</w:t>
      </w:r>
      <w:r w:rsidRPr="5ED2A312" w:rsidR="63AEAAFA">
        <w:rPr>
          <w:rFonts w:ascii="Calibri" w:hAnsi="Calibri" w:eastAsia="Calibri" w:cs="Calibri"/>
          <w:noProof w:val="0"/>
          <w:color w:val="000000" w:themeColor="text1" w:themeTint="FF" w:themeShade="FF"/>
          <w:sz w:val="32"/>
          <w:szCs w:val="32"/>
          <w:lang w:val="en-GB"/>
        </w:rPr>
        <w:t xml:space="preserve">. Research Brief. Available at: </w:t>
      </w:r>
      <w:hyperlink r:id="R6858ff9f65c44c89">
        <w:r w:rsidRPr="5ED2A312" w:rsidR="63AEAAFA">
          <w:rPr>
            <w:rStyle w:val="Hyperlink"/>
            <w:rFonts w:ascii="Calibri" w:hAnsi="Calibri" w:eastAsia="Calibri" w:cs="Calibri"/>
            <w:noProof w:val="0"/>
            <w:color w:val="000000" w:themeColor="text1" w:themeTint="FF" w:themeShade="FF"/>
            <w:sz w:val="32"/>
            <w:szCs w:val="32"/>
            <w:lang w:val="en-GB"/>
          </w:rPr>
          <w:t>https://assets.publishing.service.gov.uk/media/617c2c168fa8f529840623c9/SEED_Quality_Analyses_Research_Brief.pdf</w:t>
        </w:r>
      </w:hyperlink>
      <w:r w:rsidRPr="5ED2A312" w:rsidR="63AEAAFA">
        <w:rPr>
          <w:rFonts w:ascii="Calibri" w:hAnsi="Calibri" w:eastAsia="Calibri" w:cs="Calibri"/>
          <w:noProof w:val="0"/>
          <w:color w:val="000000" w:themeColor="text1" w:themeTint="FF" w:themeShade="FF"/>
          <w:sz w:val="32"/>
          <w:szCs w:val="32"/>
          <w:lang w:val="en-GB"/>
        </w:rPr>
        <w:t xml:space="preserve"> (Accessed: 21 February 2026).</w:t>
      </w:r>
    </w:p>
    <w:p w:rsidR="63AEAAFA" w:rsidP="5ED2A312" w:rsidRDefault="63AEAAFA" w14:paraId="11C340CF" w14:textId="2A973673">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Howard, J. and McInnes, K. (2013) </w:t>
      </w:r>
      <w:r w:rsidRPr="5ED2A312" w:rsidR="63AEAAFA">
        <w:rPr>
          <w:rFonts w:ascii="Calibri" w:hAnsi="Calibri" w:eastAsia="Calibri" w:cs="Calibri"/>
          <w:i w:val="1"/>
          <w:iCs w:val="1"/>
          <w:noProof w:val="0"/>
          <w:color w:val="000000" w:themeColor="text1" w:themeTint="FF" w:themeShade="FF"/>
          <w:sz w:val="32"/>
          <w:szCs w:val="32"/>
          <w:lang w:val="en-GB"/>
        </w:rPr>
        <w:t>The essence of play: A practice companion for professionals working with children and young people</w:t>
      </w:r>
      <w:r w:rsidRPr="5ED2A312" w:rsidR="63AEAAFA">
        <w:rPr>
          <w:rFonts w:ascii="Calibri" w:hAnsi="Calibri" w:eastAsia="Calibri" w:cs="Calibri"/>
          <w:noProof w:val="0"/>
          <w:color w:val="000000" w:themeColor="text1" w:themeTint="FF" w:themeShade="FF"/>
          <w:sz w:val="32"/>
          <w:szCs w:val="32"/>
          <w:lang w:val="en-GB"/>
        </w:rPr>
        <w:t>. London: Routledge.</w:t>
      </w:r>
    </w:p>
    <w:p w:rsidR="63AEAAFA" w:rsidP="5ED2A312" w:rsidRDefault="63AEAAFA" w14:paraId="762C2B1F" w14:textId="2A654B86">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MacRae, C. and Jones, L. (2019) ‘The intensity of involvement: Rethinking the Leuven Scale’, </w:t>
      </w:r>
      <w:r w:rsidRPr="5ED2A312" w:rsidR="63AEAAFA">
        <w:rPr>
          <w:rFonts w:ascii="Calibri" w:hAnsi="Calibri" w:eastAsia="Calibri" w:cs="Calibri"/>
          <w:i w:val="1"/>
          <w:iCs w:val="1"/>
          <w:noProof w:val="0"/>
          <w:color w:val="000000" w:themeColor="text1" w:themeTint="FF" w:themeShade="FF"/>
          <w:sz w:val="32"/>
          <w:szCs w:val="32"/>
          <w:lang w:val="en-GB"/>
        </w:rPr>
        <w:t>European Early Childhood Education Research Journal</w:t>
      </w:r>
      <w:r w:rsidRPr="5ED2A312" w:rsidR="63AEAAFA">
        <w:rPr>
          <w:rFonts w:ascii="Calibri" w:hAnsi="Calibri" w:eastAsia="Calibri" w:cs="Calibri"/>
          <w:noProof w:val="0"/>
          <w:color w:val="000000" w:themeColor="text1" w:themeTint="FF" w:themeShade="FF"/>
          <w:sz w:val="32"/>
          <w:szCs w:val="32"/>
          <w:lang w:val="en-GB"/>
        </w:rPr>
        <w:t>, 27(2), pp. 231–244.</w:t>
      </w:r>
    </w:p>
    <w:p w:rsidR="63AEAAFA" w:rsidP="5ED2A312" w:rsidRDefault="63AEAAFA" w14:paraId="3F3AE378" w14:textId="542E9950">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MacRae, C. and Jones, L. (2023) ‘A philosophical reflection on the “Leuven Scale” and young children’s expressions of involvement’, </w:t>
      </w:r>
      <w:r w:rsidRPr="5ED2A312" w:rsidR="63AEAAFA">
        <w:rPr>
          <w:rFonts w:ascii="Calibri" w:hAnsi="Calibri" w:eastAsia="Calibri" w:cs="Calibri"/>
          <w:i w:val="1"/>
          <w:iCs w:val="1"/>
          <w:noProof w:val="0"/>
          <w:color w:val="000000" w:themeColor="text1" w:themeTint="FF" w:themeShade="FF"/>
          <w:sz w:val="32"/>
          <w:szCs w:val="32"/>
          <w:lang w:val="en-GB"/>
        </w:rPr>
        <w:t>International Journal of Qualitative Studies in Education</w:t>
      </w:r>
      <w:r w:rsidRPr="5ED2A312" w:rsidR="63AEAAFA">
        <w:rPr>
          <w:rFonts w:ascii="Calibri" w:hAnsi="Calibri" w:eastAsia="Calibri" w:cs="Calibri"/>
          <w:noProof w:val="0"/>
          <w:color w:val="000000" w:themeColor="text1" w:themeTint="FF" w:themeShade="FF"/>
          <w:sz w:val="32"/>
          <w:szCs w:val="32"/>
          <w:lang w:val="en-GB"/>
        </w:rPr>
        <w:t xml:space="preserve">, 36(2), pp. 234–246. Available at: </w:t>
      </w:r>
      <w:hyperlink r:id="Re6c81321e1f44fda">
        <w:r w:rsidRPr="5ED2A312" w:rsidR="63AEAAFA">
          <w:rPr>
            <w:rStyle w:val="Hyperlink"/>
            <w:rFonts w:ascii="Calibri" w:hAnsi="Calibri" w:eastAsia="Calibri" w:cs="Calibri"/>
            <w:noProof w:val="0"/>
            <w:color w:val="000000" w:themeColor="text1" w:themeTint="FF" w:themeShade="FF"/>
            <w:sz w:val="32"/>
            <w:szCs w:val="32"/>
            <w:lang w:val="en-GB"/>
          </w:rPr>
          <w:t>https://doi.org/10.1080/09518398.2020.1828650</w:t>
        </w:r>
      </w:hyperlink>
      <w:r w:rsidRPr="5ED2A312" w:rsidR="63AEAAFA">
        <w:rPr>
          <w:rFonts w:ascii="Calibri" w:hAnsi="Calibri" w:eastAsia="Calibri" w:cs="Calibri"/>
          <w:noProof w:val="0"/>
          <w:color w:val="000000" w:themeColor="text1" w:themeTint="FF" w:themeShade="FF"/>
          <w:sz w:val="32"/>
          <w:szCs w:val="32"/>
          <w:lang w:val="en-GB"/>
        </w:rPr>
        <w:t xml:space="preserve"> (Accessed: 23 February 2026).</w:t>
      </w:r>
    </w:p>
    <w:p w:rsidR="63AEAAFA" w:rsidP="5ED2A312" w:rsidRDefault="63AEAAFA" w14:paraId="1378ED5F" w14:textId="0A44FE81">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My Teaching Cupboard (2021) </w:t>
      </w:r>
      <w:r w:rsidRPr="5ED2A312" w:rsidR="63AEAAFA">
        <w:rPr>
          <w:rFonts w:ascii="Calibri" w:hAnsi="Calibri" w:eastAsia="Calibri" w:cs="Calibri"/>
          <w:i w:val="1"/>
          <w:iCs w:val="1"/>
          <w:noProof w:val="0"/>
          <w:color w:val="000000" w:themeColor="text1" w:themeTint="FF" w:themeShade="FF"/>
          <w:sz w:val="32"/>
          <w:szCs w:val="32"/>
          <w:lang w:val="en-GB"/>
        </w:rPr>
        <w:t>Developmental stages of play – Piaget</w:t>
      </w:r>
      <w:r w:rsidRPr="5ED2A312" w:rsidR="63AEAAFA">
        <w:rPr>
          <w:rFonts w:ascii="Calibri" w:hAnsi="Calibri" w:eastAsia="Calibri" w:cs="Calibri"/>
          <w:noProof w:val="0"/>
          <w:color w:val="000000" w:themeColor="text1" w:themeTint="FF" w:themeShade="FF"/>
          <w:sz w:val="32"/>
          <w:szCs w:val="32"/>
          <w:lang w:val="en-GB"/>
        </w:rPr>
        <w:t xml:space="preserve">. Available at: </w:t>
      </w:r>
      <w:hyperlink r:id="R49225c3bdfe847a8">
        <w:r w:rsidRPr="5ED2A312" w:rsidR="63AEAAFA">
          <w:rPr>
            <w:rStyle w:val="Hyperlink"/>
            <w:rFonts w:ascii="Calibri" w:hAnsi="Calibri" w:eastAsia="Calibri" w:cs="Calibri"/>
            <w:noProof w:val="0"/>
            <w:color w:val="000000" w:themeColor="text1" w:themeTint="FF" w:themeShade="FF"/>
            <w:sz w:val="32"/>
            <w:szCs w:val="32"/>
            <w:lang w:val="en-GB"/>
          </w:rPr>
          <w:t>https://www.myteachingcupboard.com/blog/developmental-stages-of-play-piaget</w:t>
        </w:r>
      </w:hyperlink>
      <w:r w:rsidRPr="5ED2A312" w:rsidR="63AEAAFA">
        <w:rPr>
          <w:rFonts w:ascii="Calibri" w:hAnsi="Calibri" w:eastAsia="Calibri" w:cs="Calibri"/>
          <w:noProof w:val="0"/>
          <w:color w:val="000000" w:themeColor="text1" w:themeTint="FF" w:themeShade="FF"/>
          <w:sz w:val="32"/>
          <w:szCs w:val="32"/>
          <w:lang w:val="en-GB"/>
        </w:rPr>
        <w:t xml:space="preserve"> (Accessed: 20 February 2026).</w:t>
      </w:r>
    </w:p>
    <w:p w:rsidR="63AEAAFA" w:rsidP="5ED2A312" w:rsidRDefault="63AEAAFA" w14:paraId="0218C69F" w14:textId="6151FEF0">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Pentagon Play (2023) </w:t>
      </w:r>
      <w:r w:rsidRPr="5ED2A312" w:rsidR="63AEAAFA">
        <w:rPr>
          <w:rFonts w:ascii="Calibri" w:hAnsi="Calibri" w:eastAsia="Calibri" w:cs="Calibri"/>
          <w:i w:val="1"/>
          <w:iCs w:val="1"/>
          <w:noProof w:val="0"/>
          <w:color w:val="000000" w:themeColor="text1" w:themeTint="FF" w:themeShade="FF"/>
          <w:sz w:val="32"/>
          <w:szCs w:val="32"/>
          <w:lang w:val="en-GB"/>
        </w:rPr>
        <w:t>The Reggio Emilia approach to learning</w:t>
      </w:r>
      <w:r w:rsidRPr="5ED2A312" w:rsidR="63AEAAFA">
        <w:rPr>
          <w:rFonts w:ascii="Calibri" w:hAnsi="Calibri" w:eastAsia="Calibri" w:cs="Calibri"/>
          <w:noProof w:val="0"/>
          <w:color w:val="000000" w:themeColor="text1" w:themeTint="FF" w:themeShade="FF"/>
          <w:sz w:val="32"/>
          <w:szCs w:val="32"/>
          <w:lang w:val="en-GB"/>
        </w:rPr>
        <w:t xml:space="preserve">. Available at: </w:t>
      </w:r>
      <w:hyperlink r:id="Reb7f95c7bd574a2a">
        <w:r w:rsidRPr="5ED2A312" w:rsidR="63AEAAFA">
          <w:rPr>
            <w:rStyle w:val="Hyperlink"/>
            <w:rFonts w:ascii="Calibri" w:hAnsi="Calibri" w:eastAsia="Calibri" w:cs="Calibri"/>
            <w:noProof w:val="0"/>
            <w:color w:val="000000" w:themeColor="text1" w:themeTint="FF" w:themeShade="FF"/>
            <w:sz w:val="32"/>
            <w:szCs w:val="32"/>
            <w:lang w:val="en-GB"/>
          </w:rPr>
          <w:t>https://www.pentagonplay.co.uk/news-and-info/reggio-emilio-learning</w:t>
        </w:r>
      </w:hyperlink>
      <w:r w:rsidRPr="5ED2A312" w:rsidR="63AEAAFA">
        <w:rPr>
          <w:rFonts w:ascii="Calibri" w:hAnsi="Calibri" w:eastAsia="Calibri" w:cs="Calibri"/>
          <w:noProof w:val="0"/>
          <w:color w:val="000000" w:themeColor="text1" w:themeTint="FF" w:themeShade="FF"/>
          <w:sz w:val="32"/>
          <w:szCs w:val="32"/>
          <w:lang w:val="en-GB"/>
        </w:rPr>
        <w:t xml:space="preserve"> (Accessed: 6 February 2026).</w:t>
      </w:r>
    </w:p>
    <w:p w:rsidR="63AEAAFA" w:rsidP="5ED2A312" w:rsidRDefault="63AEAAFA" w14:paraId="7553ABC6" w14:textId="395D8DDD">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Progressive Education (no date) </w:t>
      </w:r>
      <w:r w:rsidRPr="5ED2A312" w:rsidR="63AEAAFA">
        <w:rPr>
          <w:rFonts w:ascii="Calibri" w:hAnsi="Calibri" w:eastAsia="Calibri" w:cs="Calibri"/>
          <w:i w:val="1"/>
          <w:iCs w:val="1"/>
          <w:noProof w:val="0"/>
          <w:color w:val="000000" w:themeColor="text1" w:themeTint="FF" w:themeShade="FF"/>
          <w:sz w:val="32"/>
          <w:szCs w:val="32"/>
          <w:lang w:val="en-GB"/>
        </w:rPr>
        <w:t>Reggio Emilia approach</w:t>
      </w:r>
      <w:r w:rsidRPr="5ED2A312" w:rsidR="63AEAAFA">
        <w:rPr>
          <w:rFonts w:ascii="Calibri" w:hAnsi="Calibri" w:eastAsia="Calibri" w:cs="Calibri"/>
          <w:noProof w:val="0"/>
          <w:color w:val="000000" w:themeColor="text1" w:themeTint="FF" w:themeShade="FF"/>
          <w:sz w:val="32"/>
          <w:szCs w:val="32"/>
          <w:lang w:val="en-GB"/>
        </w:rPr>
        <w:t xml:space="preserve">. Available at: </w:t>
      </w:r>
      <w:hyperlink r:id="R334d6f1d8be0414c">
        <w:r w:rsidRPr="5ED2A312" w:rsidR="63AEAAFA">
          <w:rPr>
            <w:rStyle w:val="Hyperlink"/>
            <w:rFonts w:ascii="Calibri" w:hAnsi="Calibri" w:eastAsia="Calibri" w:cs="Calibri"/>
            <w:noProof w:val="0"/>
            <w:color w:val="000000" w:themeColor="text1" w:themeTint="FF" w:themeShade="FF"/>
            <w:sz w:val="32"/>
            <w:szCs w:val="32"/>
            <w:lang w:val="en-GB"/>
          </w:rPr>
          <w:t>https://www.progressiveeducation.org/approaches/reggio-emilia/</w:t>
        </w:r>
      </w:hyperlink>
      <w:r w:rsidRPr="5ED2A312" w:rsidR="63AEAAFA">
        <w:rPr>
          <w:rFonts w:ascii="Calibri" w:hAnsi="Calibri" w:eastAsia="Calibri" w:cs="Calibri"/>
          <w:noProof w:val="0"/>
          <w:color w:val="000000" w:themeColor="text1" w:themeTint="FF" w:themeShade="FF"/>
          <w:sz w:val="32"/>
          <w:szCs w:val="32"/>
          <w:lang w:val="en-GB"/>
        </w:rPr>
        <w:t xml:space="preserve"> (Accessed: 16 February 2026).</w:t>
      </w:r>
    </w:p>
    <w:p w:rsidR="63AEAAFA" w:rsidP="5ED2A312" w:rsidRDefault="63AEAAFA" w14:paraId="18DD5FDB" w14:textId="070DE7CF">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Smidt, S. (2015) </w:t>
      </w:r>
      <w:r w:rsidRPr="5ED2A312" w:rsidR="63AEAAFA">
        <w:rPr>
          <w:rFonts w:ascii="Calibri" w:hAnsi="Calibri" w:eastAsia="Calibri" w:cs="Calibri"/>
          <w:i w:val="1"/>
          <w:iCs w:val="1"/>
          <w:noProof w:val="0"/>
          <w:color w:val="000000" w:themeColor="text1" w:themeTint="FF" w:themeShade="FF"/>
          <w:sz w:val="32"/>
          <w:szCs w:val="32"/>
          <w:lang w:val="en-GB"/>
        </w:rPr>
        <w:t>Observing young children: The role of observation and assessment in early childhood settings</w:t>
      </w:r>
      <w:r w:rsidRPr="5ED2A312" w:rsidR="63AEAAFA">
        <w:rPr>
          <w:rFonts w:ascii="Calibri" w:hAnsi="Calibri" w:eastAsia="Calibri" w:cs="Calibri"/>
          <w:noProof w:val="0"/>
          <w:color w:val="000000" w:themeColor="text1" w:themeTint="FF" w:themeShade="FF"/>
          <w:sz w:val="32"/>
          <w:szCs w:val="32"/>
          <w:lang w:val="en-GB"/>
        </w:rPr>
        <w:t>. 2nd edn. London: Routledge.</w:t>
      </w:r>
    </w:p>
    <w:p w:rsidR="63AEAAFA" w:rsidP="5ED2A312" w:rsidRDefault="63AEAAFA" w14:paraId="462FC294" w14:textId="159B3E6A">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Structural Learning (2024) </w:t>
      </w:r>
      <w:r w:rsidRPr="5ED2A312" w:rsidR="63AEAAFA">
        <w:rPr>
          <w:rFonts w:ascii="Calibri" w:hAnsi="Calibri" w:eastAsia="Calibri" w:cs="Calibri"/>
          <w:i w:val="1"/>
          <w:iCs w:val="1"/>
          <w:noProof w:val="0"/>
          <w:color w:val="000000" w:themeColor="text1" w:themeTint="FF" w:themeShade="FF"/>
          <w:sz w:val="32"/>
          <w:szCs w:val="32"/>
          <w:lang w:val="en-GB"/>
        </w:rPr>
        <w:t>Leuven Scale: A teacher’s guide</w:t>
      </w:r>
      <w:r w:rsidRPr="5ED2A312" w:rsidR="63AEAAFA">
        <w:rPr>
          <w:rFonts w:ascii="Calibri" w:hAnsi="Calibri" w:eastAsia="Calibri" w:cs="Calibri"/>
          <w:noProof w:val="0"/>
          <w:color w:val="000000" w:themeColor="text1" w:themeTint="FF" w:themeShade="FF"/>
          <w:sz w:val="32"/>
          <w:szCs w:val="32"/>
          <w:lang w:val="en-GB"/>
        </w:rPr>
        <w:t xml:space="preserve">. Available at: </w:t>
      </w:r>
      <w:hyperlink r:id="Rf961dbcf25f34cae">
        <w:r w:rsidRPr="5ED2A312" w:rsidR="63AEAAFA">
          <w:rPr>
            <w:rStyle w:val="Hyperlink"/>
            <w:rFonts w:ascii="Calibri" w:hAnsi="Calibri" w:eastAsia="Calibri" w:cs="Calibri"/>
            <w:noProof w:val="0"/>
            <w:color w:val="000000" w:themeColor="text1" w:themeTint="FF" w:themeShade="FF"/>
            <w:sz w:val="32"/>
            <w:szCs w:val="32"/>
            <w:lang w:val="en-GB"/>
          </w:rPr>
          <w:t>https://www.structural-learning.com/post/leuven-scale-a-teachers-guide</w:t>
        </w:r>
      </w:hyperlink>
      <w:r w:rsidRPr="5ED2A312" w:rsidR="63AEAAFA">
        <w:rPr>
          <w:rFonts w:ascii="Calibri" w:hAnsi="Calibri" w:eastAsia="Calibri" w:cs="Calibri"/>
          <w:noProof w:val="0"/>
          <w:color w:val="000000" w:themeColor="text1" w:themeTint="FF" w:themeShade="FF"/>
          <w:sz w:val="32"/>
          <w:szCs w:val="32"/>
          <w:lang w:val="en-GB"/>
        </w:rPr>
        <w:t xml:space="preserve"> (Accessed: 20 February 2026).</w:t>
      </w:r>
    </w:p>
    <w:p w:rsidR="63AEAAFA" w:rsidP="5ED2A312" w:rsidRDefault="63AEAAFA" w14:paraId="24A7DC89" w14:textId="746EF2FA">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Tovey, H. (2014) </w:t>
      </w:r>
      <w:r w:rsidRPr="5ED2A312" w:rsidR="63AEAAFA">
        <w:rPr>
          <w:rFonts w:ascii="Calibri" w:hAnsi="Calibri" w:eastAsia="Calibri" w:cs="Calibri"/>
          <w:i w:val="1"/>
          <w:iCs w:val="1"/>
          <w:noProof w:val="0"/>
          <w:color w:val="000000" w:themeColor="text1" w:themeTint="FF" w:themeShade="FF"/>
          <w:sz w:val="32"/>
          <w:szCs w:val="32"/>
          <w:lang w:val="en-GB"/>
        </w:rPr>
        <w:t>Playing outdoors: Spaces and places, risk and challenge</w:t>
      </w:r>
      <w:r w:rsidRPr="5ED2A312" w:rsidR="63AEAAFA">
        <w:rPr>
          <w:rFonts w:ascii="Calibri" w:hAnsi="Calibri" w:eastAsia="Calibri" w:cs="Calibri"/>
          <w:noProof w:val="0"/>
          <w:color w:val="000000" w:themeColor="text1" w:themeTint="FF" w:themeShade="FF"/>
          <w:sz w:val="32"/>
          <w:szCs w:val="32"/>
          <w:lang w:val="en-GB"/>
        </w:rPr>
        <w:t>. Maidenhead: Open University Press.</w:t>
      </w:r>
    </w:p>
    <w:p w:rsidR="63AEAAFA" w:rsidP="5ED2A312" w:rsidRDefault="63AEAAFA" w14:paraId="72E0AA8A" w14:textId="19A1F79B">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University of Wales Trinity Saint David (no date) </w:t>
      </w:r>
      <w:r w:rsidRPr="5ED2A312" w:rsidR="63AEAAFA">
        <w:rPr>
          <w:rFonts w:ascii="Calibri" w:hAnsi="Calibri" w:eastAsia="Calibri" w:cs="Calibri"/>
          <w:i w:val="1"/>
          <w:iCs w:val="1"/>
          <w:noProof w:val="0"/>
          <w:color w:val="000000" w:themeColor="text1" w:themeTint="FF" w:themeShade="FF"/>
          <w:sz w:val="32"/>
          <w:szCs w:val="32"/>
          <w:lang w:val="en-GB"/>
        </w:rPr>
        <w:t>Training courses – World Academy for Health and Physical Literacy</w:t>
      </w:r>
      <w:r w:rsidRPr="5ED2A312" w:rsidR="63AEAAFA">
        <w:rPr>
          <w:rFonts w:ascii="Calibri" w:hAnsi="Calibri" w:eastAsia="Calibri" w:cs="Calibri"/>
          <w:noProof w:val="0"/>
          <w:color w:val="000000" w:themeColor="text1" w:themeTint="FF" w:themeShade="FF"/>
          <w:sz w:val="32"/>
          <w:szCs w:val="32"/>
          <w:lang w:val="en-GB"/>
        </w:rPr>
        <w:t xml:space="preserve">. Available at: </w:t>
      </w:r>
      <w:hyperlink r:id="R351bbf4c0bca4b3f">
        <w:r w:rsidRPr="5ED2A312" w:rsidR="63AEAAFA">
          <w:rPr>
            <w:rStyle w:val="Hyperlink"/>
            <w:rFonts w:ascii="Calibri" w:hAnsi="Calibri" w:eastAsia="Calibri" w:cs="Calibri"/>
            <w:noProof w:val="0"/>
            <w:color w:val="000000" w:themeColor="text1" w:themeTint="FF" w:themeShade="FF"/>
            <w:sz w:val="32"/>
            <w:szCs w:val="32"/>
            <w:lang w:val="en-GB"/>
          </w:rPr>
          <w:t>https://www.uwtsd.ac.uk/wahpl/training-courses</w:t>
        </w:r>
      </w:hyperlink>
      <w:r w:rsidRPr="5ED2A312" w:rsidR="63AEAAFA">
        <w:rPr>
          <w:rFonts w:ascii="Calibri" w:hAnsi="Calibri" w:eastAsia="Calibri" w:cs="Calibri"/>
          <w:noProof w:val="0"/>
          <w:color w:val="000000" w:themeColor="text1" w:themeTint="FF" w:themeShade="FF"/>
          <w:sz w:val="32"/>
          <w:szCs w:val="32"/>
          <w:lang w:val="en-GB"/>
        </w:rPr>
        <w:t xml:space="preserve"> (Accessed: 6 February 2026).</w:t>
      </w:r>
    </w:p>
    <w:p w:rsidR="63AEAAFA" w:rsidP="5ED2A312" w:rsidRDefault="63AEAAFA" w14:paraId="5ADFF0E9" w14:textId="5671B9EF">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Vygotsky, L.S. (2016) ‘Play and its role in the mental development of the child’, </w:t>
      </w:r>
      <w:r w:rsidRPr="5ED2A312" w:rsidR="63AEAAFA">
        <w:rPr>
          <w:rFonts w:ascii="Calibri" w:hAnsi="Calibri" w:eastAsia="Calibri" w:cs="Calibri"/>
          <w:i w:val="1"/>
          <w:iCs w:val="1"/>
          <w:noProof w:val="0"/>
          <w:color w:val="000000" w:themeColor="text1" w:themeTint="FF" w:themeShade="FF"/>
          <w:sz w:val="32"/>
          <w:szCs w:val="32"/>
          <w:lang w:val="en-GB"/>
        </w:rPr>
        <w:t>International Research in Early Childhood Education</w:t>
      </w:r>
      <w:r w:rsidRPr="5ED2A312" w:rsidR="63AEAAFA">
        <w:rPr>
          <w:rFonts w:ascii="Calibri" w:hAnsi="Calibri" w:eastAsia="Calibri" w:cs="Calibri"/>
          <w:noProof w:val="0"/>
          <w:color w:val="000000" w:themeColor="text1" w:themeTint="FF" w:themeShade="FF"/>
          <w:sz w:val="32"/>
          <w:szCs w:val="32"/>
          <w:lang w:val="en-GB"/>
        </w:rPr>
        <w:t>, 7(2), pp. 3–25. Available at: Play and its role in the mental development of the child (PDF) (Accessed: 24 February 2026).</w:t>
      </w:r>
    </w:p>
    <w:p w:rsidR="63AEAAFA" w:rsidP="5ED2A312" w:rsidRDefault="63AEAAFA" w14:paraId="5621CBE5" w14:textId="5E007AB6">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Waters-Davies, J. (ed.) (2022) </w:t>
      </w:r>
      <w:r w:rsidRPr="5ED2A312" w:rsidR="63AEAAFA">
        <w:rPr>
          <w:rFonts w:ascii="Calibri" w:hAnsi="Calibri" w:eastAsia="Calibri" w:cs="Calibri"/>
          <w:i w:val="1"/>
          <w:iCs w:val="1"/>
          <w:noProof w:val="0"/>
          <w:color w:val="000000" w:themeColor="text1" w:themeTint="FF" w:themeShade="FF"/>
          <w:sz w:val="32"/>
          <w:szCs w:val="32"/>
          <w:lang w:val="en-GB"/>
        </w:rPr>
        <w:t>Introduction to play</w:t>
      </w:r>
      <w:r w:rsidRPr="5ED2A312" w:rsidR="63AEAAFA">
        <w:rPr>
          <w:rFonts w:ascii="Calibri" w:hAnsi="Calibri" w:eastAsia="Calibri" w:cs="Calibri"/>
          <w:noProof w:val="0"/>
          <w:color w:val="000000" w:themeColor="text1" w:themeTint="FF" w:themeShade="FF"/>
          <w:sz w:val="32"/>
          <w:szCs w:val="32"/>
          <w:lang w:val="en-GB"/>
        </w:rPr>
        <w:t>. London: SAGE Publications Ltd.</w:t>
      </w:r>
    </w:p>
    <w:p w:rsidR="63AEAAFA" w:rsidP="5ED2A312" w:rsidRDefault="63AEAAFA" w14:paraId="2E7C332D" w14:textId="5E653ECD">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Welsh Government (2025) </w:t>
      </w:r>
      <w:r w:rsidRPr="5ED2A312" w:rsidR="63AEAAFA">
        <w:rPr>
          <w:rFonts w:ascii="Calibri" w:hAnsi="Calibri" w:eastAsia="Calibri" w:cs="Calibri"/>
          <w:i w:val="1"/>
          <w:iCs w:val="1"/>
          <w:noProof w:val="0"/>
          <w:color w:val="000000" w:themeColor="text1" w:themeTint="FF" w:themeShade="FF"/>
          <w:sz w:val="32"/>
          <w:szCs w:val="32"/>
          <w:lang w:val="en-GB"/>
        </w:rPr>
        <w:t>Early childhood play, learning and care: Assessment arrangements for 0 to 3 year olds in Wales</w:t>
      </w:r>
      <w:r w:rsidRPr="5ED2A312" w:rsidR="63AEAAFA">
        <w:rPr>
          <w:rFonts w:ascii="Calibri" w:hAnsi="Calibri" w:eastAsia="Calibri" w:cs="Calibri"/>
          <w:noProof w:val="0"/>
          <w:color w:val="000000" w:themeColor="text1" w:themeTint="FF" w:themeShade="FF"/>
          <w:sz w:val="32"/>
          <w:szCs w:val="32"/>
          <w:lang w:val="en-GB"/>
        </w:rPr>
        <w:t xml:space="preserve">. Available at: </w:t>
      </w:r>
      <w:hyperlink r:id="R293d61079ad84e74">
        <w:r w:rsidRPr="5ED2A312" w:rsidR="63AEAAFA">
          <w:rPr>
            <w:rStyle w:val="Hyperlink"/>
            <w:rFonts w:ascii="Calibri" w:hAnsi="Calibri" w:eastAsia="Calibri" w:cs="Calibri"/>
            <w:noProof w:val="0"/>
            <w:color w:val="000000" w:themeColor="text1" w:themeTint="FF" w:themeShade="FF"/>
            <w:sz w:val="32"/>
            <w:szCs w:val="32"/>
            <w:lang w:val="en-GB"/>
          </w:rPr>
          <w:t>https://hwb.gov.wales/api/storage/56eefe72-c515-4a94-b2cc-6c89b4347f50/250910-early-childhood-play-learning-and-care-assessment-arrangements-for-0-to-3-year-olds-in-wales.pdf</w:t>
        </w:r>
      </w:hyperlink>
      <w:r w:rsidRPr="5ED2A312" w:rsidR="63AEAAFA">
        <w:rPr>
          <w:rFonts w:ascii="Calibri" w:hAnsi="Calibri" w:eastAsia="Calibri" w:cs="Calibri"/>
          <w:noProof w:val="0"/>
          <w:color w:val="000000" w:themeColor="text1" w:themeTint="FF" w:themeShade="FF"/>
          <w:sz w:val="32"/>
          <w:szCs w:val="32"/>
          <w:lang w:val="en-GB"/>
        </w:rPr>
        <w:t xml:space="preserve"> (Accessed: 6 February 2026).</w:t>
      </w:r>
    </w:p>
    <w:p w:rsidR="63AEAAFA" w:rsidP="5ED2A312" w:rsidRDefault="63AEAAFA" w14:paraId="1720562C" w14:textId="4762BE5C">
      <w:pPr>
        <w:spacing w:before="240" w:beforeAutospacing="off" w:after="240" w:afterAutospacing="off"/>
        <w:jc w:val="left"/>
      </w:pPr>
      <w:r w:rsidRPr="5ED2A312" w:rsidR="63AEAAFA">
        <w:rPr>
          <w:rFonts w:ascii="Calibri" w:hAnsi="Calibri" w:eastAsia="Calibri" w:cs="Calibri"/>
          <w:noProof w:val="0"/>
          <w:color w:val="000000" w:themeColor="text1" w:themeTint="FF" w:themeShade="FF"/>
          <w:sz w:val="32"/>
          <w:szCs w:val="32"/>
          <w:lang w:val="en-GB"/>
        </w:rPr>
        <w:t xml:space="preserve">Yalcin, F. and Erden, F.T. (2018) ‘Risky play in early childhood education: A risk worth taking’, </w:t>
      </w:r>
      <w:r w:rsidRPr="5ED2A312" w:rsidR="63AEAAFA">
        <w:rPr>
          <w:rFonts w:ascii="Calibri" w:hAnsi="Calibri" w:eastAsia="Calibri" w:cs="Calibri"/>
          <w:i w:val="1"/>
          <w:iCs w:val="1"/>
          <w:noProof w:val="0"/>
          <w:color w:val="000000" w:themeColor="text1" w:themeTint="FF" w:themeShade="FF"/>
          <w:sz w:val="32"/>
          <w:szCs w:val="32"/>
          <w:lang w:val="en-GB"/>
        </w:rPr>
        <w:t>Ilkogretim Online</w:t>
      </w:r>
      <w:r w:rsidRPr="5ED2A312" w:rsidR="63AEAAFA">
        <w:rPr>
          <w:rFonts w:ascii="Calibri" w:hAnsi="Calibri" w:eastAsia="Calibri" w:cs="Calibri"/>
          <w:noProof w:val="0"/>
          <w:color w:val="000000" w:themeColor="text1" w:themeTint="FF" w:themeShade="FF"/>
          <w:sz w:val="32"/>
          <w:szCs w:val="32"/>
          <w:lang w:val="en-GB"/>
        </w:rPr>
        <w:t>, 17(4), pp. 1847–1861.</w:t>
      </w:r>
    </w:p>
    <w:p w:rsidR="5ED2A312" w:rsidP="5ED2A312" w:rsidRDefault="5ED2A312" w14:paraId="52BCF02D" w14:textId="6850F18F">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ED2A312" w:rsidP="5ED2A312" w:rsidRDefault="5ED2A312" w14:paraId="36FAE9D3" w14:textId="04E4E140">
      <w:pPr>
        <w:pStyle w:val="ListParagraph"/>
        <w:ind w:left="720"/>
        <w:rPr>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d9875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306A21"/>
    <w:rsid w:val="00F6323D"/>
    <w:rsid w:val="01864E11"/>
    <w:rsid w:val="09C3FC72"/>
    <w:rsid w:val="0E9CA919"/>
    <w:rsid w:val="0F59CA61"/>
    <w:rsid w:val="105ECB43"/>
    <w:rsid w:val="10C8D04E"/>
    <w:rsid w:val="12C3E9EE"/>
    <w:rsid w:val="132C4370"/>
    <w:rsid w:val="19E265D3"/>
    <w:rsid w:val="1B86EB34"/>
    <w:rsid w:val="1FFD4779"/>
    <w:rsid w:val="268047E9"/>
    <w:rsid w:val="30028F6C"/>
    <w:rsid w:val="3401F964"/>
    <w:rsid w:val="34253FFA"/>
    <w:rsid w:val="3B8D5C34"/>
    <w:rsid w:val="40EC156A"/>
    <w:rsid w:val="428FC408"/>
    <w:rsid w:val="49A6F0CD"/>
    <w:rsid w:val="50D6D7DA"/>
    <w:rsid w:val="5275ABC6"/>
    <w:rsid w:val="57E1622E"/>
    <w:rsid w:val="5997B7AF"/>
    <w:rsid w:val="5ED2A312"/>
    <w:rsid w:val="605C1C3F"/>
    <w:rsid w:val="6355F751"/>
    <w:rsid w:val="63AEAAFA"/>
    <w:rsid w:val="657891E7"/>
    <w:rsid w:val="71306A21"/>
    <w:rsid w:val="72E5D158"/>
    <w:rsid w:val="7338FDDD"/>
    <w:rsid w:val="78896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06A21"/>
  <w15:chartTrackingRefBased/>
  <w15:docId w15:val="{CEB69859-1CB0-4238-9391-1509484CE8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ED2A312"/>
    <w:pPr>
      <w:spacing/>
      <w:ind w:left="720"/>
      <w:contextualSpacing/>
    </w:pPr>
  </w:style>
  <w:style w:type="paragraph" w:styleId="Heading2">
    <w:uiPriority w:val="9"/>
    <w:name w:val="heading 2"/>
    <w:basedOn w:val="Normal"/>
    <w:next w:val="Normal"/>
    <w:unhideWhenUsed/>
    <w:qFormat/>
    <w:rsid w:val="5ED2A31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ED2A31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ED2A31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cielo.isciii.es/scielo.php?pid=S0212-97282015000200020&amp;script=sci_arttext" TargetMode="External" Id="Rd97330ae96664567" /><Relationship Type="http://schemas.openxmlformats.org/officeDocument/2006/relationships/hyperlink" Target="https://reference-global.com/download/chapter/9783110613445/10.1515/9783110613445-009.pdf" TargetMode="External" Id="R6d1c9321a2644ee3" /><Relationship Type="http://schemas.openxmlformats.org/officeDocument/2006/relationships/hyperlink" Target="https://connectchildcare.com/blog/eyfs-observation-methods-in-early-years/" TargetMode="External" Id="Rb13a958939ff43d4" /><Relationship Type="http://schemas.openxmlformats.org/officeDocument/2006/relationships/hyperlink" Target="https://assets.publishing.service.gov.uk/media/617c2c168fa8f529840623c9/SEED_Quality_Analyses_Research_Brief.pdf" TargetMode="External" Id="R6858ff9f65c44c89" /><Relationship Type="http://schemas.openxmlformats.org/officeDocument/2006/relationships/hyperlink" Target="https://doi.org/10.1080/09518398.2020.1828650" TargetMode="External" Id="Re6c81321e1f44fda" /><Relationship Type="http://schemas.openxmlformats.org/officeDocument/2006/relationships/hyperlink" Target="https://www.myteachingcupboard.com/blog/developmental-stages-of-play-piaget" TargetMode="External" Id="R49225c3bdfe847a8" /><Relationship Type="http://schemas.openxmlformats.org/officeDocument/2006/relationships/hyperlink" Target="https://www.pentagonplay.co.uk/news-and-info/reggio-emilio-learning" TargetMode="External" Id="Reb7f95c7bd574a2a" /><Relationship Type="http://schemas.openxmlformats.org/officeDocument/2006/relationships/hyperlink" Target="https://www.progressiveeducation.org/approaches/reggio-emilia/" TargetMode="External" Id="R334d6f1d8be0414c" /><Relationship Type="http://schemas.openxmlformats.org/officeDocument/2006/relationships/hyperlink" Target="https://www.structural-learning.com/post/leuven-scale-a-teachers-guide" TargetMode="External" Id="Rf961dbcf25f34cae" /><Relationship Type="http://schemas.openxmlformats.org/officeDocument/2006/relationships/hyperlink" Target="https://www.uwtsd.ac.uk/wahpl/training-courses" TargetMode="External" Id="R351bbf4c0bca4b3f" /><Relationship Type="http://schemas.openxmlformats.org/officeDocument/2006/relationships/hyperlink" Target="https://hwb.gov.wales/api/storage/56eefe72-c515-4a94-b2cc-6c89b4347f50/250910-early-childhood-play-learning-and-care-assessment-arrangements-for-0-to-3-year-olds-in-wales.pdf" TargetMode="External" Id="R293d61079ad84e74" /><Relationship Type="http://schemas.openxmlformats.org/officeDocument/2006/relationships/numbering" Target="/word/numbering.xml" Id="R40b3112c151944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Angharad Kellie (2513721)</dc:creator>
  <keywords/>
  <dc:description/>
  <lastModifiedBy>Angharad Kellie (2513721)</lastModifiedBy>
  <revision>2</revision>
  <dcterms:created xsi:type="dcterms:W3CDTF">2026-02-27T10:49:32.2302849Z</dcterms:created>
  <dcterms:modified xsi:type="dcterms:W3CDTF">2026-02-27T11:35:11.9146610Z</dcterms:modified>
</coreProperties>
</file>