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CC67BC" w14:textId="5F7639D3" w:rsidR="006B1811" w:rsidRDefault="001845D9">
      <w:pPr>
        <w:jc w:val="center"/>
        <w:rPr>
          <w:rFonts w:cs="Calibri Light"/>
          <w:b/>
          <w:bCs/>
          <w:noProof/>
          <w:szCs w:val="24"/>
          <w:lang w:val="en-US"/>
        </w:rPr>
      </w:pPr>
      <w:r w:rsidRPr="00A406E5">
        <w:rPr>
          <w:rFonts w:ascii="Arial" w:hAnsi="Arial"/>
          <w:noProof/>
        </w:rPr>
        <w:drawing>
          <wp:anchor distT="0" distB="0" distL="114300" distR="114300" simplePos="0" relativeHeight="251659264" behindDoc="0" locked="0" layoutInCell="1" allowOverlap="1" wp14:anchorId="5595380E" wp14:editId="1BAC8E0A">
            <wp:simplePos x="0" y="0"/>
            <wp:positionH relativeFrom="margin">
              <wp:align>center</wp:align>
            </wp:positionH>
            <wp:positionV relativeFrom="paragraph">
              <wp:posOffset>-469900</wp:posOffset>
            </wp:positionV>
            <wp:extent cx="1809750" cy="723900"/>
            <wp:effectExtent l="0" t="0" r="0" b="0"/>
            <wp:wrapNone/>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2086251" w14:textId="77777777" w:rsidR="006B1811" w:rsidRDefault="006B1811"/>
    <w:p w14:paraId="06B09027" w14:textId="17F13330" w:rsidR="006B1811" w:rsidRDefault="00224B27">
      <w:pPr>
        <w:jc w:val="center"/>
        <w:rPr>
          <w:b/>
          <w:bCs/>
          <w:sz w:val="40"/>
          <w:szCs w:val="36"/>
        </w:rPr>
      </w:pPr>
      <w:r w:rsidRPr="00224B27">
        <w:rPr>
          <w:b/>
          <w:bCs/>
          <w:sz w:val="40"/>
          <w:szCs w:val="36"/>
          <w:lang w:val="en-US"/>
        </w:rPr>
        <w:t>Strategic Growth Opportunity: Expanding Ecotricity's Integrated Solar Energy and Battery Storage Solutions for UK SMEs.</w:t>
      </w:r>
    </w:p>
    <w:p w14:paraId="3E96C9A9" w14:textId="77777777" w:rsidR="006B1811" w:rsidRDefault="006B1811">
      <w:pPr>
        <w:tabs>
          <w:tab w:val="left" w:pos="0"/>
        </w:tabs>
        <w:jc w:val="center"/>
        <w:rPr>
          <w:rFonts w:cs="Calibri Light"/>
          <w:szCs w:val="24"/>
        </w:rPr>
      </w:pPr>
    </w:p>
    <w:p w14:paraId="30A5C59E" w14:textId="77777777" w:rsidR="00413A2E" w:rsidRDefault="00413A2E" w:rsidP="00413A2E">
      <w:pPr>
        <w:jc w:val="center"/>
        <w:rPr>
          <w:rFonts w:cs="Calibri Light"/>
          <w:b/>
          <w:bCs/>
          <w:noProof/>
          <w:szCs w:val="24"/>
          <w:lang w:val="en-US"/>
        </w:rPr>
      </w:pPr>
    </w:p>
    <w:p w14:paraId="629B0B0C" w14:textId="77777777" w:rsidR="00413A2E" w:rsidRPr="006B2F55" w:rsidRDefault="00413A2E" w:rsidP="001821AF">
      <w:pPr>
        <w:spacing w:line="276" w:lineRule="auto"/>
        <w:jc w:val="left"/>
        <w:rPr>
          <w:rFonts w:cs="Calibri Light"/>
          <w:b/>
          <w:bCs/>
          <w:noProof/>
          <w:szCs w:val="24"/>
          <w:lang w:val="en-US"/>
        </w:rPr>
      </w:pPr>
      <w:r w:rsidRPr="001845D9">
        <w:rPr>
          <w:rFonts w:cs="Calibri Light"/>
          <w:b/>
          <w:bCs/>
          <w:noProof/>
          <w:szCs w:val="24"/>
          <w:lang w:val="en-US"/>
        </w:rPr>
        <w:t>Master of Business Administration</w:t>
      </w:r>
    </w:p>
    <w:p w14:paraId="7103C497" w14:textId="77777777" w:rsidR="00413A2E" w:rsidRDefault="00413A2E" w:rsidP="001821AF">
      <w:pPr>
        <w:spacing w:line="276" w:lineRule="auto"/>
        <w:jc w:val="left"/>
        <w:rPr>
          <w:rFonts w:cs="Calibri Light"/>
          <w:b/>
          <w:bCs/>
          <w:noProof/>
          <w:szCs w:val="24"/>
          <w:lang w:val="en-US"/>
        </w:rPr>
      </w:pPr>
      <w:r w:rsidRPr="001845D9">
        <w:rPr>
          <w:rFonts w:cs="Calibri Light"/>
          <w:b/>
          <w:bCs/>
          <w:noProof/>
          <w:szCs w:val="24"/>
          <w:lang w:val="en-US"/>
        </w:rPr>
        <w:t>LCMB7037</w:t>
      </w:r>
      <w:r w:rsidRPr="006B2F55">
        <w:rPr>
          <w:rFonts w:cs="Calibri Light"/>
          <w:b/>
          <w:bCs/>
          <w:noProof/>
          <w:szCs w:val="24"/>
          <w:lang w:val="en-US"/>
        </w:rPr>
        <w:t xml:space="preserve">- </w:t>
      </w:r>
      <w:r w:rsidRPr="001845D9">
        <w:rPr>
          <w:rFonts w:cs="Calibri Light"/>
          <w:b/>
          <w:bCs/>
          <w:noProof/>
          <w:szCs w:val="24"/>
          <w:lang w:val="en-US"/>
        </w:rPr>
        <w:t>Business Development Proposal</w:t>
      </w:r>
    </w:p>
    <w:p w14:paraId="3899D103" w14:textId="77777777" w:rsidR="00413A2E" w:rsidRDefault="00413A2E" w:rsidP="001821AF">
      <w:pPr>
        <w:spacing w:line="276" w:lineRule="auto"/>
        <w:jc w:val="left"/>
        <w:rPr>
          <w:szCs w:val="24"/>
        </w:rPr>
      </w:pPr>
      <w:r w:rsidRPr="00816C94">
        <w:rPr>
          <w:szCs w:val="24"/>
        </w:rPr>
        <w:t>Business Development Proposal Outline</w:t>
      </w:r>
    </w:p>
    <w:p w14:paraId="39C339A7" w14:textId="77777777" w:rsidR="006B1811" w:rsidRDefault="006B1811">
      <w:pPr>
        <w:tabs>
          <w:tab w:val="left" w:pos="0"/>
        </w:tabs>
        <w:jc w:val="center"/>
        <w:rPr>
          <w:rFonts w:cs="Calibri Light"/>
          <w:szCs w:val="24"/>
        </w:rPr>
      </w:pPr>
    </w:p>
    <w:p w14:paraId="47B376C9" w14:textId="61C81821" w:rsidR="00413A2E" w:rsidRDefault="00833D97" w:rsidP="00833D97">
      <w:pPr>
        <w:tabs>
          <w:tab w:val="left" w:pos="0"/>
        </w:tabs>
        <w:jc w:val="center"/>
        <w:rPr>
          <w:rFonts w:cs="Calibri Light"/>
          <w:szCs w:val="24"/>
        </w:rPr>
      </w:pPr>
      <w:r>
        <w:rPr>
          <w:rFonts w:cs="Calibri Light"/>
          <w:noProof/>
          <w:szCs w:val="24"/>
        </w:rPr>
        <w:drawing>
          <wp:inline distT="0" distB="0" distL="0" distR="0" wp14:anchorId="5273FCE3" wp14:editId="2EA1B560">
            <wp:extent cx="3085106" cy="828297"/>
            <wp:effectExtent l="0" t="0" r="1270" b="0"/>
            <wp:docPr id="2891837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t="36965" b="36187"/>
                    <a:stretch>
                      <a:fillRect/>
                    </a:stretch>
                  </pic:blipFill>
                  <pic:spPr bwMode="auto">
                    <a:xfrm>
                      <a:off x="0" y="0"/>
                      <a:ext cx="3102472" cy="832959"/>
                    </a:xfrm>
                    <a:prstGeom prst="rect">
                      <a:avLst/>
                    </a:prstGeom>
                    <a:noFill/>
                    <a:ln>
                      <a:noFill/>
                    </a:ln>
                    <a:extLst>
                      <a:ext uri="{53640926-AAD7-44D8-BBD7-CCE9431645EC}">
                        <a14:shadowObscured xmlns:a14="http://schemas.microsoft.com/office/drawing/2010/main"/>
                      </a:ext>
                    </a:extLst>
                  </pic:spPr>
                </pic:pic>
              </a:graphicData>
            </a:graphic>
          </wp:inline>
        </w:drawing>
      </w:r>
    </w:p>
    <w:p w14:paraId="09331171" w14:textId="77777777" w:rsidR="00413A2E" w:rsidRDefault="00413A2E" w:rsidP="00413A2E">
      <w:pPr>
        <w:tabs>
          <w:tab w:val="left" w:pos="0"/>
        </w:tabs>
        <w:jc w:val="left"/>
        <w:rPr>
          <w:rFonts w:cs="Calibri Light"/>
          <w:szCs w:val="24"/>
        </w:rPr>
      </w:pPr>
    </w:p>
    <w:p w14:paraId="182C3D29" w14:textId="302BAAFD" w:rsidR="006B1811" w:rsidRDefault="004A4AEF" w:rsidP="00413A2E">
      <w:pPr>
        <w:jc w:val="left"/>
        <w:rPr>
          <w:rFonts w:cs="Calibri Light"/>
          <w:b/>
          <w:szCs w:val="24"/>
        </w:rPr>
      </w:pPr>
      <w:r>
        <w:rPr>
          <w:rFonts w:cs="Calibri Light"/>
          <w:b/>
          <w:szCs w:val="24"/>
        </w:rPr>
        <w:t>Student Name:</w:t>
      </w:r>
      <w:r w:rsidR="008D1DD4">
        <w:rPr>
          <w:rFonts w:cs="Calibri Light"/>
          <w:b/>
          <w:szCs w:val="24"/>
        </w:rPr>
        <w:t xml:space="preserve"> Florina Maria Vlad</w:t>
      </w:r>
    </w:p>
    <w:p w14:paraId="74331AD8" w14:textId="02C3C770" w:rsidR="006B1811" w:rsidRDefault="004A4AEF" w:rsidP="00413A2E">
      <w:pPr>
        <w:jc w:val="left"/>
        <w:rPr>
          <w:rFonts w:cs="Calibri Light"/>
          <w:b/>
          <w:szCs w:val="24"/>
        </w:rPr>
      </w:pPr>
      <w:r>
        <w:rPr>
          <w:rFonts w:cs="Calibri Light"/>
          <w:b/>
          <w:szCs w:val="24"/>
        </w:rPr>
        <w:t>Student ID:</w:t>
      </w:r>
      <w:r w:rsidR="008D1DD4">
        <w:rPr>
          <w:rFonts w:cs="Calibri Light"/>
          <w:b/>
          <w:szCs w:val="24"/>
        </w:rPr>
        <w:t xml:space="preserve"> 2227241</w:t>
      </w:r>
    </w:p>
    <w:p w14:paraId="6799BF36" w14:textId="77777777" w:rsidR="006B1811" w:rsidRDefault="006B1811"/>
    <w:p w14:paraId="10496671" w14:textId="77777777" w:rsidR="006B1811" w:rsidRDefault="006B1811">
      <w:pPr>
        <w:jc w:val="center"/>
        <w:rPr>
          <w:b/>
          <w:bCs/>
        </w:rPr>
      </w:pPr>
    </w:p>
    <w:p w14:paraId="6AEBBF23" w14:textId="77777777" w:rsidR="006B1811" w:rsidRDefault="006B1811">
      <w:pPr>
        <w:jc w:val="center"/>
      </w:pPr>
    </w:p>
    <w:p w14:paraId="7110837E" w14:textId="77777777" w:rsidR="006B1811" w:rsidRDefault="006B1811"/>
    <w:p w14:paraId="21917AA0" w14:textId="77777777" w:rsidR="006B1811" w:rsidRDefault="006B1811"/>
    <w:p w14:paraId="651A1DB8" w14:textId="77777777" w:rsidR="006B1811" w:rsidRDefault="004A4AEF">
      <w:r>
        <w:br w:type="page"/>
      </w:r>
    </w:p>
    <w:p w14:paraId="35F314A1" w14:textId="77777777" w:rsidR="006B1811" w:rsidRDefault="006B1811">
      <w:pPr>
        <w:rPr>
          <w:rFonts w:cs="Times New Roman"/>
        </w:rPr>
        <w:sectPr w:rsidR="006B1811">
          <w:pgSz w:w="12240" w:h="15840"/>
          <w:pgMar w:top="1440" w:right="1440" w:bottom="1440" w:left="1440" w:header="720" w:footer="720" w:gutter="0"/>
          <w:cols w:space="720"/>
          <w:titlePg/>
          <w:docGrid w:linePitch="360"/>
        </w:sectPr>
      </w:pPr>
    </w:p>
    <w:p w14:paraId="496B36D6" w14:textId="77777777" w:rsidR="006B1811" w:rsidRDefault="004A4AEF">
      <w:pPr>
        <w:pStyle w:val="TOCHeading"/>
        <w:jc w:val="center"/>
        <w:rPr>
          <w:rFonts w:ascii="Times New Roman" w:hAnsi="Times New Roman"/>
          <w:b/>
        </w:rPr>
      </w:pPr>
      <w:r>
        <w:rPr>
          <w:rFonts w:ascii="Times New Roman" w:hAnsi="Times New Roman"/>
          <w:b/>
        </w:rPr>
        <w:t>Table of Contents</w:t>
      </w:r>
    </w:p>
    <w:p w14:paraId="6475A5AF" w14:textId="21B4262D" w:rsidR="00F857FD" w:rsidRDefault="004A4AEF">
      <w:pPr>
        <w:pStyle w:val="TOC1"/>
        <w:tabs>
          <w:tab w:val="right" w:leader="dot" w:pos="9350"/>
        </w:tabs>
        <w:rPr>
          <w:rFonts w:asciiTheme="minorHAnsi" w:eastAsiaTheme="minorEastAsia" w:hAnsiTheme="minorHAnsi" w:cstheme="minorBidi"/>
          <w:noProof/>
          <w:kern w:val="2"/>
          <w:szCs w:val="24"/>
          <w:lang w:eastAsia="en-GB"/>
          <w14:ligatures w14:val="standardContextual"/>
        </w:rPr>
      </w:pPr>
      <w:r>
        <w:rPr>
          <w:rFonts w:cs="Times New Roman"/>
          <w:caps/>
        </w:rPr>
        <w:fldChar w:fldCharType="begin"/>
      </w:r>
      <w:r>
        <w:rPr>
          <w:rFonts w:cs="Times New Roman"/>
          <w:caps/>
        </w:rPr>
        <w:instrText xml:space="preserve"> TOC \o "1-3" \h \z \u </w:instrText>
      </w:r>
      <w:r>
        <w:rPr>
          <w:rFonts w:cs="Times New Roman"/>
          <w:caps/>
        </w:rPr>
        <w:fldChar w:fldCharType="separate"/>
      </w:r>
      <w:hyperlink w:anchor="_Toc242375160" w:history="1">
        <w:r w:rsidR="00F857FD" w:rsidRPr="00CE79FE">
          <w:rPr>
            <w:rStyle w:val="Hyperlink"/>
            <w:noProof/>
          </w:rPr>
          <w:t>Chapter 01: Introduction</w:t>
        </w:r>
        <w:r w:rsidR="00F857FD">
          <w:rPr>
            <w:noProof/>
            <w:webHidden/>
          </w:rPr>
          <w:tab/>
        </w:r>
        <w:r w:rsidR="00F857FD">
          <w:rPr>
            <w:noProof/>
            <w:webHidden/>
          </w:rPr>
          <w:fldChar w:fldCharType="begin"/>
        </w:r>
        <w:r w:rsidR="00F857FD">
          <w:rPr>
            <w:noProof/>
            <w:webHidden/>
          </w:rPr>
          <w:instrText xml:space="preserve"> PAGEREF _Toc242375160 \h </w:instrText>
        </w:r>
        <w:r w:rsidR="00F857FD">
          <w:rPr>
            <w:noProof/>
            <w:webHidden/>
          </w:rPr>
        </w:r>
        <w:r w:rsidR="00F857FD">
          <w:rPr>
            <w:noProof/>
            <w:webHidden/>
          </w:rPr>
          <w:fldChar w:fldCharType="separate"/>
        </w:r>
        <w:r w:rsidR="00F857FD">
          <w:rPr>
            <w:noProof/>
            <w:webHidden/>
          </w:rPr>
          <w:t>1</w:t>
        </w:r>
        <w:r w:rsidR="00F857FD">
          <w:rPr>
            <w:noProof/>
            <w:webHidden/>
          </w:rPr>
          <w:fldChar w:fldCharType="end"/>
        </w:r>
      </w:hyperlink>
    </w:p>
    <w:p w14:paraId="10621CC5" w14:textId="29A6D818" w:rsidR="00F857FD" w:rsidRDefault="00F857FD">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42375161" w:history="1">
        <w:r w:rsidRPr="00CE79FE">
          <w:rPr>
            <w:rStyle w:val="Hyperlink"/>
            <w:noProof/>
          </w:rPr>
          <w:t>1.1 Overview of the Company</w:t>
        </w:r>
        <w:r>
          <w:rPr>
            <w:noProof/>
            <w:webHidden/>
          </w:rPr>
          <w:tab/>
        </w:r>
        <w:r>
          <w:rPr>
            <w:noProof/>
            <w:webHidden/>
          </w:rPr>
          <w:fldChar w:fldCharType="begin"/>
        </w:r>
        <w:r>
          <w:rPr>
            <w:noProof/>
            <w:webHidden/>
          </w:rPr>
          <w:instrText xml:space="preserve"> PAGEREF _Toc242375161 \h </w:instrText>
        </w:r>
        <w:r>
          <w:rPr>
            <w:noProof/>
            <w:webHidden/>
          </w:rPr>
        </w:r>
        <w:r>
          <w:rPr>
            <w:noProof/>
            <w:webHidden/>
          </w:rPr>
          <w:fldChar w:fldCharType="separate"/>
        </w:r>
        <w:r>
          <w:rPr>
            <w:noProof/>
            <w:webHidden/>
          </w:rPr>
          <w:t>1</w:t>
        </w:r>
        <w:r>
          <w:rPr>
            <w:noProof/>
            <w:webHidden/>
          </w:rPr>
          <w:fldChar w:fldCharType="end"/>
        </w:r>
      </w:hyperlink>
    </w:p>
    <w:p w14:paraId="1EF65E27" w14:textId="6948CF96" w:rsidR="00F857FD" w:rsidRDefault="00F857FD">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42375162" w:history="1">
        <w:r w:rsidRPr="00CE79FE">
          <w:rPr>
            <w:rStyle w:val="Hyperlink"/>
            <w:noProof/>
          </w:rPr>
          <w:t>1.2 Opportunistic Idea Description</w:t>
        </w:r>
        <w:r>
          <w:rPr>
            <w:noProof/>
            <w:webHidden/>
          </w:rPr>
          <w:tab/>
        </w:r>
        <w:r>
          <w:rPr>
            <w:noProof/>
            <w:webHidden/>
          </w:rPr>
          <w:fldChar w:fldCharType="begin"/>
        </w:r>
        <w:r>
          <w:rPr>
            <w:noProof/>
            <w:webHidden/>
          </w:rPr>
          <w:instrText xml:space="preserve"> PAGEREF _Toc242375162 \h </w:instrText>
        </w:r>
        <w:r>
          <w:rPr>
            <w:noProof/>
            <w:webHidden/>
          </w:rPr>
        </w:r>
        <w:r>
          <w:rPr>
            <w:noProof/>
            <w:webHidden/>
          </w:rPr>
          <w:fldChar w:fldCharType="separate"/>
        </w:r>
        <w:r>
          <w:rPr>
            <w:noProof/>
            <w:webHidden/>
          </w:rPr>
          <w:t>1</w:t>
        </w:r>
        <w:r>
          <w:rPr>
            <w:noProof/>
            <w:webHidden/>
          </w:rPr>
          <w:fldChar w:fldCharType="end"/>
        </w:r>
      </w:hyperlink>
    </w:p>
    <w:p w14:paraId="6C86B490" w14:textId="14C8BDF6" w:rsidR="00F857FD" w:rsidRDefault="00F857FD">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42375163" w:history="1">
        <w:r w:rsidRPr="00CE79FE">
          <w:rPr>
            <w:rStyle w:val="Hyperlink"/>
            <w:noProof/>
          </w:rPr>
          <w:t>1.3 Research Aim and Objectives</w:t>
        </w:r>
        <w:r>
          <w:rPr>
            <w:noProof/>
            <w:webHidden/>
          </w:rPr>
          <w:tab/>
        </w:r>
        <w:r>
          <w:rPr>
            <w:noProof/>
            <w:webHidden/>
          </w:rPr>
          <w:fldChar w:fldCharType="begin"/>
        </w:r>
        <w:r>
          <w:rPr>
            <w:noProof/>
            <w:webHidden/>
          </w:rPr>
          <w:instrText xml:space="preserve"> PAGEREF _Toc242375163 \h </w:instrText>
        </w:r>
        <w:r>
          <w:rPr>
            <w:noProof/>
            <w:webHidden/>
          </w:rPr>
        </w:r>
        <w:r>
          <w:rPr>
            <w:noProof/>
            <w:webHidden/>
          </w:rPr>
          <w:fldChar w:fldCharType="separate"/>
        </w:r>
        <w:r>
          <w:rPr>
            <w:noProof/>
            <w:webHidden/>
          </w:rPr>
          <w:t>3</w:t>
        </w:r>
        <w:r>
          <w:rPr>
            <w:noProof/>
            <w:webHidden/>
          </w:rPr>
          <w:fldChar w:fldCharType="end"/>
        </w:r>
      </w:hyperlink>
    </w:p>
    <w:p w14:paraId="06C9F393" w14:textId="61A52EC4" w:rsidR="00F857FD" w:rsidRDefault="00F857FD">
      <w:pPr>
        <w:pStyle w:val="TOC1"/>
        <w:tabs>
          <w:tab w:val="right" w:leader="dot" w:pos="9350"/>
        </w:tabs>
        <w:rPr>
          <w:rFonts w:asciiTheme="minorHAnsi" w:eastAsiaTheme="minorEastAsia" w:hAnsiTheme="minorHAnsi" w:cstheme="minorBidi"/>
          <w:noProof/>
          <w:kern w:val="2"/>
          <w:szCs w:val="24"/>
          <w:lang w:eastAsia="en-GB"/>
          <w14:ligatures w14:val="standardContextual"/>
        </w:rPr>
      </w:pPr>
      <w:hyperlink w:anchor="_Toc242375164" w:history="1">
        <w:r w:rsidRPr="00CE79FE">
          <w:rPr>
            <w:rStyle w:val="Hyperlink"/>
            <w:noProof/>
          </w:rPr>
          <w:t>Chapter 02: Research Methodology</w:t>
        </w:r>
        <w:r>
          <w:rPr>
            <w:noProof/>
            <w:webHidden/>
          </w:rPr>
          <w:tab/>
        </w:r>
        <w:r>
          <w:rPr>
            <w:noProof/>
            <w:webHidden/>
          </w:rPr>
          <w:fldChar w:fldCharType="begin"/>
        </w:r>
        <w:r>
          <w:rPr>
            <w:noProof/>
            <w:webHidden/>
          </w:rPr>
          <w:instrText xml:space="preserve"> PAGEREF _Toc242375164 \h </w:instrText>
        </w:r>
        <w:r>
          <w:rPr>
            <w:noProof/>
            <w:webHidden/>
          </w:rPr>
        </w:r>
        <w:r>
          <w:rPr>
            <w:noProof/>
            <w:webHidden/>
          </w:rPr>
          <w:fldChar w:fldCharType="separate"/>
        </w:r>
        <w:r>
          <w:rPr>
            <w:noProof/>
            <w:webHidden/>
          </w:rPr>
          <w:t>4</w:t>
        </w:r>
        <w:r>
          <w:rPr>
            <w:noProof/>
            <w:webHidden/>
          </w:rPr>
          <w:fldChar w:fldCharType="end"/>
        </w:r>
      </w:hyperlink>
    </w:p>
    <w:p w14:paraId="0C91FA3D" w14:textId="2FD82FC5" w:rsidR="00F857FD" w:rsidRDefault="00F857FD">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42375165" w:history="1">
        <w:r w:rsidRPr="00CE79FE">
          <w:rPr>
            <w:rStyle w:val="Hyperlink"/>
            <w:noProof/>
          </w:rPr>
          <w:t>2.1 Research Approach and Design</w:t>
        </w:r>
        <w:r>
          <w:rPr>
            <w:noProof/>
            <w:webHidden/>
          </w:rPr>
          <w:tab/>
        </w:r>
        <w:r>
          <w:rPr>
            <w:noProof/>
            <w:webHidden/>
          </w:rPr>
          <w:fldChar w:fldCharType="begin"/>
        </w:r>
        <w:r>
          <w:rPr>
            <w:noProof/>
            <w:webHidden/>
          </w:rPr>
          <w:instrText xml:space="preserve"> PAGEREF _Toc242375165 \h </w:instrText>
        </w:r>
        <w:r>
          <w:rPr>
            <w:noProof/>
            <w:webHidden/>
          </w:rPr>
        </w:r>
        <w:r>
          <w:rPr>
            <w:noProof/>
            <w:webHidden/>
          </w:rPr>
          <w:fldChar w:fldCharType="separate"/>
        </w:r>
        <w:r>
          <w:rPr>
            <w:noProof/>
            <w:webHidden/>
          </w:rPr>
          <w:t>4</w:t>
        </w:r>
        <w:r>
          <w:rPr>
            <w:noProof/>
            <w:webHidden/>
          </w:rPr>
          <w:fldChar w:fldCharType="end"/>
        </w:r>
      </w:hyperlink>
    </w:p>
    <w:p w14:paraId="5739B39A" w14:textId="7DFFA8FD" w:rsidR="00F857FD" w:rsidRDefault="00F857FD">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42375166" w:history="1">
        <w:r w:rsidRPr="00CE79FE">
          <w:rPr>
            <w:rStyle w:val="Hyperlink"/>
            <w:noProof/>
          </w:rPr>
          <w:t>2.2 Data Collection Methods and Sources</w:t>
        </w:r>
        <w:r>
          <w:rPr>
            <w:noProof/>
            <w:webHidden/>
          </w:rPr>
          <w:tab/>
        </w:r>
        <w:r>
          <w:rPr>
            <w:noProof/>
            <w:webHidden/>
          </w:rPr>
          <w:fldChar w:fldCharType="begin"/>
        </w:r>
        <w:r>
          <w:rPr>
            <w:noProof/>
            <w:webHidden/>
          </w:rPr>
          <w:instrText xml:space="preserve"> PAGEREF _Toc242375166 \h </w:instrText>
        </w:r>
        <w:r>
          <w:rPr>
            <w:noProof/>
            <w:webHidden/>
          </w:rPr>
        </w:r>
        <w:r>
          <w:rPr>
            <w:noProof/>
            <w:webHidden/>
          </w:rPr>
          <w:fldChar w:fldCharType="separate"/>
        </w:r>
        <w:r>
          <w:rPr>
            <w:noProof/>
            <w:webHidden/>
          </w:rPr>
          <w:t>4</w:t>
        </w:r>
        <w:r>
          <w:rPr>
            <w:noProof/>
            <w:webHidden/>
          </w:rPr>
          <w:fldChar w:fldCharType="end"/>
        </w:r>
      </w:hyperlink>
    </w:p>
    <w:p w14:paraId="5BABF2AF" w14:textId="0D68B2CE" w:rsidR="00F857FD" w:rsidRDefault="00F857FD">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42375167" w:history="1">
        <w:r w:rsidRPr="00CE79FE">
          <w:rPr>
            <w:rStyle w:val="Hyperlink"/>
            <w:noProof/>
          </w:rPr>
          <w:t>2.3 Data Selection and Analytical Framework</w:t>
        </w:r>
        <w:r>
          <w:rPr>
            <w:noProof/>
            <w:webHidden/>
          </w:rPr>
          <w:tab/>
        </w:r>
        <w:r>
          <w:rPr>
            <w:noProof/>
            <w:webHidden/>
          </w:rPr>
          <w:fldChar w:fldCharType="begin"/>
        </w:r>
        <w:r>
          <w:rPr>
            <w:noProof/>
            <w:webHidden/>
          </w:rPr>
          <w:instrText xml:space="preserve"> PAGEREF _Toc242375167 \h </w:instrText>
        </w:r>
        <w:r>
          <w:rPr>
            <w:noProof/>
            <w:webHidden/>
          </w:rPr>
        </w:r>
        <w:r>
          <w:rPr>
            <w:noProof/>
            <w:webHidden/>
          </w:rPr>
          <w:fldChar w:fldCharType="separate"/>
        </w:r>
        <w:r>
          <w:rPr>
            <w:noProof/>
            <w:webHidden/>
          </w:rPr>
          <w:t>5</w:t>
        </w:r>
        <w:r>
          <w:rPr>
            <w:noProof/>
            <w:webHidden/>
          </w:rPr>
          <w:fldChar w:fldCharType="end"/>
        </w:r>
      </w:hyperlink>
    </w:p>
    <w:p w14:paraId="6E8A184F" w14:textId="15361835" w:rsidR="00F857FD" w:rsidRDefault="00F857FD">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42375168" w:history="1">
        <w:r w:rsidRPr="00CE79FE">
          <w:rPr>
            <w:rStyle w:val="Hyperlink"/>
            <w:noProof/>
          </w:rPr>
          <w:t>2.4 Financial Evaluation</w:t>
        </w:r>
        <w:r>
          <w:rPr>
            <w:noProof/>
            <w:webHidden/>
          </w:rPr>
          <w:tab/>
        </w:r>
        <w:r>
          <w:rPr>
            <w:noProof/>
            <w:webHidden/>
          </w:rPr>
          <w:fldChar w:fldCharType="begin"/>
        </w:r>
        <w:r>
          <w:rPr>
            <w:noProof/>
            <w:webHidden/>
          </w:rPr>
          <w:instrText xml:space="preserve"> PAGEREF _Toc242375168 \h </w:instrText>
        </w:r>
        <w:r>
          <w:rPr>
            <w:noProof/>
            <w:webHidden/>
          </w:rPr>
        </w:r>
        <w:r>
          <w:rPr>
            <w:noProof/>
            <w:webHidden/>
          </w:rPr>
          <w:fldChar w:fldCharType="separate"/>
        </w:r>
        <w:r>
          <w:rPr>
            <w:noProof/>
            <w:webHidden/>
          </w:rPr>
          <w:t>5</w:t>
        </w:r>
        <w:r>
          <w:rPr>
            <w:noProof/>
            <w:webHidden/>
          </w:rPr>
          <w:fldChar w:fldCharType="end"/>
        </w:r>
      </w:hyperlink>
    </w:p>
    <w:p w14:paraId="42D38EC0" w14:textId="02F48F4E" w:rsidR="00F857FD" w:rsidRDefault="00F857FD">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42375169" w:history="1">
        <w:r w:rsidRPr="00CE79FE">
          <w:rPr>
            <w:rStyle w:val="Hyperlink"/>
            <w:noProof/>
          </w:rPr>
          <w:t>2.5 Research Ethics, Reliability and Limitations</w:t>
        </w:r>
        <w:r>
          <w:rPr>
            <w:noProof/>
            <w:webHidden/>
          </w:rPr>
          <w:tab/>
        </w:r>
        <w:r>
          <w:rPr>
            <w:noProof/>
            <w:webHidden/>
          </w:rPr>
          <w:fldChar w:fldCharType="begin"/>
        </w:r>
        <w:r>
          <w:rPr>
            <w:noProof/>
            <w:webHidden/>
          </w:rPr>
          <w:instrText xml:space="preserve"> PAGEREF _Toc242375169 \h </w:instrText>
        </w:r>
        <w:r>
          <w:rPr>
            <w:noProof/>
            <w:webHidden/>
          </w:rPr>
        </w:r>
        <w:r>
          <w:rPr>
            <w:noProof/>
            <w:webHidden/>
          </w:rPr>
          <w:fldChar w:fldCharType="separate"/>
        </w:r>
        <w:r>
          <w:rPr>
            <w:noProof/>
            <w:webHidden/>
          </w:rPr>
          <w:t>5</w:t>
        </w:r>
        <w:r>
          <w:rPr>
            <w:noProof/>
            <w:webHidden/>
          </w:rPr>
          <w:fldChar w:fldCharType="end"/>
        </w:r>
      </w:hyperlink>
    </w:p>
    <w:p w14:paraId="491845EC" w14:textId="23065317" w:rsidR="00F857FD" w:rsidRDefault="00F857FD">
      <w:pPr>
        <w:pStyle w:val="TOC1"/>
        <w:tabs>
          <w:tab w:val="right" w:leader="dot" w:pos="9350"/>
        </w:tabs>
        <w:rPr>
          <w:rFonts w:asciiTheme="minorHAnsi" w:eastAsiaTheme="minorEastAsia" w:hAnsiTheme="minorHAnsi" w:cstheme="minorBidi"/>
          <w:noProof/>
          <w:kern w:val="2"/>
          <w:szCs w:val="24"/>
          <w:lang w:eastAsia="en-GB"/>
          <w14:ligatures w14:val="standardContextual"/>
        </w:rPr>
      </w:pPr>
      <w:hyperlink w:anchor="_Toc242375170" w:history="1">
        <w:r w:rsidRPr="00CE79FE">
          <w:rPr>
            <w:rStyle w:val="Hyperlink"/>
            <w:noProof/>
          </w:rPr>
          <w:t>Chapter 03: Market Research and Validation</w:t>
        </w:r>
        <w:r>
          <w:rPr>
            <w:noProof/>
            <w:webHidden/>
          </w:rPr>
          <w:tab/>
        </w:r>
        <w:r>
          <w:rPr>
            <w:noProof/>
            <w:webHidden/>
          </w:rPr>
          <w:fldChar w:fldCharType="begin"/>
        </w:r>
        <w:r>
          <w:rPr>
            <w:noProof/>
            <w:webHidden/>
          </w:rPr>
          <w:instrText xml:space="preserve"> PAGEREF _Toc242375170 \h </w:instrText>
        </w:r>
        <w:r>
          <w:rPr>
            <w:noProof/>
            <w:webHidden/>
          </w:rPr>
        </w:r>
        <w:r>
          <w:rPr>
            <w:noProof/>
            <w:webHidden/>
          </w:rPr>
          <w:fldChar w:fldCharType="separate"/>
        </w:r>
        <w:r>
          <w:rPr>
            <w:noProof/>
            <w:webHidden/>
          </w:rPr>
          <w:t>7</w:t>
        </w:r>
        <w:r>
          <w:rPr>
            <w:noProof/>
            <w:webHidden/>
          </w:rPr>
          <w:fldChar w:fldCharType="end"/>
        </w:r>
      </w:hyperlink>
    </w:p>
    <w:p w14:paraId="433F5756" w14:textId="727DA2BB" w:rsidR="00F857FD" w:rsidRDefault="00F857FD">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42375171" w:history="1">
        <w:r w:rsidRPr="00CE79FE">
          <w:rPr>
            <w:rStyle w:val="Hyperlink"/>
            <w:noProof/>
          </w:rPr>
          <w:t>3.1 UK Renewable Energy Market Size and Growth</w:t>
        </w:r>
        <w:r>
          <w:rPr>
            <w:noProof/>
            <w:webHidden/>
          </w:rPr>
          <w:tab/>
        </w:r>
        <w:r>
          <w:rPr>
            <w:noProof/>
            <w:webHidden/>
          </w:rPr>
          <w:fldChar w:fldCharType="begin"/>
        </w:r>
        <w:r>
          <w:rPr>
            <w:noProof/>
            <w:webHidden/>
          </w:rPr>
          <w:instrText xml:space="preserve"> PAGEREF _Toc242375171 \h </w:instrText>
        </w:r>
        <w:r>
          <w:rPr>
            <w:noProof/>
            <w:webHidden/>
          </w:rPr>
        </w:r>
        <w:r>
          <w:rPr>
            <w:noProof/>
            <w:webHidden/>
          </w:rPr>
          <w:fldChar w:fldCharType="separate"/>
        </w:r>
        <w:r>
          <w:rPr>
            <w:noProof/>
            <w:webHidden/>
          </w:rPr>
          <w:t>7</w:t>
        </w:r>
        <w:r>
          <w:rPr>
            <w:noProof/>
            <w:webHidden/>
          </w:rPr>
          <w:fldChar w:fldCharType="end"/>
        </w:r>
      </w:hyperlink>
    </w:p>
    <w:p w14:paraId="70064798" w14:textId="125DB900" w:rsidR="00F857FD" w:rsidRDefault="00F857FD">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42375172" w:history="1">
        <w:r w:rsidRPr="00CE79FE">
          <w:rPr>
            <w:rStyle w:val="Hyperlink"/>
            <w:noProof/>
          </w:rPr>
          <w:t>3.2 Target Market Size and Customer Segmentation</w:t>
        </w:r>
        <w:r>
          <w:rPr>
            <w:noProof/>
            <w:webHidden/>
          </w:rPr>
          <w:tab/>
        </w:r>
        <w:r>
          <w:rPr>
            <w:noProof/>
            <w:webHidden/>
          </w:rPr>
          <w:fldChar w:fldCharType="begin"/>
        </w:r>
        <w:r>
          <w:rPr>
            <w:noProof/>
            <w:webHidden/>
          </w:rPr>
          <w:instrText xml:space="preserve"> PAGEREF _Toc242375172 \h </w:instrText>
        </w:r>
        <w:r>
          <w:rPr>
            <w:noProof/>
            <w:webHidden/>
          </w:rPr>
        </w:r>
        <w:r>
          <w:rPr>
            <w:noProof/>
            <w:webHidden/>
          </w:rPr>
          <w:fldChar w:fldCharType="separate"/>
        </w:r>
        <w:r>
          <w:rPr>
            <w:noProof/>
            <w:webHidden/>
          </w:rPr>
          <w:t>8</w:t>
        </w:r>
        <w:r>
          <w:rPr>
            <w:noProof/>
            <w:webHidden/>
          </w:rPr>
          <w:fldChar w:fldCharType="end"/>
        </w:r>
      </w:hyperlink>
    </w:p>
    <w:p w14:paraId="3BF58BC1" w14:textId="76F7B0CA" w:rsidR="00F857FD" w:rsidRDefault="00F857FD">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42375173" w:history="1">
        <w:r w:rsidRPr="00CE79FE">
          <w:rPr>
            <w:rStyle w:val="Hyperlink"/>
            <w:noProof/>
          </w:rPr>
          <w:t>3.3 Customer Needs, Behaviour and Demand Validation</w:t>
        </w:r>
        <w:r>
          <w:rPr>
            <w:noProof/>
            <w:webHidden/>
          </w:rPr>
          <w:tab/>
        </w:r>
        <w:r>
          <w:rPr>
            <w:noProof/>
            <w:webHidden/>
          </w:rPr>
          <w:fldChar w:fldCharType="begin"/>
        </w:r>
        <w:r>
          <w:rPr>
            <w:noProof/>
            <w:webHidden/>
          </w:rPr>
          <w:instrText xml:space="preserve"> PAGEREF _Toc242375173 \h </w:instrText>
        </w:r>
        <w:r>
          <w:rPr>
            <w:noProof/>
            <w:webHidden/>
          </w:rPr>
        </w:r>
        <w:r>
          <w:rPr>
            <w:noProof/>
            <w:webHidden/>
          </w:rPr>
          <w:fldChar w:fldCharType="separate"/>
        </w:r>
        <w:r>
          <w:rPr>
            <w:noProof/>
            <w:webHidden/>
          </w:rPr>
          <w:t>9</w:t>
        </w:r>
        <w:r>
          <w:rPr>
            <w:noProof/>
            <w:webHidden/>
          </w:rPr>
          <w:fldChar w:fldCharType="end"/>
        </w:r>
      </w:hyperlink>
    </w:p>
    <w:p w14:paraId="55FF3691" w14:textId="79CAC119" w:rsidR="00F857FD" w:rsidRDefault="00F857FD">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42375174" w:history="1">
        <w:r w:rsidRPr="00CE79FE">
          <w:rPr>
            <w:rStyle w:val="Hyperlink"/>
            <w:noProof/>
          </w:rPr>
          <w:t>3.4 Competitor Activity and Market Positioning</w:t>
        </w:r>
        <w:r>
          <w:rPr>
            <w:noProof/>
            <w:webHidden/>
          </w:rPr>
          <w:tab/>
        </w:r>
        <w:r>
          <w:rPr>
            <w:noProof/>
            <w:webHidden/>
          </w:rPr>
          <w:fldChar w:fldCharType="begin"/>
        </w:r>
        <w:r>
          <w:rPr>
            <w:noProof/>
            <w:webHidden/>
          </w:rPr>
          <w:instrText xml:space="preserve"> PAGEREF _Toc242375174 \h </w:instrText>
        </w:r>
        <w:r>
          <w:rPr>
            <w:noProof/>
            <w:webHidden/>
          </w:rPr>
        </w:r>
        <w:r>
          <w:rPr>
            <w:noProof/>
            <w:webHidden/>
          </w:rPr>
          <w:fldChar w:fldCharType="separate"/>
        </w:r>
        <w:r>
          <w:rPr>
            <w:noProof/>
            <w:webHidden/>
          </w:rPr>
          <w:t>10</w:t>
        </w:r>
        <w:r>
          <w:rPr>
            <w:noProof/>
            <w:webHidden/>
          </w:rPr>
          <w:fldChar w:fldCharType="end"/>
        </w:r>
      </w:hyperlink>
    </w:p>
    <w:p w14:paraId="3ADD2F25" w14:textId="3AFC5C70" w:rsidR="00F857FD" w:rsidRDefault="00F857FD">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42375175" w:history="1">
        <w:r w:rsidRPr="00CE79FE">
          <w:rPr>
            <w:rStyle w:val="Hyperlink"/>
            <w:noProof/>
          </w:rPr>
          <w:t>3.5 Pricing Trends and Commercial Feasibility</w:t>
        </w:r>
        <w:r>
          <w:rPr>
            <w:noProof/>
            <w:webHidden/>
          </w:rPr>
          <w:tab/>
        </w:r>
        <w:r>
          <w:rPr>
            <w:noProof/>
            <w:webHidden/>
          </w:rPr>
          <w:fldChar w:fldCharType="begin"/>
        </w:r>
        <w:r>
          <w:rPr>
            <w:noProof/>
            <w:webHidden/>
          </w:rPr>
          <w:instrText xml:space="preserve"> PAGEREF _Toc242375175 \h </w:instrText>
        </w:r>
        <w:r>
          <w:rPr>
            <w:noProof/>
            <w:webHidden/>
          </w:rPr>
        </w:r>
        <w:r>
          <w:rPr>
            <w:noProof/>
            <w:webHidden/>
          </w:rPr>
          <w:fldChar w:fldCharType="separate"/>
        </w:r>
        <w:r>
          <w:rPr>
            <w:noProof/>
            <w:webHidden/>
          </w:rPr>
          <w:t>11</w:t>
        </w:r>
        <w:r>
          <w:rPr>
            <w:noProof/>
            <w:webHidden/>
          </w:rPr>
          <w:fldChar w:fldCharType="end"/>
        </w:r>
      </w:hyperlink>
    </w:p>
    <w:p w14:paraId="52666972" w14:textId="1F5D1E94" w:rsidR="00F857FD" w:rsidRDefault="00F857FD">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42375176" w:history="1">
        <w:r w:rsidRPr="00CE79FE">
          <w:rPr>
            <w:rStyle w:val="Hyperlink"/>
            <w:noProof/>
          </w:rPr>
          <w:t>3.6 Market Entry Barriers and Regulatory Considerations</w:t>
        </w:r>
        <w:r>
          <w:rPr>
            <w:noProof/>
            <w:webHidden/>
          </w:rPr>
          <w:tab/>
        </w:r>
        <w:r>
          <w:rPr>
            <w:noProof/>
            <w:webHidden/>
          </w:rPr>
          <w:fldChar w:fldCharType="begin"/>
        </w:r>
        <w:r>
          <w:rPr>
            <w:noProof/>
            <w:webHidden/>
          </w:rPr>
          <w:instrText xml:space="preserve"> PAGEREF _Toc242375176 \h </w:instrText>
        </w:r>
        <w:r>
          <w:rPr>
            <w:noProof/>
            <w:webHidden/>
          </w:rPr>
        </w:r>
        <w:r>
          <w:rPr>
            <w:noProof/>
            <w:webHidden/>
          </w:rPr>
          <w:fldChar w:fldCharType="separate"/>
        </w:r>
        <w:r>
          <w:rPr>
            <w:noProof/>
            <w:webHidden/>
          </w:rPr>
          <w:t>12</w:t>
        </w:r>
        <w:r>
          <w:rPr>
            <w:noProof/>
            <w:webHidden/>
          </w:rPr>
          <w:fldChar w:fldCharType="end"/>
        </w:r>
      </w:hyperlink>
    </w:p>
    <w:p w14:paraId="3DE80D6F" w14:textId="689AC277" w:rsidR="00F857FD" w:rsidRDefault="00F857FD">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42375177" w:history="1">
        <w:r w:rsidRPr="00CE79FE">
          <w:rPr>
            <w:rStyle w:val="Hyperlink"/>
            <w:noProof/>
          </w:rPr>
          <w:t>3.7 Market Validation and Strategic Opportunity</w:t>
        </w:r>
        <w:r>
          <w:rPr>
            <w:noProof/>
            <w:webHidden/>
          </w:rPr>
          <w:tab/>
        </w:r>
        <w:r>
          <w:rPr>
            <w:noProof/>
            <w:webHidden/>
          </w:rPr>
          <w:fldChar w:fldCharType="begin"/>
        </w:r>
        <w:r>
          <w:rPr>
            <w:noProof/>
            <w:webHidden/>
          </w:rPr>
          <w:instrText xml:space="preserve"> PAGEREF _Toc242375177 \h </w:instrText>
        </w:r>
        <w:r>
          <w:rPr>
            <w:noProof/>
            <w:webHidden/>
          </w:rPr>
        </w:r>
        <w:r>
          <w:rPr>
            <w:noProof/>
            <w:webHidden/>
          </w:rPr>
          <w:fldChar w:fldCharType="separate"/>
        </w:r>
        <w:r>
          <w:rPr>
            <w:noProof/>
            <w:webHidden/>
          </w:rPr>
          <w:t>12</w:t>
        </w:r>
        <w:r>
          <w:rPr>
            <w:noProof/>
            <w:webHidden/>
          </w:rPr>
          <w:fldChar w:fldCharType="end"/>
        </w:r>
      </w:hyperlink>
    </w:p>
    <w:p w14:paraId="0A583F0F" w14:textId="26AE8966" w:rsidR="00F857FD" w:rsidRDefault="00F857FD">
      <w:pPr>
        <w:pStyle w:val="TOC1"/>
        <w:tabs>
          <w:tab w:val="right" w:leader="dot" w:pos="9350"/>
        </w:tabs>
        <w:rPr>
          <w:rFonts w:asciiTheme="minorHAnsi" w:eastAsiaTheme="minorEastAsia" w:hAnsiTheme="minorHAnsi" w:cstheme="minorBidi"/>
          <w:noProof/>
          <w:kern w:val="2"/>
          <w:szCs w:val="24"/>
          <w:lang w:eastAsia="en-GB"/>
          <w14:ligatures w14:val="standardContextual"/>
        </w:rPr>
      </w:pPr>
      <w:hyperlink w:anchor="_Toc242375178" w:history="1">
        <w:r w:rsidRPr="00CE79FE">
          <w:rPr>
            <w:rStyle w:val="Hyperlink"/>
            <w:noProof/>
          </w:rPr>
          <w:t>Chapter 04: Risk Management</w:t>
        </w:r>
        <w:r>
          <w:rPr>
            <w:noProof/>
            <w:webHidden/>
          </w:rPr>
          <w:tab/>
        </w:r>
        <w:r>
          <w:rPr>
            <w:noProof/>
            <w:webHidden/>
          </w:rPr>
          <w:fldChar w:fldCharType="begin"/>
        </w:r>
        <w:r>
          <w:rPr>
            <w:noProof/>
            <w:webHidden/>
          </w:rPr>
          <w:instrText xml:space="preserve"> PAGEREF _Toc242375178 \h </w:instrText>
        </w:r>
        <w:r>
          <w:rPr>
            <w:noProof/>
            <w:webHidden/>
          </w:rPr>
        </w:r>
        <w:r>
          <w:rPr>
            <w:noProof/>
            <w:webHidden/>
          </w:rPr>
          <w:fldChar w:fldCharType="separate"/>
        </w:r>
        <w:r>
          <w:rPr>
            <w:noProof/>
            <w:webHidden/>
          </w:rPr>
          <w:t>13</w:t>
        </w:r>
        <w:r>
          <w:rPr>
            <w:noProof/>
            <w:webHidden/>
          </w:rPr>
          <w:fldChar w:fldCharType="end"/>
        </w:r>
      </w:hyperlink>
    </w:p>
    <w:p w14:paraId="7677CCDB" w14:textId="101E2AD6" w:rsidR="00F857FD" w:rsidRDefault="00F857FD">
      <w:pPr>
        <w:pStyle w:val="TOC1"/>
        <w:tabs>
          <w:tab w:val="right" w:leader="dot" w:pos="9350"/>
        </w:tabs>
        <w:rPr>
          <w:rFonts w:asciiTheme="minorHAnsi" w:eastAsiaTheme="minorEastAsia" w:hAnsiTheme="minorHAnsi" w:cstheme="minorBidi"/>
          <w:noProof/>
          <w:kern w:val="2"/>
          <w:szCs w:val="24"/>
          <w:lang w:eastAsia="en-GB"/>
          <w14:ligatures w14:val="standardContextual"/>
        </w:rPr>
      </w:pPr>
      <w:hyperlink w:anchor="_Toc242375179" w:history="1">
        <w:r w:rsidRPr="00CE79FE">
          <w:rPr>
            <w:rStyle w:val="Hyperlink"/>
            <w:noProof/>
          </w:rPr>
          <w:t>Chapter 05: Project Timeline</w:t>
        </w:r>
        <w:r>
          <w:rPr>
            <w:noProof/>
            <w:webHidden/>
          </w:rPr>
          <w:tab/>
        </w:r>
        <w:r>
          <w:rPr>
            <w:noProof/>
            <w:webHidden/>
          </w:rPr>
          <w:fldChar w:fldCharType="begin"/>
        </w:r>
        <w:r>
          <w:rPr>
            <w:noProof/>
            <w:webHidden/>
          </w:rPr>
          <w:instrText xml:space="preserve"> PAGEREF _Toc242375179 \h </w:instrText>
        </w:r>
        <w:r>
          <w:rPr>
            <w:noProof/>
            <w:webHidden/>
          </w:rPr>
        </w:r>
        <w:r>
          <w:rPr>
            <w:noProof/>
            <w:webHidden/>
          </w:rPr>
          <w:fldChar w:fldCharType="separate"/>
        </w:r>
        <w:r>
          <w:rPr>
            <w:noProof/>
            <w:webHidden/>
          </w:rPr>
          <w:t>15</w:t>
        </w:r>
        <w:r>
          <w:rPr>
            <w:noProof/>
            <w:webHidden/>
          </w:rPr>
          <w:fldChar w:fldCharType="end"/>
        </w:r>
      </w:hyperlink>
    </w:p>
    <w:p w14:paraId="6CFAE66A" w14:textId="62927DA7" w:rsidR="00F857FD" w:rsidRDefault="00F857FD">
      <w:pPr>
        <w:pStyle w:val="TOC1"/>
        <w:tabs>
          <w:tab w:val="right" w:leader="dot" w:pos="9350"/>
        </w:tabs>
        <w:rPr>
          <w:rFonts w:asciiTheme="minorHAnsi" w:eastAsiaTheme="minorEastAsia" w:hAnsiTheme="minorHAnsi" w:cstheme="minorBidi"/>
          <w:noProof/>
          <w:kern w:val="2"/>
          <w:szCs w:val="24"/>
          <w:lang w:eastAsia="en-GB"/>
          <w14:ligatures w14:val="standardContextual"/>
        </w:rPr>
      </w:pPr>
      <w:hyperlink w:anchor="_Toc242375180" w:history="1">
        <w:r w:rsidRPr="00CE79FE">
          <w:rPr>
            <w:rStyle w:val="Hyperlink"/>
            <w:noProof/>
          </w:rPr>
          <w:t>References</w:t>
        </w:r>
        <w:r>
          <w:rPr>
            <w:noProof/>
            <w:webHidden/>
          </w:rPr>
          <w:tab/>
        </w:r>
        <w:r>
          <w:rPr>
            <w:noProof/>
            <w:webHidden/>
          </w:rPr>
          <w:fldChar w:fldCharType="begin"/>
        </w:r>
        <w:r>
          <w:rPr>
            <w:noProof/>
            <w:webHidden/>
          </w:rPr>
          <w:instrText xml:space="preserve"> PAGEREF _Toc242375180 \h </w:instrText>
        </w:r>
        <w:r>
          <w:rPr>
            <w:noProof/>
            <w:webHidden/>
          </w:rPr>
        </w:r>
        <w:r>
          <w:rPr>
            <w:noProof/>
            <w:webHidden/>
          </w:rPr>
          <w:fldChar w:fldCharType="separate"/>
        </w:r>
        <w:r>
          <w:rPr>
            <w:noProof/>
            <w:webHidden/>
          </w:rPr>
          <w:t>16</w:t>
        </w:r>
        <w:r>
          <w:rPr>
            <w:noProof/>
            <w:webHidden/>
          </w:rPr>
          <w:fldChar w:fldCharType="end"/>
        </w:r>
      </w:hyperlink>
    </w:p>
    <w:p w14:paraId="5B8E30C5" w14:textId="70667042" w:rsidR="006B1811" w:rsidRDefault="004A4AEF">
      <w:pPr>
        <w:rPr>
          <w:rFonts w:cs="Times New Roman"/>
          <w:b/>
          <w:bCs/>
          <w:caps/>
        </w:rPr>
      </w:pPr>
      <w:r>
        <w:rPr>
          <w:rFonts w:cs="Times New Roman"/>
          <w:b/>
          <w:bCs/>
          <w:caps/>
        </w:rPr>
        <w:fldChar w:fldCharType="end"/>
      </w:r>
    </w:p>
    <w:p w14:paraId="1FE2ABCE" w14:textId="77777777" w:rsidR="006B1811" w:rsidRDefault="006B1811">
      <w:pPr>
        <w:rPr>
          <w:rFonts w:cs="Times New Roman"/>
        </w:rPr>
        <w:sectPr w:rsidR="006B1811">
          <w:pgSz w:w="12240" w:h="15840"/>
          <w:pgMar w:top="1440" w:right="1440" w:bottom="1440" w:left="1440" w:header="720" w:footer="720" w:gutter="0"/>
          <w:cols w:space="720"/>
          <w:titlePg/>
          <w:docGrid w:linePitch="360"/>
        </w:sectPr>
      </w:pPr>
    </w:p>
    <w:p w14:paraId="5360F391" w14:textId="4AD4489C" w:rsidR="00615A1D" w:rsidRDefault="00661EB5" w:rsidP="00615A1D">
      <w:pPr>
        <w:pStyle w:val="Heading1"/>
      </w:pPr>
      <w:bookmarkStart w:id="0" w:name="_Toc242375160"/>
      <w:r>
        <w:t xml:space="preserve">Chapter 01: </w:t>
      </w:r>
      <w:r w:rsidR="00615A1D">
        <w:t>Introduction</w:t>
      </w:r>
      <w:bookmarkEnd w:id="0"/>
    </w:p>
    <w:p w14:paraId="297C3C6F" w14:textId="28B8C27D" w:rsidR="00F64075" w:rsidRPr="00F64075" w:rsidRDefault="00F64075" w:rsidP="00F64075">
      <w:pPr>
        <w:pStyle w:val="Heading2"/>
      </w:pPr>
      <w:bookmarkStart w:id="1" w:name="_Toc242375161"/>
      <w:r>
        <w:t>1.1 Overview of the Company</w:t>
      </w:r>
      <w:bookmarkEnd w:id="1"/>
    </w:p>
    <w:p w14:paraId="6A15EDA6" w14:textId="77777777" w:rsidR="002B555B" w:rsidRDefault="002B555B" w:rsidP="002B555B">
      <w:r>
        <w:t>Founded by environmental entrepreneur Dale Vince in 1995, Ecotricity is a British renewable energy business aiming to speed up the move away from fossil fuels to renewable energy. The company has been acknowledged as a leader in the supply of green electricity and services, providing supply of renewable electricity, green gas and other energy services (Ecotricity, 2025a) to both domestic and commercial customers all over Britain. The unique Bills into Mills strategy is to reinvest profits in renewable energy systems instead of shareholder dividends (Ecotricity, 2025b).</w:t>
      </w:r>
    </w:p>
    <w:p w14:paraId="664AEE6A" w14:textId="6DC30023" w:rsidR="002B555B" w:rsidRDefault="002B555B" w:rsidP="002B555B">
      <w:r>
        <w:t xml:space="preserve">Ecotricity have designed 24 wind parks, each with a number of wind turbines, with a total capacity of 74 wind turbines, and three solar parks, with a total capacity of 17.5 MW (Ecotricity, 2025b). The mix of fuels used for its electricity generation in the 2024-March 25 quarter was 100% renewable, with sources of wind, hydropower, solar and </w:t>
      </w:r>
      <w:r w:rsidR="00F64075">
        <w:t>bio generation</w:t>
      </w:r>
      <w:r>
        <w:t xml:space="preserve">. Some 10% of its electricity, however, was produced by its own generators, the rest by other generators and wholesale arrangements (Ecotricity, </w:t>
      </w:r>
      <w:r w:rsidR="00E26A23">
        <w:t>2025c</w:t>
      </w:r>
      <w:r>
        <w:t>).</w:t>
      </w:r>
    </w:p>
    <w:p w14:paraId="289F9216" w14:textId="43E51C58" w:rsidR="004C479D" w:rsidRDefault="002B555B" w:rsidP="002B555B">
      <w:r>
        <w:t>Technological innovation, commercial decarbonisation and energy affordability are factors that shape growth opportunities in the UK renewable energy market, which is becoming more competitive. They have proven success with sustainability credentials, business customer relationship</w:t>
      </w:r>
      <w:r w:rsidR="00B27454">
        <w:t>s,</w:t>
      </w:r>
      <w:r>
        <w:t xml:space="preserve"> and renewable generation experience, making them a solid base to consider strategic expansion into integrated energy solutions for business customers.</w:t>
      </w:r>
    </w:p>
    <w:p w14:paraId="24B3AC09" w14:textId="0FA9C86B" w:rsidR="00F64075" w:rsidRDefault="00F64075" w:rsidP="00F64075">
      <w:pPr>
        <w:pStyle w:val="Heading2"/>
      </w:pPr>
      <w:bookmarkStart w:id="2" w:name="_Toc242375162"/>
      <w:r>
        <w:t>1.2 Opportunistic Idea Description</w:t>
      </w:r>
      <w:bookmarkEnd w:id="2"/>
    </w:p>
    <w:p w14:paraId="6EE6C5C7" w14:textId="13191270" w:rsidR="00CE00C3" w:rsidRDefault="00CE00C3" w:rsidP="00CE00C3">
      <w:r>
        <w:t>The strategic opportunity is a single, integrated solar photovoltaic (PV) / battery storage / smart energy management service for small and medium-sized enterprises (SMEs) in the UK. This would be an expansion of Ecotricity's existing business portfolio by complementing its renewable energy packages, which would help customers to better manage electricity costs and operational resilience instead of creating a new business.</w:t>
      </w:r>
    </w:p>
    <w:p w14:paraId="770D62E1" w14:textId="37E21F2E" w:rsidR="003B3722" w:rsidRDefault="003B3722" w:rsidP="00CE00C3">
      <w:r>
        <w:rPr>
          <w:noProof/>
        </w:rPr>
        <w:drawing>
          <wp:inline distT="0" distB="0" distL="0" distR="0" wp14:anchorId="57C8495D" wp14:editId="1B68E796">
            <wp:extent cx="5755005" cy="3836670"/>
            <wp:effectExtent l="0" t="0" r="0" b="0"/>
            <wp:docPr id="11240921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60432" cy="3840288"/>
                    </a:xfrm>
                    <a:prstGeom prst="rect">
                      <a:avLst/>
                    </a:prstGeom>
                    <a:noFill/>
                  </pic:spPr>
                </pic:pic>
              </a:graphicData>
            </a:graphic>
          </wp:inline>
        </w:drawing>
      </w:r>
    </w:p>
    <w:p w14:paraId="27347DA0" w14:textId="7351E670" w:rsidR="003B3722" w:rsidRDefault="003B3722" w:rsidP="003B3722">
      <w:pPr>
        <w:pStyle w:val="Caption"/>
        <w:jc w:val="center"/>
      </w:pPr>
      <w:r>
        <w:t xml:space="preserve">Diagram </w:t>
      </w:r>
      <w:r>
        <w:fldChar w:fldCharType="begin"/>
      </w:r>
      <w:r>
        <w:instrText xml:space="preserve"> SEQ Diagram \* ARABIC </w:instrText>
      </w:r>
      <w:r>
        <w:fldChar w:fldCharType="separate"/>
      </w:r>
      <w:r>
        <w:rPr>
          <w:noProof/>
        </w:rPr>
        <w:t>1</w:t>
      </w:r>
      <w:r>
        <w:fldChar w:fldCharType="end"/>
      </w:r>
      <w:r>
        <w:t xml:space="preserve">: </w:t>
      </w:r>
      <w:r w:rsidRPr="009E6994">
        <w:t>Proposed Strategic Growth and Expansion Framework</w:t>
      </w:r>
      <w:r>
        <w:t xml:space="preserve"> (Source</w:t>
      </w:r>
      <w:r w:rsidR="00B27454">
        <w:t>:</w:t>
      </w:r>
      <w:r>
        <w:t xml:space="preserve"> Author)</w:t>
      </w:r>
    </w:p>
    <w:p w14:paraId="263E672B" w14:textId="477D24A6" w:rsidR="00CE00C3" w:rsidRDefault="00CE00C3" w:rsidP="00CE00C3">
      <w:r>
        <w:t xml:space="preserve">This opportunity is backed up by significant market growth of solar energy in the United Kingdom. The Department for Energy Security </w:t>
      </w:r>
      <w:r w:rsidR="00B27454">
        <w:t xml:space="preserve">and </w:t>
      </w:r>
      <w:r>
        <w:t>Net Zero (DESNZ, 2026) reported that solar electricity generation in the UK rose by around 37% in 2025 to a total of 20 TWh</w:t>
      </w:r>
      <w:r w:rsidR="00FC5D82">
        <w:t xml:space="preserve">. However, </w:t>
      </w:r>
      <w:r>
        <w:t>solar capacity grew by about 15% to 21.7 GW</w:t>
      </w:r>
      <w:r w:rsidR="00FC5D82">
        <w:t xml:space="preserve"> (DESNZ, 2026)</w:t>
      </w:r>
      <w:r>
        <w:t>. While the growth in the market is encouraging, the developments indicate a favourable scenario for commercial investment in renewable energies but not alone financial viability of the proposed expansion.</w:t>
      </w:r>
    </w:p>
    <w:p w14:paraId="1CCB9A27" w14:textId="623182C8" w:rsidR="00F64075" w:rsidRPr="00F64075" w:rsidRDefault="00CE00C3" w:rsidP="00CE00C3">
      <w:r>
        <w:t xml:space="preserve">Ecotricity is already supplying renewable electricity to commercial customers and providing the opportunity for them to generate renewable energy on site (Ecotricity, </w:t>
      </w:r>
      <w:r w:rsidR="00E26A23">
        <w:t>2025c</w:t>
      </w:r>
      <w:r>
        <w:t xml:space="preserve">). This would be complemented by packaged solar installations, battery storage systems, energy monitoring, and maintenance services among the additional capabilities envisioned by the proposed strategy. This would create more service revenue, enhance customer relationships and contribute to Ecotricity's sustainability goals. Growth would need to be carefully evaluated for customer demand, investment, regulations, technical delivery </w:t>
      </w:r>
      <w:r w:rsidR="00B27454">
        <w:t>capabilities,</w:t>
      </w:r>
      <w:r>
        <w:t xml:space="preserve"> and competition prior to growth.</w:t>
      </w:r>
    </w:p>
    <w:p w14:paraId="1E9B5221" w14:textId="3A3E2C68" w:rsidR="00F64075" w:rsidRDefault="00F64075" w:rsidP="00F64075">
      <w:pPr>
        <w:pStyle w:val="Heading2"/>
      </w:pPr>
      <w:bookmarkStart w:id="3" w:name="_Toc242375163"/>
      <w:r>
        <w:t>1.3 Research Aim and Objectives</w:t>
      </w:r>
      <w:bookmarkEnd w:id="3"/>
    </w:p>
    <w:p w14:paraId="24778126" w14:textId="7C021D5C" w:rsidR="00F64075" w:rsidRDefault="00F64075" w:rsidP="00F64075">
      <w:r>
        <w:t xml:space="preserve">This research aims to </w:t>
      </w:r>
      <w:r w:rsidRPr="00F64075">
        <w:t>evaluate the strategic and financial feasibility of expanding Ecotricity's integrated solar energy and battery storage services within the UK SME market.</w:t>
      </w:r>
      <w:r>
        <w:t xml:space="preserve"> The objectives of this study are – </w:t>
      </w:r>
    </w:p>
    <w:p w14:paraId="28AC1AD1" w14:textId="001C7903" w:rsidR="00F64075" w:rsidRDefault="00F64075" w:rsidP="00F64075">
      <w:pPr>
        <w:pStyle w:val="ListParagraph"/>
        <w:numPr>
          <w:ilvl w:val="0"/>
          <w:numId w:val="8"/>
        </w:numPr>
      </w:pPr>
      <w:r>
        <w:t>To investigate UK renewable energy market trends, SME customer demand and potential expansion opportunities for Ecotricity.</w:t>
      </w:r>
    </w:p>
    <w:p w14:paraId="6DA5D23C" w14:textId="4544EBF2" w:rsidR="00F64075" w:rsidRDefault="00F64075" w:rsidP="00F64075">
      <w:pPr>
        <w:pStyle w:val="ListParagraph"/>
        <w:numPr>
          <w:ilvl w:val="0"/>
          <w:numId w:val="8"/>
        </w:numPr>
      </w:pPr>
      <w:r>
        <w:t>To assess Ecotricity's competitive position and strategic growth potential using PESTLE, SWOT, competitor analysis, Porter's Five Forces and Ansoff Matrix.</w:t>
      </w:r>
    </w:p>
    <w:p w14:paraId="5F27D2D4" w14:textId="718638FB" w:rsidR="00F64075" w:rsidRDefault="00F64075" w:rsidP="00F64075">
      <w:pPr>
        <w:pStyle w:val="ListParagraph"/>
        <w:numPr>
          <w:ilvl w:val="0"/>
          <w:numId w:val="8"/>
        </w:numPr>
      </w:pPr>
      <w:r>
        <w:t>To develop appropriate marketing, operational and human resource strategies to support the proposed expansion.</w:t>
      </w:r>
    </w:p>
    <w:p w14:paraId="0CCE899F" w14:textId="15CFE64F" w:rsidR="00F64075" w:rsidRDefault="00F64075" w:rsidP="00F64075">
      <w:pPr>
        <w:pStyle w:val="ListParagraph"/>
        <w:numPr>
          <w:ilvl w:val="0"/>
          <w:numId w:val="8"/>
        </w:numPr>
      </w:pPr>
      <w:r>
        <w:t>To evaluate the financial feasibility, funding requirements and risks of the expansion through a projected 12-month cash flow analysis.</w:t>
      </w:r>
    </w:p>
    <w:p w14:paraId="5206FF8A" w14:textId="77777777" w:rsidR="00F64075" w:rsidRDefault="00F64075" w:rsidP="00F64075"/>
    <w:p w14:paraId="7D79F949" w14:textId="4B5D6187" w:rsidR="00F64075" w:rsidRDefault="00F64075">
      <w:pPr>
        <w:spacing w:before="0" w:after="160" w:line="259" w:lineRule="auto"/>
        <w:jc w:val="left"/>
      </w:pPr>
      <w:r>
        <w:br w:type="page"/>
      </w:r>
    </w:p>
    <w:p w14:paraId="58734332" w14:textId="3E57A33F" w:rsidR="00F64075" w:rsidRDefault="00F64075" w:rsidP="00F64075">
      <w:pPr>
        <w:pStyle w:val="Heading1"/>
      </w:pPr>
      <w:bookmarkStart w:id="4" w:name="_Toc242375164"/>
      <w:r>
        <w:t>Chapter 02: Research Methodology</w:t>
      </w:r>
      <w:bookmarkEnd w:id="4"/>
    </w:p>
    <w:p w14:paraId="29C6A602" w14:textId="2673EBBA" w:rsidR="00F64075" w:rsidRDefault="0060081B" w:rsidP="0060081B">
      <w:pPr>
        <w:pStyle w:val="Heading2"/>
      </w:pPr>
      <w:bookmarkStart w:id="5" w:name="_Toc242375165"/>
      <w:r>
        <w:t>2.1 Research Approach and Design</w:t>
      </w:r>
      <w:bookmarkEnd w:id="5"/>
    </w:p>
    <w:p w14:paraId="64088FED" w14:textId="673B5F0E" w:rsidR="0060081B" w:rsidRDefault="0060081B" w:rsidP="0060081B">
      <w:r>
        <w:t xml:space="preserve">This will be </w:t>
      </w:r>
      <w:r w:rsidR="0053585C">
        <w:t>secondary research</w:t>
      </w:r>
      <w:r>
        <w:t xml:space="preserve"> which will incorporate qualitative and quantitative evidence to analyse the strategic growth opportunities that Ecotricity has within the United Kingdom's Renewable Energy market. The investigation will be conducted </w:t>
      </w:r>
      <w:r w:rsidR="00B27454">
        <w:t>using</w:t>
      </w:r>
      <w:r>
        <w:t xml:space="preserve"> a pragmatic research philosophy that leaves a range of evidence to cover aspects of the commercial, operational and financial side of the proposed expansion. Samwayis and Underwood et al. (2023) tell us that the type of research design must match the research goals and what type of evidence needs to be gathered.</w:t>
      </w:r>
    </w:p>
    <w:p w14:paraId="41A8F654" w14:textId="3786683E" w:rsidR="0060081B" w:rsidRPr="0060081B" w:rsidRDefault="0060081B" w:rsidP="0060081B">
      <w:r>
        <w:t>A descriptive and exploratory research design will be used to investigate Ecotricity's current business activities, the industry and opportunities to expand integrated solar PV (Photovoltaic) / battery storage and smart energy management for UK SMEs (Small and Micro Enterprises). Since a systematic assessment of the available market evidence is required, but primary data collection can be expensive, secondary research is appropriate.</w:t>
      </w:r>
    </w:p>
    <w:p w14:paraId="12559A55" w14:textId="7FACE296" w:rsidR="0060081B" w:rsidRDefault="0060081B" w:rsidP="0060081B">
      <w:pPr>
        <w:pStyle w:val="Heading2"/>
      </w:pPr>
      <w:bookmarkStart w:id="6" w:name="_Toc242375166"/>
      <w:r>
        <w:t>2.2 Data Collection Methods and Sources</w:t>
      </w:r>
      <w:bookmarkEnd w:id="6"/>
    </w:p>
    <w:p w14:paraId="212E2C37" w14:textId="160FA73A" w:rsidR="000A36B0" w:rsidRDefault="000A36B0" w:rsidP="000A36B0">
      <w:r>
        <w:t>Credible and publicly available data will be obtained from sources such as governmental statistical reports</w:t>
      </w:r>
      <w:r w:rsidR="00B27454">
        <w:t>,</w:t>
      </w:r>
      <w:r>
        <w:t xml:space="preserve"> Ecotricity's corporate publications, peer-reviewed and academic journals and industry research. The Department for Energy Security and Net Zero (DESNZ, 2026) will supply official evidence on renewable generation of electricity, on installed capacity and the development of sectors. Information, evidence and indicators regarding energy market competition in retail markets will be made available by Ofgem (2026).</w:t>
      </w:r>
    </w:p>
    <w:p w14:paraId="48018C7C" w14:textId="2B36F4D8" w:rsidR="0060081B" w:rsidRPr="0060081B" w:rsidRDefault="000A36B0" w:rsidP="000A36B0">
      <w:r>
        <w:t>Further data will be sourced from Companies House, the Office for National Statistics (ONS) and appropriate industry publications for renewables. The sources identified between 2021 and 2026 will have precedence</w:t>
      </w:r>
      <w:r w:rsidR="00B27454">
        <w:t>,</w:t>
      </w:r>
      <w:r>
        <w:t xml:space="preserve"> as </w:t>
      </w:r>
      <w:r w:rsidR="00B27454">
        <w:t>this</w:t>
      </w:r>
      <w:r>
        <w:t xml:space="preserve"> will ensure contemporary relevance</w:t>
      </w:r>
      <w:r w:rsidR="00B27454">
        <w:t>,</w:t>
      </w:r>
      <w:r>
        <w:t xml:space="preserve"> with emphasis on sources published within the last five years, and earlier academic publications will support the established theoretical frameworks.</w:t>
      </w:r>
    </w:p>
    <w:p w14:paraId="632015FD" w14:textId="33759825" w:rsidR="0060081B" w:rsidRDefault="0060081B" w:rsidP="0060081B">
      <w:pPr>
        <w:pStyle w:val="Heading2"/>
      </w:pPr>
      <w:bookmarkStart w:id="7" w:name="_Toc242375167"/>
      <w:r>
        <w:t>2.3 Data Selection and Analytical Framework</w:t>
      </w:r>
      <w:bookmarkEnd w:id="7"/>
    </w:p>
    <w:p w14:paraId="7C60D4EA" w14:textId="14F709D0" w:rsidR="00FD21C9" w:rsidRDefault="00FD21C9" w:rsidP="00FD21C9">
      <w:r>
        <w:t xml:space="preserve">Relevance, credibility, date of publication, methodological transparency and geographical applicability will be criteria for the selection of evidence. The emphasis will be on the presentation of official statistics, verified corporate disclosure and peer-reviewed research. Promotional literature and unverifiable, commercial claims and market estimates that </w:t>
      </w:r>
      <w:r w:rsidR="00B27454">
        <w:t>do</w:t>
      </w:r>
      <w:r>
        <w:t xml:space="preserve"> not support the text will be avoided (unless for </w:t>
      </w:r>
      <w:r w:rsidR="00B27454">
        <w:t xml:space="preserve">the </w:t>
      </w:r>
      <w:r>
        <w:t>ability to make a valid comparison with the text).</w:t>
      </w:r>
    </w:p>
    <w:p w14:paraId="29D5106B" w14:textId="60C33942" w:rsidR="00FD21C9" w:rsidRDefault="00FD21C9" w:rsidP="00FD21C9">
      <w:r>
        <w:t>PESTLE, SWOT, competitor an</w:t>
      </w:r>
      <w:r w:rsidR="00B27454">
        <w:t>alysis,</w:t>
      </w:r>
      <w:r>
        <w:t xml:space="preserve"> Porter's Five Forces and </w:t>
      </w:r>
      <w:r w:rsidR="00B27454">
        <w:t xml:space="preserve">the </w:t>
      </w:r>
      <w:r>
        <w:t xml:space="preserve">Ansoff Matrix are the tools that would be used to </w:t>
      </w:r>
      <w:r w:rsidR="00576948">
        <w:t>analyse</w:t>
      </w:r>
      <w:r>
        <w:t xml:space="preserve"> the collected evidence. These frameworks will analyse external market factors, organisational resources, pressures and opportunities for strategic growth.</w:t>
      </w:r>
    </w:p>
    <w:p w14:paraId="467903CA" w14:textId="41097966" w:rsidR="0060081B" w:rsidRPr="0060081B" w:rsidRDefault="00FD21C9" w:rsidP="00FD21C9">
      <w:r>
        <w:t>Qualitative data will be analysed using thematic analysis</w:t>
      </w:r>
      <w:r w:rsidR="00B27454">
        <w:t>,</w:t>
      </w:r>
      <w:r>
        <w:t xml:space="preserve"> and common opportunities, barriers</w:t>
      </w:r>
      <w:r w:rsidR="00B27454">
        <w:t>,</w:t>
      </w:r>
      <w:r>
        <w:t xml:space="preserve"> and implementation needs will be outlined. Braun and Clarke (2006) provide a flexible approach </w:t>
      </w:r>
      <w:r w:rsidR="00B27454">
        <w:t>to</w:t>
      </w:r>
      <w:r>
        <w:t xml:space="preserve"> thematic analysis </w:t>
      </w:r>
      <w:r w:rsidR="00B27454">
        <w:t>for</w:t>
      </w:r>
      <w:r>
        <w:t xml:space="preserve"> finding patterns within qualitative evidence. Comparable quantitative data will be used to aid the comparisons for the market, cost assumptions, and projected financial performance.</w:t>
      </w:r>
    </w:p>
    <w:p w14:paraId="6078D9BB" w14:textId="0678E13E" w:rsidR="0060081B" w:rsidRDefault="0060081B" w:rsidP="0060081B">
      <w:pPr>
        <w:pStyle w:val="Heading2"/>
      </w:pPr>
      <w:bookmarkStart w:id="8" w:name="_Toc242375168"/>
      <w:r>
        <w:t>2.4 Financial Evaluation</w:t>
      </w:r>
      <w:bookmarkEnd w:id="8"/>
    </w:p>
    <w:p w14:paraId="42F53687" w14:textId="238323CF" w:rsidR="0060081B" w:rsidRPr="0060081B" w:rsidRDefault="00EC4BF9" w:rsidP="0060081B">
      <w:r>
        <w:t>This study</w:t>
      </w:r>
      <w:r w:rsidR="001E1E65">
        <w:t xml:space="preserve"> will conduct a 12-month cash flow statement to analyse investment expenditure and installation costs, operational expenses and possible income flows</w:t>
      </w:r>
      <w:r w:rsidR="00B27454">
        <w:t>,</w:t>
      </w:r>
      <w:r w:rsidR="001E1E65">
        <w:t xml:space="preserve"> and a statement will be generated to address financial feasibility. The commercial viability will be assessed using scenario analysis based on assumptions of the change in equipment and sales performance in relation to the fluctuation of customer demand. Assumptions will be made explicit when not provided by a specific company, with credible, market-based assumptions to support.</w:t>
      </w:r>
    </w:p>
    <w:p w14:paraId="6F57B4DC" w14:textId="3E83A63A" w:rsidR="0060081B" w:rsidRDefault="0060081B" w:rsidP="0060081B">
      <w:pPr>
        <w:pStyle w:val="Heading2"/>
      </w:pPr>
      <w:bookmarkStart w:id="9" w:name="_Toc242375169"/>
      <w:r>
        <w:t>2.5 Research Ethics, Reliability and Limitations</w:t>
      </w:r>
      <w:bookmarkEnd w:id="9"/>
    </w:p>
    <w:p w14:paraId="332EBB0A" w14:textId="6C8C6B4F" w:rsidR="0060081B" w:rsidRDefault="00D443BA" w:rsidP="00D443BA">
      <w:r>
        <w:t>The research will adhere to academic integrity principles by accurately using the Harvard style for referencing, providing transparent interpretation and analysis of data, and ensuring appropriate acknowledge</w:t>
      </w:r>
      <w:r w:rsidR="00B27454">
        <w:t>ment</w:t>
      </w:r>
      <w:r>
        <w:t xml:space="preserve"> of sources. </w:t>
      </w:r>
      <w:r w:rsidR="001E1E65">
        <w:t>Wherever</w:t>
      </w:r>
      <w:r>
        <w:t xml:space="preserve"> possible findings will be cross checked among independent publications. One of the drawbacks is that it relies on data from others and is therefore not comprehensive enough to provide a true picture of the internal financial situation, priorities or needs of Ecotricity. Accordingly, recommendations will be for proposed decisions based on evidence, not evidence-based decisions.</w:t>
      </w:r>
    </w:p>
    <w:p w14:paraId="25F44777" w14:textId="77777777" w:rsidR="00D443BA" w:rsidRDefault="00D443BA" w:rsidP="0060081B"/>
    <w:p w14:paraId="21491782" w14:textId="76FB8370" w:rsidR="00AA6341" w:rsidRDefault="00AA6341">
      <w:pPr>
        <w:spacing w:before="0" w:after="160" w:line="259" w:lineRule="auto"/>
        <w:jc w:val="left"/>
      </w:pPr>
      <w:r>
        <w:br w:type="page"/>
      </w:r>
    </w:p>
    <w:p w14:paraId="29EE557A" w14:textId="7FF4C228" w:rsidR="00D443BA" w:rsidRDefault="00AA6341" w:rsidP="00AA6341">
      <w:pPr>
        <w:pStyle w:val="Heading1"/>
      </w:pPr>
      <w:bookmarkStart w:id="10" w:name="_Toc242375170"/>
      <w:r>
        <w:t>Chapter 03: Market Research and Validation</w:t>
      </w:r>
      <w:bookmarkEnd w:id="10"/>
    </w:p>
    <w:p w14:paraId="4BC6A581" w14:textId="34D726F2" w:rsidR="00AA6341" w:rsidRDefault="00AA6341" w:rsidP="00AA6341">
      <w:pPr>
        <w:pStyle w:val="Heading2"/>
      </w:pPr>
      <w:bookmarkStart w:id="11" w:name="_Toc242375171"/>
      <w:r>
        <w:t>3.1 UK Renewable Energy Market Size and Growth</w:t>
      </w:r>
      <w:bookmarkEnd w:id="11"/>
    </w:p>
    <w:p w14:paraId="50DBCA59" w14:textId="77777777" w:rsidR="00DB11D7" w:rsidRDefault="00DB11D7" w:rsidP="00DB11D7">
      <w:pPr>
        <w:jc w:val="center"/>
      </w:pPr>
      <w:r>
        <w:rPr>
          <w:noProof/>
        </w:rPr>
        <w:drawing>
          <wp:inline distT="0" distB="0" distL="0" distR="0" wp14:anchorId="4FC8F85E" wp14:editId="6BED1459">
            <wp:extent cx="5305425" cy="3533775"/>
            <wp:effectExtent l="0" t="0" r="9525" b="9525"/>
            <wp:docPr id="1829221079" name="Chart 1">
              <a:extLst xmlns:a="http://schemas.openxmlformats.org/drawingml/2006/main">
                <a:ext uri="{FF2B5EF4-FFF2-40B4-BE49-F238E27FC236}">
                  <a16:creationId xmlns:a16="http://schemas.microsoft.com/office/drawing/2014/main" id="{89866187-867C-3975-F9C4-0A1723A63B1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15B9124" w14:textId="39A0721E" w:rsidR="00DB11D7" w:rsidRPr="00DB11D7" w:rsidRDefault="00DB11D7" w:rsidP="00DB11D7">
      <w:pPr>
        <w:pStyle w:val="Caption"/>
        <w:jc w:val="center"/>
      </w:pPr>
      <w:r>
        <w:t xml:space="preserve">Figure </w:t>
      </w:r>
      <w:r>
        <w:fldChar w:fldCharType="begin"/>
      </w:r>
      <w:r>
        <w:instrText xml:space="preserve"> SEQ Figure \* ARABIC </w:instrText>
      </w:r>
      <w:r>
        <w:fldChar w:fldCharType="separate"/>
      </w:r>
      <w:r w:rsidR="00A54155">
        <w:rPr>
          <w:noProof/>
        </w:rPr>
        <w:t>1</w:t>
      </w:r>
      <w:r>
        <w:fldChar w:fldCharType="end"/>
      </w:r>
      <w:r>
        <w:t xml:space="preserve">: </w:t>
      </w:r>
      <w:r w:rsidRPr="00C92EFB">
        <w:t>Low-Carbon Share (%) of GB Electricity Generation, 2022–2025</w:t>
      </w:r>
      <w:r>
        <w:t xml:space="preserve"> (Source</w:t>
      </w:r>
      <w:r w:rsidR="00B27454">
        <w:t>:</w:t>
      </w:r>
      <w:r>
        <w:t xml:space="preserve"> </w:t>
      </w:r>
      <w:r w:rsidRPr="000631E1">
        <w:t>DESNZ (2026)</w:t>
      </w:r>
    </w:p>
    <w:p w14:paraId="45302AEE" w14:textId="29A853B8" w:rsidR="00AA6341" w:rsidRDefault="00AA6341" w:rsidP="00AA6341">
      <w:r>
        <w:t>The UK renewable energy sector now has a significant level of development, largely in line with decarbonisation goals, technology advancements and a move towards lower carbon electricity generation. Throughout 2025, low-carbon generation made up 73.3% of Great Britain's electricity generation, which is an increase from 62.7% in 2022, according to DESNZ (2026). These figures do include nuclear generation; please do not assume these to be renewable electricity shares. However, they do reflect the structural change of the electricity system.</w:t>
      </w:r>
    </w:p>
    <w:p w14:paraId="5617ABE2" w14:textId="77777777" w:rsidR="00DB11D7" w:rsidRDefault="00DB11D7" w:rsidP="00DB11D7">
      <w:pPr>
        <w:jc w:val="center"/>
      </w:pPr>
      <w:r>
        <w:rPr>
          <w:noProof/>
        </w:rPr>
        <w:drawing>
          <wp:inline distT="0" distB="0" distL="0" distR="0" wp14:anchorId="13807232" wp14:editId="41A9B03F">
            <wp:extent cx="5667375" cy="3333750"/>
            <wp:effectExtent l="0" t="0" r="9525" b="0"/>
            <wp:docPr id="1578719190" name="Chart 1">
              <a:extLst xmlns:a="http://schemas.openxmlformats.org/drawingml/2006/main">
                <a:ext uri="{FF2B5EF4-FFF2-40B4-BE49-F238E27FC236}">
                  <a16:creationId xmlns:a16="http://schemas.microsoft.com/office/drawing/2014/main" id="{89866187-867C-3975-F9C4-0A1723A63B1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372CC62" w14:textId="52DA08BF" w:rsidR="00DB11D7" w:rsidRDefault="00DB11D7" w:rsidP="00467447">
      <w:pPr>
        <w:pStyle w:val="Caption"/>
        <w:jc w:val="center"/>
      </w:pPr>
      <w:r>
        <w:t xml:space="preserve">Figure </w:t>
      </w:r>
      <w:r>
        <w:fldChar w:fldCharType="begin"/>
      </w:r>
      <w:r>
        <w:instrText xml:space="preserve"> SEQ Figure \* ARABIC </w:instrText>
      </w:r>
      <w:r>
        <w:fldChar w:fldCharType="separate"/>
      </w:r>
      <w:r w:rsidR="00A54155">
        <w:rPr>
          <w:noProof/>
        </w:rPr>
        <w:t>2</w:t>
      </w:r>
      <w:r>
        <w:fldChar w:fldCharType="end"/>
      </w:r>
      <w:r>
        <w:t xml:space="preserve">: </w:t>
      </w:r>
      <w:r w:rsidRPr="00094FAD">
        <w:t>Government Solar Capacity Ambition</w:t>
      </w:r>
      <w:r>
        <w:t xml:space="preserve"> (Source</w:t>
      </w:r>
      <w:r w:rsidR="00B27454">
        <w:t xml:space="preserve">: </w:t>
      </w:r>
      <w:r w:rsidRPr="00AF71C4">
        <w:t>DESNZ (2024</w:t>
      </w:r>
      <w:r>
        <w:t>)</w:t>
      </w:r>
    </w:p>
    <w:p w14:paraId="3AA9B786" w14:textId="63EBD25D" w:rsidR="00AA6341" w:rsidRPr="00AA6341" w:rsidRDefault="00AA6341" w:rsidP="00AA6341">
      <w:r>
        <w:t>The UK Government's Clean Power 2030 Action Plan backs solar power to achieve its 45-47 GW installed capacity target for 2030, alongside battery storage reaching a capacity range of 23-27 GW (DESNZ, 2024). Commercial rooftops are another significant deployment opportunity as identified in the Solar Roadmap, adding to the potential relevance of integrated energy services (DESNZ, 2025).</w:t>
      </w:r>
    </w:p>
    <w:p w14:paraId="386DC812" w14:textId="65C32281" w:rsidR="00AA6341" w:rsidRDefault="00AA6341" w:rsidP="00AA6341">
      <w:pPr>
        <w:pStyle w:val="Heading2"/>
      </w:pPr>
      <w:bookmarkStart w:id="12" w:name="_Toc242375172"/>
      <w:r>
        <w:t>3.2 Target Market Size and Customer Segmentation</w:t>
      </w:r>
      <w:bookmarkEnd w:id="12"/>
    </w:p>
    <w:p w14:paraId="01C7B28A" w14:textId="1DB085B2" w:rsidR="003B03B4" w:rsidRDefault="003B03B4" w:rsidP="003B03B4">
      <w:r>
        <w:t xml:space="preserve">The United Kingdom is home to a large number of small businesses, which could be a significant market opportunity for SMEs. In 2025, DBT estimated that there were around 5.68 million SMEs, representing almost 99.9% of all private-sector businesses. These businesses employed around 16.9 million people and created PS 2.83 trillion </w:t>
      </w:r>
      <w:r w:rsidR="00B27454">
        <w:t>in</w:t>
      </w:r>
      <w:r>
        <w:t xml:space="preserve"> turnover. The total SME population does not represent the actual market as many of them don't have the right premises, electricity demand, financial savings to install solar panels.</w:t>
      </w:r>
    </w:p>
    <w:p w14:paraId="6511A80C" w14:textId="1A8D0333" w:rsidR="00F22D48" w:rsidRDefault="00F22D48" w:rsidP="003B03B4">
      <w:r w:rsidRPr="00F22D48">
        <w:rPr>
          <w:noProof/>
        </w:rPr>
        <w:drawing>
          <wp:inline distT="0" distB="0" distL="0" distR="0" wp14:anchorId="2EC069E9" wp14:editId="6F8BAF4A">
            <wp:extent cx="5943600" cy="3161665"/>
            <wp:effectExtent l="0" t="0" r="0" b="635"/>
            <wp:docPr id="17095434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543494" name=""/>
                    <pic:cNvPicPr/>
                  </pic:nvPicPr>
                  <pic:blipFill>
                    <a:blip r:embed="rId17"/>
                    <a:stretch>
                      <a:fillRect/>
                    </a:stretch>
                  </pic:blipFill>
                  <pic:spPr>
                    <a:xfrm>
                      <a:off x="0" y="0"/>
                      <a:ext cx="5943600" cy="3161665"/>
                    </a:xfrm>
                    <a:prstGeom prst="rect">
                      <a:avLst/>
                    </a:prstGeom>
                  </pic:spPr>
                </pic:pic>
              </a:graphicData>
            </a:graphic>
          </wp:inline>
        </w:drawing>
      </w:r>
    </w:p>
    <w:p w14:paraId="4B566888" w14:textId="7A9E8A00" w:rsidR="00F22D48" w:rsidRDefault="00F22D48" w:rsidP="00F22D48">
      <w:pPr>
        <w:pStyle w:val="Caption"/>
        <w:jc w:val="center"/>
      </w:pPr>
      <w:r>
        <w:t xml:space="preserve">Figure </w:t>
      </w:r>
      <w:r>
        <w:fldChar w:fldCharType="begin"/>
      </w:r>
      <w:r>
        <w:instrText xml:space="preserve"> SEQ Figure \* ARABIC </w:instrText>
      </w:r>
      <w:r>
        <w:fldChar w:fldCharType="separate"/>
      </w:r>
      <w:r w:rsidR="00A54155">
        <w:rPr>
          <w:noProof/>
        </w:rPr>
        <w:t>3</w:t>
      </w:r>
      <w:r>
        <w:fldChar w:fldCharType="end"/>
      </w:r>
      <w:r>
        <w:t xml:space="preserve">: </w:t>
      </w:r>
      <w:r w:rsidRPr="008D7168">
        <w:t>UK SME Population by Business Size, 2025</w:t>
      </w:r>
      <w:r>
        <w:t xml:space="preserve"> (Source</w:t>
      </w:r>
      <w:r w:rsidR="00B27454">
        <w:t>:</w:t>
      </w:r>
      <w:r>
        <w:t xml:space="preserve"> </w:t>
      </w:r>
      <w:r w:rsidRPr="008D7168">
        <w:t>DBT (2025)</w:t>
      </w:r>
    </w:p>
    <w:p w14:paraId="0B18CB2A" w14:textId="2D020868" w:rsidR="00AA6341" w:rsidRPr="00AA6341" w:rsidRDefault="003B03B4" w:rsidP="003B03B4">
      <w:r>
        <w:t>The proposed expansion would focus on SMEs from commercial premises with significant electricity consumption during the day</w:t>
      </w:r>
      <w:r w:rsidR="00B27454">
        <w:t>,</w:t>
      </w:r>
      <w:r>
        <w:t xml:space="preserve"> such as manufacturing units, warehouses, food premises and retail outlets. These segments may be attractive due to their operational activities, which may enable an increased direct use of the electricity produced by solar energy. Roof ownership, building suitability, electricity consumption and investment capacity are factors that should be taken into account in customer qualification.</w:t>
      </w:r>
    </w:p>
    <w:p w14:paraId="62C3E028" w14:textId="01ADEAC9" w:rsidR="00AA6341" w:rsidRDefault="00AA6341" w:rsidP="00AA6341">
      <w:pPr>
        <w:pStyle w:val="Heading2"/>
      </w:pPr>
      <w:bookmarkStart w:id="13" w:name="_Toc242375173"/>
      <w:r>
        <w:t>3.3 Customer Needs, Behaviour and Demand Validation</w:t>
      </w:r>
      <w:bookmarkEnd w:id="13"/>
    </w:p>
    <w:p w14:paraId="092E3252" w14:textId="77777777" w:rsidR="00AC58EA" w:rsidRDefault="00AC58EA" w:rsidP="00AC58EA">
      <w:r>
        <w:t>The attractiveness of energy and the management of operating costs are determining factors when purchasing happens. The Office of Gas and Electricity Markets (Ofgem) (2026) found 70% of the businesses surveyed were able to pay for energy, but 27% suffered challenges doing so. Additionally, 29% had changed their energy supplier in the year prior to this survey, reflecting the commercial appetite for reevaluating energy agreements.</w:t>
      </w:r>
    </w:p>
    <w:p w14:paraId="48422054" w14:textId="016C73BF" w:rsidR="00A54155" w:rsidRDefault="00A54155" w:rsidP="00AC58EA">
      <w:r>
        <w:rPr>
          <w:noProof/>
        </w:rPr>
        <w:drawing>
          <wp:inline distT="0" distB="0" distL="0" distR="0" wp14:anchorId="38A12434" wp14:editId="30E1E3A8">
            <wp:extent cx="5943600" cy="3807460"/>
            <wp:effectExtent l="0" t="0" r="0" b="2540"/>
            <wp:docPr id="1614833311" name="Chart 1">
              <a:extLst xmlns:a="http://schemas.openxmlformats.org/drawingml/2006/main">
                <a:ext uri="{FF2B5EF4-FFF2-40B4-BE49-F238E27FC236}">
                  <a16:creationId xmlns:a16="http://schemas.microsoft.com/office/drawing/2014/main" id="{89866187-867C-3975-F9C4-0A1723A63B1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66758FC" w14:textId="4A23EA05" w:rsidR="00A54155" w:rsidRDefault="00A54155" w:rsidP="00A54155">
      <w:pPr>
        <w:pStyle w:val="Caption"/>
        <w:jc w:val="center"/>
      </w:pPr>
      <w:r>
        <w:t xml:space="preserve">Figure </w:t>
      </w:r>
      <w:r>
        <w:fldChar w:fldCharType="begin"/>
      </w:r>
      <w:r>
        <w:instrText xml:space="preserve"> SEQ Figure \* ARABIC </w:instrText>
      </w:r>
      <w:r>
        <w:fldChar w:fldCharType="separate"/>
      </w:r>
      <w:r>
        <w:rPr>
          <w:noProof/>
        </w:rPr>
        <w:t>4</w:t>
      </w:r>
      <w:r>
        <w:fldChar w:fldCharType="end"/>
      </w:r>
      <w:r>
        <w:t xml:space="preserve">: </w:t>
      </w:r>
      <w:r w:rsidRPr="001B4A38">
        <w:t>UK Business Energy Market Survey Findings, 2025</w:t>
      </w:r>
      <w:r>
        <w:t xml:space="preserve"> (Source</w:t>
      </w:r>
      <w:r w:rsidR="00B27454">
        <w:t>:</w:t>
      </w:r>
      <w:r>
        <w:t xml:space="preserve"> </w:t>
      </w:r>
      <w:r w:rsidRPr="001B4A38">
        <w:t>Ofgem (2026)</w:t>
      </w:r>
    </w:p>
    <w:p w14:paraId="23331A83" w14:textId="24CDFAC7" w:rsidR="00AA6341" w:rsidRPr="00AA6341" w:rsidRDefault="00AC58EA" w:rsidP="00AC58EA">
      <w:r>
        <w:t xml:space="preserve">Importantly, Ofgem (2026) discovered that 41% of businesses had 'no barriers' to decarbonisation, down from 27% in 2024. But the individual most frequently reported barrier was cost, with 15% reporting such a barrier. This indicates better preparedness towards sustainability but, by itself, that does not indicate willingness to buy </w:t>
      </w:r>
      <w:r w:rsidR="00B27454">
        <w:t xml:space="preserve">a </w:t>
      </w:r>
      <w:r>
        <w:t>solar system and storage. Ecotricity can do so by customised feasibility assessment, transparent financial projections, flexible financing options, ongoing performance monitoring</w:t>
      </w:r>
      <w:r w:rsidR="00B27454">
        <w:t>,</w:t>
      </w:r>
      <w:r>
        <w:t xml:space="preserve"> etc. However, direct validation would require customer enquiries, some demonstration installations and proof of actual purchase commitments need to be met.</w:t>
      </w:r>
    </w:p>
    <w:p w14:paraId="7FF2B3F6" w14:textId="46388CFB" w:rsidR="00AA6341" w:rsidRDefault="00AA6341" w:rsidP="00AA6341">
      <w:pPr>
        <w:pStyle w:val="Heading2"/>
      </w:pPr>
      <w:bookmarkStart w:id="14" w:name="_Toc242375174"/>
      <w:r>
        <w:t>3.4 Competitor Activity and Market Positioning</w:t>
      </w:r>
      <w:bookmarkEnd w:id="14"/>
    </w:p>
    <w:p w14:paraId="739D3FB4" w14:textId="3A7CA551" w:rsidR="00074D74" w:rsidRDefault="00074D74" w:rsidP="00074D74">
      <w:r>
        <w:t>The UK commercial renewable energy market is home to existing electricity service suppliers as well as solar specialist installations and integrated energy service providers. Ecotricity already provides renewable electricity to SMEs and provide</w:t>
      </w:r>
      <w:r w:rsidR="00B27454">
        <w:t>s</w:t>
      </w:r>
      <w:r>
        <w:t xml:space="preserve"> on-site electricity generation, providing it with the existing commercial foundation (Ecotricity, </w:t>
      </w:r>
      <w:r w:rsidR="00E26A23">
        <w:t>2025c</w:t>
      </w:r>
      <w:r>
        <w:t>). But there are some competitors working on similar integrated solutions, which makes differentiation increasingly important.</w:t>
      </w:r>
    </w:p>
    <w:p w14:paraId="427B8577" w14:textId="78552A49" w:rsidR="00AA6341" w:rsidRPr="00AA6341" w:rsidRDefault="00074D74" w:rsidP="00074D74">
      <w:r>
        <w:t xml:space="preserve">A comparison from Good Energy is particularly </w:t>
      </w:r>
      <w:r w:rsidR="008B73EB">
        <w:t>useful</w:t>
      </w:r>
      <w:r>
        <w:t xml:space="preserve">. In March 2026, the company announced its fifth solar installation business acquisition in about 18 months, which will extend its solar installation capacity and geographical reach (Good Energy, 2026). It also enters into renewable power purchase and renewable electricity supply contracts as part of its existing services, along with the installation of solar power plants. This highlights the installation role, financing by the customer and </w:t>
      </w:r>
      <w:r w:rsidR="008B73EB">
        <w:t>long-term</w:t>
      </w:r>
      <w:r>
        <w:t xml:space="preserve"> association with the customer in the competitive world.  An integrated renewable supply relationship and differentiated packages designed specifically for SMEs and services could be a source of differentiation</w:t>
      </w:r>
      <w:r w:rsidR="00B27454">
        <w:t>,</w:t>
      </w:r>
      <w:r>
        <w:t xml:space="preserve"> as could be its unique positioning on environmental matters. However, the installation quality would still have to be proven, as well as the price and the value measurable for the customer – not the environment – would still be instrumental for competitive advantage.</w:t>
      </w:r>
    </w:p>
    <w:p w14:paraId="1B902E4B" w14:textId="2B629E09" w:rsidR="00AA6341" w:rsidRDefault="00AA6341" w:rsidP="00AA6341">
      <w:pPr>
        <w:pStyle w:val="Heading2"/>
      </w:pPr>
      <w:bookmarkStart w:id="15" w:name="_Toc242375175"/>
      <w:r>
        <w:t>3.5 Pricing Trends and Commercial Feasibility</w:t>
      </w:r>
      <w:bookmarkEnd w:id="15"/>
    </w:p>
    <w:p w14:paraId="5F79766D" w14:textId="18A4C97A" w:rsidR="00397CB3" w:rsidRDefault="00397CB3" w:rsidP="00397CB3">
      <w:r>
        <w:t xml:space="preserve">The cost is an important factor as it is both an initial upfront capital cost for commercial solar and battery installations, as well as an opportunity for subsequent electricity savings. Project costs vary based on the capacity of the installation, building parameters, battery size and complexity of electrical infrastructure and installation. For this </w:t>
      </w:r>
      <w:r w:rsidR="003F7090">
        <w:t>reason,</w:t>
      </w:r>
      <w:r>
        <w:t xml:space="preserve"> a blanket installation charge would not be appropriate to evaluate the proposed services by Ecotricity. Limited availability of finance is a major challenge in commercial rooftop solar development identified by the UK Government's Solar Roadmap, which noted that smaller businesses often lack creditworthiness needed for investment in solar.</w:t>
      </w:r>
    </w:p>
    <w:p w14:paraId="51DDCB99" w14:textId="5D025A84" w:rsidR="00AA6341" w:rsidRPr="00AA6341" w:rsidRDefault="00397CB3" w:rsidP="00397CB3">
      <w:r>
        <w:t>Ecotricity should therefore explore a variety of potential pricing models</w:t>
      </w:r>
      <w:r w:rsidR="00B27454">
        <w:t>,</w:t>
      </w:r>
      <w:r>
        <w:t xml:space="preserve"> with direct equipment acquisition being one of them, as well as instalment financing and third</w:t>
      </w:r>
      <w:r w:rsidR="00B27454">
        <w:t>-</w:t>
      </w:r>
      <w:r>
        <w:t>party funded Power Purchase Agreements. The economic viability of the various alternatives would be dependent on the customers' electricity use, the percentage of electricity consumed, the financing banks and the time to pay off the system. The cost of equipment (quoted) and the tariff data (commercial) would have to be retrieved to make final financial projections.</w:t>
      </w:r>
    </w:p>
    <w:p w14:paraId="63C1D284" w14:textId="237641A0" w:rsidR="00AA6341" w:rsidRDefault="00AA6341" w:rsidP="00AA6341">
      <w:pPr>
        <w:pStyle w:val="Heading2"/>
      </w:pPr>
      <w:bookmarkStart w:id="16" w:name="_Toc242375176"/>
      <w:r>
        <w:t>3.6 Market Entry Barriers and Regulatory Considerations</w:t>
      </w:r>
      <w:bookmarkEnd w:id="16"/>
    </w:p>
    <w:p w14:paraId="50C683BA" w14:textId="3B60D470" w:rsidR="003F7090" w:rsidRDefault="003F7090" w:rsidP="003F7090">
      <w:r>
        <w:t xml:space="preserve">Although the sector is developing favourably, growth would be </w:t>
      </w:r>
      <w:r w:rsidR="00B27454">
        <w:t>constrain</w:t>
      </w:r>
      <w:r>
        <w:t>ed by operational and regulatory limitations. Business installations might need proper planning evaluation, structural appropriateness examinations, electrical safety adherence and distribution network grants. In England, rooftop solar systems that are not domestic can be permitted to have a permitted development right with certain restrictions and conditions (UK Government, 2015).</w:t>
      </w:r>
    </w:p>
    <w:p w14:paraId="0CA52EC0" w14:textId="61F8A05F" w:rsidR="00AA6341" w:rsidRPr="00AA6341" w:rsidRDefault="003F7090" w:rsidP="003F7090">
      <w:r>
        <w:t>Other obstacles are grid connection capacity, access to workforce, battery system safety and access to project finance. This would in turn require certified installation partners, certified electrical engineers, trusted suppliers and relevant contractual agreements. Established installers might also limit market penetration unless the firm has strong financial and operational advantages. The implementation plan that is phased would minimi</w:t>
      </w:r>
      <w:r w:rsidR="00B27454">
        <w:t>s</w:t>
      </w:r>
      <w:r>
        <w:t>e exposure to investments</w:t>
      </w:r>
      <w:r w:rsidR="00B27454">
        <w:t>,</w:t>
      </w:r>
      <w:r>
        <w:t xml:space="preserve"> as the suggested services would be subjected to commercial validation.</w:t>
      </w:r>
    </w:p>
    <w:p w14:paraId="4437F611" w14:textId="07D517D8" w:rsidR="00AA6341" w:rsidRDefault="00AA6341" w:rsidP="00AA6341">
      <w:pPr>
        <w:pStyle w:val="Heading2"/>
      </w:pPr>
      <w:bookmarkStart w:id="17" w:name="_Toc242375177"/>
      <w:r>
        <w:t>3.7 Market Validation and Strategic Opportunity</w:t>
      </w:r>
      <w:bookmarkEnd w:id="17"/>
    </w:p>
    <w:p w14:paraId="70CA5057" w14:textId="5E2B7D9F" w:rsidR="00B136DC" w:rsidRDefault="00B136DC" w:rsidP="00B136DC">
      <w:r>
        <w:t xml:space="preserve">Secondary evidence suggests a viable strategic opportunity for Ecotricity, with ongoing government clean energy targets and a large population of SMEs and business energy affordability concerns. These indicators, however, indicate market potential and not actual, present customer purchase intentions. A practical validation process would include testing the technical feasibility of potential SME sites, requesting supplier quotes, estimating installation economics and acquiring initial customer </w:t>
      </w:r>
      <w:r w:rsidR="003F6DC8">
        <w:t>signoffs</w:t>
      </w:r>
      <w:r>
        <w:t>. Pilot projects should include measurement of customer acquisition costs, installation margins, predicted electricity savings and operational performance and satisfaction.</w:t>
      </w:r>
    </w:p>
    <w:p w14:paraId="44992469" w14:textId="25DB5CD5" w:rsidR="00173DCE" w:rsidRDefault="00B136DC" w:rsidP="00AA6341">
      <w:r>
        <w:t>Successful pilot results could lead to a larger commercial roll-out. On the other hand, if there is insufficient customer demand, or the project is not economically competitive, project service packages may be adjusted prior to major investments. As a whole, the evidence indicates that there is a need to investigate further the feasibility of the integrated solar and battery storage extension planned by Ecotricity, but a more convincing financial viability of the large-scale implementation is not yet shown.</w:t>
      </w:r>
    </w:p>
    <w:p w14:paraId="7A83FA37" w14:textId="34230FBC" w:rsidR="00173DCE" w:rsidRDefault="00173DCE">
      <w:pPr>
        <w:spacing w:before="0" w:after="160" w:line="259" w:lineRule="auto"/>
        <w:jc w:val="left"/>
      </w:pPr>
      <w:r>
        <w:br w:type="page"/>
      </w:r>
    </w:p>
    <w:p w14:paraId="401F6D99" w14:textId="47BA0263" w:rsidR="00173DCE" w:rsidRDefault="00173DCE" w:rsidP="00173DCE">
      <w:pPr>
        <w:pStyle w:val="Heading1"/>
      </w:pPr>
      <w:bookmarkStart w:id="18" w:name="_Toc242375178"/>
      <w:r>
        <w:t>Chapter 04: Risk Management</w:t>
      </w:r>
      <w:bookmarkEnd w:id="18"/>
    </w:p>
    <w:tbl>
      <w:tblPr>
        <w:tblStyle w:val="GridTable5Dark-Accent6"/>
        <w:tblW w:w="0" w:type="auto"/>
        <w:tblLook w:val="04A0" w:firstRow="1" w:lastRow="0" w:firstColumn="1" w:lastColumn="0" w:noHBand="0" w:noVBand="1"/>
      </w:tblPr>
      <w:tblGrid>
        <w:gridCol w:w="2966"/>
        <w:gridCol w:w="1324"/>
        <w:gridCol w:w="1054"/>
        <w:gridCol w:w="4006"/>
      </w:tblGrid>
      <w:tr w:rsidR="004E2B47" w:rsidRPr="004E2B47" w14:paraId="6CDD0222" w14:textId="77777777" w:rsidTr="004E2B47">
        <w:trPr>
          <w:cnfStyle w:val="100000000000" w:firstRow="1" w:lastRow="0" w:firstColumn="0" w:lastColumn="0" w:oddVBand="0" w:evenVBand="0" w:oddHBand="0" w:evenHBand="0" w:firstRowFirstColumn="0" w:firstRowLastColumn="0" w:lastRowFirstColumn="0" w:lastRowLastColumn="0"/>
          <w:trHeight w:val="375"/>
        </w:trPr>
        <w:tc>
          <w:tcPr>
            <w:cnfStyle w:val="001000000000" w:firstRow="0" w:lastRow="0" w:firstColumn="1" w:lastColumn="0" w:oddVBand="0" w:evenVBand="0" w:oddHBand="0" w:evenHBand="0" w:firstRowFirstColumn="0" w:firstRowLastColumn="0" w:lastRowFirstColumn="0" w:lastRowLastColumn="0"/>
            <w:tcW w:w="3340" w:type="dxa"/>
            <w:hideMark/>
          </w:tcPr>
          <w:p w14:paraId="6EC768C3" w14:textId="77777777" w:rsidR="004E2B47" w:rsidRPr="004E2B47" w:rsidRDefault="004E2B47" w:rsidP="004E2B47">
            <w:r w:rsidRPr="004E2B47">
              <w:t>Identified Risk</w:t>
            </w:r>
          </w:p>
        </w:tc>
        <w:tc>
          <w:tcPr>
            <w:tcW w:w="1320" w:type="dxa"/>
            <w:hideMark/>
          </w:tcPr>
          <w:p w14:paraId="730AF50D" w14:textId="77777777" w:rsidR="004E2B47" w:rsidRPr="004E2B47" w:rsidRDefault="004E2B47" w:rsidP="004E2B47">
            <w:pPr>
              <w:cnfStyle w:val="100000000000" w:firstRow="1" w:lastRow="0" w:firstColumn="0" w:lastColumn="0" w:oddVBand="0" w:evenVBand="0" w:oddHBand="0" w:evenHBand="0" w:firstRowFirstColumn="0" w:firstRowLastColumn="0" w:lastRowFirstColumn="0" w:lastRowLastColumn="0"/>
            </w:pPr>
            <w:r w:rsidRPr="004E2B47">
              <w:t>Likelihood</w:t>
            </w:r>
          </w:p>
        </w:tc>
        <w:tc>
          <w:tcPr>
            <w:tcW w:w="1060" w:type="dxa"/>
            <w:hideMark/>
          </w:tcPr>
          <w:p w14:paraId="0667E970" w14:textId="77777777" w:rsidR="004E2B47" w:rsidRPr="004E2B47" w:rsidRDefault="004E2B47" w:rsidP="004E2B47">
            <w:pPr>
              <w:cnfStyle w:val="100000000000" w:firstRow="1" w:lastRow="0" w:firstColumn="0" w:lastColumn="0" w:oddVBand="0" w:evenVBand="0" w:oddHBand="0" w:evenHBand="0" w:firstRowFirstColumn="0" w:firstRowLastColumn="0" w:lastRowFirstColumn="0" w:lastRowLastColumn="0"/>
            </w:pPr>
            <w:r w:rsidRPr="004E2B47">
              <w:t>Impact</w:t>
            </w:r>
          </w:p>
        </w:tc>
        <w:tc>
          <w:tcPr>
            <w:tcW w:w="4600" w:type="dxa"/>
            <w:hideMark/>
          </w:tcPr>
          <w:p w14:paraId="5B732EF3" w14:textId="77777777" w:rsidR="004E2B47" w:rsidRPr="004E2B47" w:rsidRDefault="004E2B47" w:rsidP="004E2B47">
            <w:pPr>
              <w:cnfStyle w:val="100000000000" w:firstRow="1" w:lastRow="0" w:firstColumn="0" w:lastColumn="0" w:oddVBand="0" w:evenVBand="0" w:oddHBand="0" w:evenHBand="0" w:firstRowFirstColumn="0" w:firstRowLastColumn="0" w:lastRowFirstColumn="0" w:lastRowLastColumn="0"/>
            </w:pPr>
            <w:r w:rsidRPr="004E2B47">
              <w:t>Mitigation Strategy</w:t>
            </w:r>
          </w:p>
        </w:tc>
      </w:tr>
      <w:tr w:rsidR="004E2B47" w:rsidRPr="004E2B47" w14:paraId="40523BDC" w14:textId="77777777" w:rsidTr="004E2B47">
        <w:trPr>
          <w:cnfStyle w:val="000000100000" w:firstRow="0" w:lastRow="0" w:firstColumn="0" w:lastColumn="0" w:oddVBand="0" w:evenVBand="0" w:oddHBand="1" w:evenHBand="0" w:firstRowFirstColumn="0" w:firstRowLastColumn="0" w:lastRowFirstColumn="0" w:lastRowLastColumn="0"/>
          <w:trHeight w:val="1125"/>
        </w:trPr>
        <w:tc>
          <w:tcPr>
            <w:cnfStyle w:val="001000000000" w:firstRow="0" w:lastRow="0" w:firstColumn="1" w:lastColumn="0" w:oddVBand="0" w:evenVBand="0" w:oddHBand="0" w:evenHBand="0" w:firstRowFirstColumn="0" w:firstRowLastColumn="0" w:lastRowFirstColumn="0" w:lastRowLastColumn="0"/>
            <w:tcW w:w="3340" w:type="dxa"/>
            <w:hideMark/>
          </w:tcPr>
          <w:p w14:paraId="75A7B4BB" w14:textId="77777777" w:rsidR="004E2B47" w:rsidRPr="004E2B47" w:rsidRDefault="004E2B47" w:rsidP="004E2B47">
            <w:r w:rsidRPr="004E2B47">
              <w:t>High initial investment costs</w:t>
            </w:r>
          </w:p>
        </w:tc>
        <w:tc>
          <w:tcPr>
            <w:tcW w:w="1320" w:type="dxa"/>
            <w:hideMark/>
          </w:tcPr>
          <w:p w14:paraId="3DCD56CE" w14:textId="77777777" w:rsidR="004E2B47" w:rsidRPr="004E2B47" w:rsidRDefault="004E2B47" w:rsidP="004E2B47">
            <w:pPr>
              <w:cnfStyle w:val="000000100000" w:firstRow="0" w:lastRow="0" w:firstColumn="0" w:lastColumn="0" w:oddVBand="0" w:evenVBand="0" w:oddHBand="1" w:evenHBand="0" w:firstRowFirstColumn="0" w:firstRowLastColumn="0" w:lastRowFirstColumn="0" w:lastRowLastColumn="0"/>
            </w:pPr>
            <w:r w:rsidRPr="004E2B47">
              <w:t>High</w:t>
            </w:r>
          </w:p>
        </w:tc>
        <w:tc>
          <w:tcPr>
            <w:tcW w:w="1060" w:type="dxa"/>
            <w:hideMark/>
          </w:tcPr>
          <w:p w14:paraId="0987F3D5" w14:textId="77777777" w:rsidR="004E2B47" w:rsidRPr="004E2B47" w:rsidRDefault="004E2B47" w:rsidP="004E2B47">
            <w:pPr>
              <w:cnfStyle w:val="000000100000" w:firstRow="0" w:lastRow="0" w:firstColumn="0" w:lastColumn="0" w:oddVBand="0" w:evenVBand="0" w:oddHBand="1" w:evenHBand="0" w:firstRowFirstColumn="0" w:firstRowLastColumn="0" w:lastRowFirstColumn="0" w:lastRowLastColumn="0"/>
            </w:pPr>
            <w:r w:rsidRPr="004E2B47">
              <w:t>High</w:t>
            </w:r>
          </w:p>
        </w:tc>
        <w:tc>
          <w:tcPr>
            <w:tcW w:w="4600" w:type="dxa"/>
            <w:hideMark/>
          </w:tcPr>
          <w:p w14:paraId="3FA1E16F" w14:textId="77777777" w:rsidR="004E2B47" w:rsidRPr="004E2B47" w:rsidRDefault="004E2B47" w:rsidP="004E2B47">
            <w:pPr>
              <w:cnfStyle w:val="000000100000" w:firstRow="0" w:lastRow="0" w:firstColumn="0" w:lastColumn="0" w:oddVBand="0" w:evenVBand="0" w:oddHBand="1" w:evenHBand="0" w:firstRowFirstColumn="0" w:firstRowLastColumn="0" w:lastRowFirstColumn="0" w:lastRowLastColumn="0"/>
            </w:pPr>
            <w:r w:rsidRPr="004E2B47">
              <w:t>Implement phased investment and explore external financing or strategic partnerships.</w:t>
            </w:r>
          </w:p>
        </w:tc>
      </w:tr>
      <w:tr w:rsidR="004E2B47" w:rsidRPr="004E2B47" w14:paraId="7E632184" w14:textId="77777777" w:rsidTr="004E2B47">
        <w:trPr>
          <w:trHeight w:val="1125"/>
        </w:trPr>
        <w:tc>
          <w:tcPr>
            <w:cnfStyle w:val="001000000000" w:firstRow="0" w:lastRow="0" w:firstColumn="1" w:lastColumn="0" w:oddVBand="0" w:evenVBand="0" w:oddHBand="0" w:evenHBand="0" w:firstRowFirstColumn="0" w:firstRowLastColumn="0" w:lastRowFirstColumn="0" w:lastRowLastColumn="0"/>
            <w:tcW w:w="3340" w:type="dxa"/>
            <w:hideMark/>
          </w:tcPr>
          <w:p w14:paraId="2DCF4D46" w14:textId="77777777" w:rsidR="004E2B47" w:rsidRPr="004E2B47" w:rsidRDefault="004E2B47" w:rsidP="004E2B47">
            <w:r w:rsidRPr="004E2B47">
              <w:t>Strong market competition</w:t>
            </w:r>
          </w:p>
        </w:tc>
        <w:tc>
          <w:tcPr>
            <w:tcW w:w="1320" w:type="dxa"/>
            <w:hideMark/>
          </w:tcPr>
          <w:p w14:paraId="04D454EB" w14:textId="77777777" w:rsidR="004E2B47" w:rsidRPr="004E2B47" w:rsidRDefault="004E2B47" w:rsidP="004E2B47">
            <w:pPr>
              <w:cnfStyle w:val="000000000000" w:firstRow="0" w:lastRow="0" w:firstColumn="0" w:lastColumn="0" w:oddVBand="0" w:evenVBand="0" w:oddHBand="0" w:evenHBand="0" w:firstRowFirstColumn="0" w:firstRowLastColumn="0" w:lastRowFirstColumn="0" w:lastRowLastColumn="0"/>
            </w:pPr>
            <w:r w:rsidRPr="004E2B47">
              <w:t>High</w:t>
            </w:r>
          </w:p>
        </w:tc>
        <w:tc>
          <w:tcPr>
            <w:tcW w:w="1060" w:type="dxa"/>
            <w:hideMark/>
          </w:tcPr>
          <w:p w14:paraId="60CA70B8" w14:textId="77777777" w:rsidR="004E2B47" w:rsidRPr="004E2B47" w:rsidRDefault="004E2B47" w:rsidP="004E2B47">
            <w:pPr>
              <w:cnfStyle w:val="000000000000" w:firstRow="0" w:lastRow="0" w:firstColumn="0" w:lastColumn="0" w:oddVBand="0" w:evenVBand="0" w:oddHBand="0" w:evenHBand="0" w:firstRowFirstColumn="0" w:firstRowLastColumn="0" w:lastRowFirstColumn="0" w:lastRowLastColumn="0"/>
            </w:pPr>
            <w:r w:rsidRPr="004E2B47">
              <w:t>High</w:t>
            </w:r>
          </w:p>
        </w:tc>
        <w:tc>
          <w:tcPr>
            <w:tcW w:w="4600" w:type="dxa"/>
            <w:hideMark/>
          </w:tcPr>
          <w:p w14:paraId="51532945" w14:textId="77777777" w:rsidR="004E2B47" w:rsidRPr="004E2B47" w:rsidRDefault="004E2B47" w:rsidP="004E2B47">
            <w:pPr>
              <w:cnfStyle w:val="000000000000" w:firstRow="0" w:lastRow="0" w:firstColumn="0" w:lastColumn="0" w:oddVBand="0" w:evenVBand="0" w:oddHBand="0" w:evenHBand="0" w:firstRowFirstColumn="0" w:firstRowLastColumn="0" w:lastRowFirstColumn="0" w:lastRowLastColumn="0"/>
            </w:pPr>
            <w:r w:rsidRPr="004E2B47">
              <w:t>Differentiate through integrated services, competitive packages and customer support.</w:t>
            </w:r>
          </w:p>
        </w:tc>
      </w:tr>
      <w:tr w:rsidR="004E2B47" w:rsidRPr="004E2B47" w14:paraId="48146F7D" w14:textId="77777777" w:rsidTr="004E2B47">
        <w:trPr>
          <w:cnfStyle w:val="000000100000" w:firstRow="0" w:lastRow="0" w:firstColumn="0" w:lastColumn="0" w:oddVBand="0" w:evenVBand="0" w:oddHBand="1" w:evenHBand="0" w:firstRowFirstColumn="0" w:firstRowLastColumn="0" w:lastRowFirstColumn="0" w:lastRowLastColumn="0"/>
          <w:trHeight w:val="750"/>
        </w:trPr>
        <w:tc>
          <w:tcPr>
            <w:cnfStyle w:val="001000000000" w:firstRow="0" w:lastRow="0" w:firstColumn="1" w:lastColumn="0" w:oddVBand="0" w:evenVBand="0" w:oddHBand="0" w:evenHBand="0" w:firstRowFirstColumn="0" w:firstRowLastColumn="0" w:lastRowFirstColumn="0" w:lastRowLastColumn="0"/>
            <w:tcW w:w="3340" w:type="dxa"/>
            <w:hideMark/>
          </w:tcPr>
          <w:p w14:paraId="3C09C2E8" w14:textId="77777777" w:rsidR="004E2B47" w:rsidRPr="004E2B47" w:rsidRDefault="004E2B47" w:rsidP="004E2B47">
            <w:r w:rsidRPr="004E2B47">
              <w:t>Low customer adoption</w:t>
            </w:r>
          </w:p>
        </w:tc>
        <w:tc>
          <w:tcPr>
            <w:tcW w:w="1320" w:type="dxa"/>
            <w:hideMark/>
          </w:tcPr>
          <w:p w14:paraId="5D872528" w14:textId="77777777" w:rsidR="004E2B47" w:rsidRPr="004E2B47" w:rsidRDefault="004E2B47" w:rsidP="004E2B47">
            <w:pPr>
              <w:cnfStyle w:val="000000100000" w:firstRow="0" w:lastRow="0" w:firstColumn="0" w:lastColumn="0" w:oddVBand="0" w:evenVBand="0" w:oddHBand="1" w:evenHBand="0" w:firstRowFirstColumn="0" w:firstRowLastColumn="0" w:lastRowFirstColumn="0" w:lastRowLastColumn="0"/>
            </w:pPr>
            <w:r w:rsidRPr="004E2B47">
              <w:t>Medium</w:t>
            </w:r>
          </w:p>
        </w:tc>
        <w:tc>
          <w:tcPr>
            <w:tcW w:w="1060" w:type="dxa"/>
            <w:hideMark/>
          </w:tcPr>
          <w:p w14:paraId="24A9586F" w14:textId="77777777" w:rsidR="004E2B47" w:rsidRPr="004E2B47" w:rsidRDefault="004E2B47" w:rsidP="004E2B47">
            <w:pPr>
              <w:cnfStyle w:val="000000100000" w:firstRow="0" w:lastRow="0" w:firstColumn="0" w:lastColumn="0" w:oddVBand="0" w:evenVBand="0" w:oddHBand="1" w:evenHBand="0" w:firstRowFirstColumn="0" w:firstRowLastColumn="0" w:lastRowFirstColumn="0" w:lastRowLastColumn="0"/>
            </w:pPr>
            <w:r w:rsidRPr="004E2B47">
              <w:t>High</w:t>
            </w:r>
          </w:p>
        </w:tc>
        <w:tc>
          <w:tcPr>
            <w:tcW w:w="4600" w:type="dxa"/>
            <w:hideMark/>
          </w:tcPr>
          <w:p w14:paraId="0FB25931" w14:textId="77777777" w:rsidR="004E2B47" w:rsidRPr="004E2B47" w:rsidRDefault="004E2B47" w:rsidP="004E2B47">
            <w:pPr>
              <w:cnfStyle w:val="000000100000" w:firstRow="0" w:lastRow="0" w:firstColumn="0" w:lastColumn="0" w:oddVBand="0" w:evenVBand="0" w:oddHBand="1" w:evenHBand="0" w:firstRowFirstColumn="0" w:firstRowLastColumn="0" w:lastRowFirstColumn="0" w:lastRowLastColumn="0"/>
            </w:pPr>
            <w:r w:rsidRPr="004E2B47">
              <w:t>Conduct SME market validation and offer flexible payment options.</w:t>
            </w:r>
          </w:p>
        </w:tc>
      </w:tr>
      <w:tr w:rsidR="004E2B47" w:rsidRPr="004E2B47" w14:paraId="6F4648E4" w14:textId="77777777" w:rsidTr="004E2B47">
        <w:trPr>
          <w:trHeight w:val="1125"/>
        </w:trPr>
        <w:tc>
          <w:tcPr>
            <w:cnfStyle w:val="001000000000" w:firstRow="0" w:lastRow="0" w:firstColumn="1" w:lastColumn="0" w:oddVBand="0" w:evenVBand="0" w:oddHBand="0" w:evenHBand="0" w:firstRowFirstColumn="0" w:firstRowLastColumn="0" w:lastRowFirstColumn="0" w:lastRowLastColumn="0"/>
            <w:tcW w:w="3340" w:type="dxa"/>
            <w:hideMark/>
          </w:tcPr>
          <w:p w14:paraId="5305DB36" w14:textId="77777777" w:rsidR="004E2B47" w:rsidRPr="004E2B47" w:rsidRDefault="004E2B47" w:rsidP="004E2B47">
            <w:r w:rsidRPr="004E2B47">
              <w:t>Regulatory and policy changes</w:t>
            </w:r>
          </w:p>
        </w:tc>
        <w:tc>
          <w:tcPr>
            <w:tcW w:w="1320" w:type="dxa"/>
            <w:hideMark/>
          </w:tcPr>
          <w:p w14:paraId="22B7876D" w14:textId="77777777" w:rsidR="004E2B47" w:rsidRPr="004E2B47" w:rsidRDefault="004E2B47" w:rsidP="004E2B47">
            <w:pPr>
              <w:cnfStyle w:val="000000000000" w:firstRow="0" w:lastRow="0" w:firstColumn="0" w:lastColumn="0" w:oddVBand="0" w:evenVBand="0" w:oddHBand="0" w:evenHBand="0" w:firstRowFirstColumn="0" w:firstRowLastColumn="0" w:lastRowFirstColumn="0" w:lastRowLastColumn="0"/>
            </w:pPr>
            <w:r w:rsidRPr="004E2B47">
              <w:t>Medium</w:t>
            </w:r>
          </w:p>
        </w:tc>
        <w:tc>
          <w:tcPr>
            <w:tcW w:w="1060" w:type="dxa"/>
            <w:hideMark/>
          </w:tcPr>
          <w:p w14:paraId="75D32E25" w14:textId="77777777" w:rsidR="004E2B47" w:rsidRPr="004E2B47" w:rsidRDefault="004E2B47" w:rsidP="004E2B47">
            <w:pPr>
              <w:cnfStyle w:val="000000000000" w:firstRow="0" w:lastRow="0" w:firstColumn="0" w:lastColumn="0" w:oddVBand="0" w:evenVBand="0" w:oddHBand="0" w:evenHBand="0" w:firstRowFirstColumn="0" w:firstRowLastColumn="0" w:lastRowFirstColumn="0" w:lastRowLastColumn="0"/>
            </w:pPr>
            <w:r w:rsidRPr="004E2B47">
              <w:t>High</w:t>
            </w:r>
          </w:p>
        </w:tc>
        <w:tc>
          <w:tcPr>
            <w:tcW w:w="4600" w:type="dxa"/>
            <w:hideMark/>
          </w:tcPr>
          <w:p w14:paraId="419E4192" w14:textId="77777777" w:rsidR="004E2B47" w:rsidRPr="004E2B47" w:rsidRDefault="004E2B47" w:rsidP="004E2B47">
            <w:pPr>
              <w:cnfStyle w:val="000000000000" w:firstRow="0" w:lastRow="0" w:firstColumn="0" w:lastColumn="0" w:oddVBand="0" w:evenVBand="0" w:oddHBand="0" w:evenHBand="0" w:firstRowFirstColumn="0" w:firstRowLastColumn="0" w:lastRowFirstColumn="0" w:lastRowLastColumn="0"/>
            </w:pPr>
            <w:r w:rsidRPr="004E2B47">
              <w:t>Monitor DESNZ and Ofgem requirements and maintain regulatory compliance.</w:t>
            </w:r>
          </w:p>
        </w:tc>
      </w:tr>
      <w:tr w:rsidR="004E2B47" w:rsidRPr="004E2B47" w14:paraId="4AF0312F" w14:textId="77777777" w:rsidTr="004E2B47">
        <w:trPr>
          <w:cnfStyle w:val="000000100000" w:firstRow="0" w:lastRow="0" w:firstColumn="0" w:lastColumn="0" w:oddVBand="0" w:evenVBand="0" w:oddHBand="1" w:evenHBand="0" w:firstRowFirstColumn="0" w:firstRowLastColumn="0" w:lastRowFirstColumn="0" w:lastRowLastColumn="0"/>
          <w:trHeight w:val="1125"/>
        </w:trPr>
        <w:tc>
          <w:tcPr>
            <w:cnfStyle w:val="001000000000" w:firstRow="0" w:lastRow="0" w:firstColumn="1" w:lastColumn="0" w:oddVBand="0" w:evenVBand="0" w:oddHBand="0" w:evenHBand="0" w:firstRowFirstColumn="0" w:firstRowLastColumn="0" w:lastRowFirstColumn="0" w:lastRowLastColumn="0"/>
            <w:tcW w:w="3340" w:type="dxa"/>
            <w:hideMark/>
          </w:tcPr>
          <w:p w14:paraId="76673E46" w14:textId="77777777" w:rsidR="004E2B47" w:rsidRPr="004E2B47" w:rsidRDefault="004E2B47" w:rsidP="004E2B47">
            <w:r w:rsidRPr="004E2B47">
              <w:t>Equipment supply chain disruption</w:t>
            </w:r>
          </w:p>
        </w:tc>
        <w:tc>
          <w:tcPr>
            <w:tcW w:w="1320" w:type="dxa"/>
            <w:hideMark/>
          </w:tcPr>
          <w:p w14:paraId="71CCEF8C" w14:textId="77777777" w:rsidR="004E2B47" w:rsidRPr="004E2B47" w:rsidRDefault="004E2B47" w:rsidP="004E2B47">
            <w:pPr>
              <w:cnfStyle w:val="000000100000" w:firstRow="0" w:lastRow="0" w:firstColumn="0" w:lastColumn="0" w:oddVBand="0" w:evenVBand="0" w:oddHBand="1" w:evenHBand="0" w:firstRowFirstColumn="0" w:firstRowLastColumn="0" w:lastRowFirstColumn="0" w:lastRowLastColumn="0"/>
            </w:pPr>
            <w:r w:rsidRPr="004E2B47">
              <w:t>Medium</w:t>
            </w:r>
          </w:p>
        </w:tc>
        <w:tc>
          <w:tcPr>
            <w:tcW w:w="1060" w:type="dxa"/>
            <w:hideMark/>
          </w:tcPr>
          <w:p w14:paraId="5E0ED242" w14:textId="77777777" w:rsidR="004E2B47" w:rsidRPr="004E2B47" w:rsidRDefault="004E2B47" w:rsidP="004E2B47">
            <w:pPr>
              <w:cnfStyle w:val="000000100000" w:firstRow="0" w:lastRow="0" w:firstColumn="0" w:lastColumn="0" w:oddVBand="0" w:evenVBand="0" w:oddHBand="1" w:evenHBand="0" w:firstRowFirstColumn="0" w:firstRowLastColumn="0" w:lastRowFirstColumn="0" w:lastRowLastColumn="0"/>
            </w:pPr>
            <w:r w:rsidRPr="004E2B47">
              <w:t>Medium</w:t>
            </w:r>
          </w:p>
        </w:tc>
        <w:tc>
          <w:tcPr>
            <w:tcW w:w="4600" w:type="dxa"/>
            <w:hideMark/>
          </w:tcPr>
          <w:p w14:paraId="79A50650" w14:textId="77777777" w:rsidR="004E2B47" w:rsidRPr="004E2B47" w:rsidRDefault="004E2B47" w:rsidP="004E2B47">
            <w:pPr>
              <w:cnfStyle w:val="000000100000" w:firstRow="0" w:lastRow="0" w:firstColumn="0" w:lastColumn="0" w:oddVBand="0" w:evenVBand="0" w:oddHBand="1" w:evenHBand="0" w:firstRowFirstColumn="0" w:firstRowLastColumn="0" w:lastRowFirstColumn="0" w:lastRowLastColumn="0"/>
            </w:pPr>
            <w:r w:rsidRPr="004E2B47">
              <w:t>Establish multiple suppliers and maintain contingency procurement arrangements.</w:t>
            </w:r>
          </w:p>
        </w:tc>
      </w:tr>
      <w:tr w:rsidR="004E2B47" w:rsidRPr="004E2B47" w14:paraId="0B0F1B17" w14:textId="77777777" w:rsidTr="004E2B47">
        <w:trPr>
          <w:trHeight w:val="1125"/>
        </w:trPr>
        <w:tc>
          <w:tcPr>
            <w:cnfStyle w:val="001000000000" w:firstRow="0" w:lastRow="0" w:firstColumn="1" w:lastColumn="0" w:oddVBand="0" w:evenVBand="0" w:oddHBand="0" w:evenHBand="0" w:firstRowFirstColumn="0" w:firstRowLastColumn="0" w:lastRowFirstColumn="0" w:lastRowLastColumn="0"/>
            <w:tcW w:w="3340" w:type="dxa"/>
            <w:hideMark/>
          </w:tcPr>
          <w:p w14:paraId="7B9BB74E" w14:textId="77777777" w:rsidR="004E2B47" w:rsidRPr="004E2B47" w:rsidRDefault="004E2B47" w:rsidP="004E2B47">
            <w:r w:rsidRPr="004E2B47">
              <w:t>Technical installation and system failure</w:t>
            </w:r>
          </w:p>
        </w:tc>
        <w:tc>
          <w:tcPr>
            <w:tcW w:w="1320" w:type="dxa"/>
            <w:hideMark/>
          </w:tcPr>
          <w:p w14:paraId="1FD4265F" w14:textId="77777777" w:rsidR="004E2B47" w:rsidRPr="004E2B47" w:rsidRDefault="004E2B47" w:rsidP="004E2B47">
            <w:pPr>
              <w:cnfStyle w:val="000000000000" w:firstRow="0" w:lastRow="0" w:firstColumn="0" w:lastColumn="0" w:oddVBand="0" w:evenVBand="0" w:oddHBand="0" w:evenHBand="0" w:firstRowFirstColumn="0" w:firstRowLastColumn="0" w:lastRowFirstColumn="0" w:lastRowLastColumn="0"/>
            </w:pPr>
            <w:r w:rsidRPr="004E2B47">
              <w:t>Medium</w:t>
            </w:r>
          </w:p>
        </w:tc>
        <w:tc>
          <w:tcPr>
            <w:tcW w:w="1060" w:type="dxa"/>
            <w:hideMark/>
          </w:tcPr>
          <w:p w14:paraId="28D0C7E1" w14:textId="77777777" w:rsidR="004E2B47" w:rsidRPr="004E2B47" w:rsidRDefault="004E2B47" w:rsidP="004E2B47">
            <w:pPr>
              <w:cnfStyle w:val="000000000000" w:firstRow="0" w:lastRow="0" w:firstColumn="0" w:lastColumn="0" w:oddVBand="0" w:evenVBand="0" w:oddHBand="0" w:evenHBand="0" w:firstRowFirstColumn="0" w:firstRowLastColumn="0" w:lastRowFirstColumn="0" w:lastRowLastColumn="0"/>
            </w:pPr>
            <w:r w:rsidRPr="004E2B47">
              <w:t>High</w:t>
            </w:r>
          </w:p>
        </w:tc>
        <w:tc>
          <w:tcPr>
            <w:tcW w:w="4600" w:type="dxa"/>
            <w:hideMark/>
          </w:tcPr>
          <w:p w14:paraId="6C90D382" w14:textId="77777777" w:rsidR="004E2B47" w:rsidRPr="004E2B47" w:rsidRDefault="004E2B47" w:rsidP="004E2B47">
            <w:pPr>
              <w:cnfStyle w:val="000000000000" w:firstRow="0" w:lastRow="0" w:firstColumn="0" w:lastColumn="0" w:oddVBand="0" w:evenVBand="0" w:oddHBand="0" w:evenHBand="0" w:firstRowFirstColumn="0" w:firstRowLastColumn="0" w:lastRowFirstColumn="0" w:lastRowLastColumn="0"/>
            </w:pPr>
            <w:r w:rsidRPr="004E2B47">
              <w:t>Employ qualified contractors, conduct inspections and provide maintenance support.</w:t>
            </w:r>
          </w:p>
        </w:tc>
      </w:tr>
      <w:tr w:rsidR="004E2B47" w:rsidRPr="004E2B47" w14:paraId="5BE6D761" w14:textId="77777777" w:rsidTr="004E2B47">
        <w:trPr>
          <w:cnfStyle w:val="000000100000" w:firstRow="0" w:lastRow="0" w:firstColumn="0" w:lastColumn="0" w:oddVBand="0" w:evenVBand="0" w:oddHBand="1" w:evenHBand="0" w:firstRowFirstColumn="0" w:firstRowLastColumn="0" w:lastRowFirstColumn="0" w:lastRowLastColumn="0"/>
          <w:trHeight w:val="1125"/>
        </w:trPr>
        <w:tc>
          <w:tcPr>
            <w:cnfStyle w:val="001000000000" w:firstRow="0" w:lastRow="0" w:firstColumn="1" w:lastColumn="0" w:oddVBand="0" w:evenVBand="0" w:oddHBand="0" w:evenHBand="0" w:firstRowFirstColumn="0" w:firstRowLastColumn="0" w:lastRowFirstColumn="0" w:lastRowLastColumn="0"/>
            <w:tcW w:w="3340" w:type="dxa"/>
            <w:hideMark/>
          </w:tcPr>
          <w:p w14:paraId="5D8EF461" w14:textId="77777777" w:rsidR="004E2B47" w:rsidRPr="004E2B47" w:rsidRDefault="004E2B47" w:rsidP="004E2B47">
            <w:r w:rsidRPr="004E2B47">
              <w:t>Financial and cash flow uncertainty</w:t>
            </w:r>
          </w:p>
        </w:tc>
        <w:tc>
          <w:tcPr>
            <w:tcW w:w="1320" w:type="dxa"/>
            <w:hideMark/>
          </w:tcPr>
          <w:p w14:paraId="504221D3" w14:textId="77777777" w:rsidR="004E2B47" w:rsidRPr="004E2B47" w:rsidRDefault="004E2B47" w:rsidP="004E2B47">
            <w:pPr>
              <w:cnfStyle w:val="000000100000" w:firstRow="0" w:lastRow="0" w:firstColumn="0" w:lastColumn="0" w:oddVBand="0" w:evenVBand="0" w:oddHBand="1" w:evenHBand="0" w:firstRowFirstColumn="0" w:firstRowLastColumn="0" w:lastRowFirstColumn="0" w:lastRowLastColumn="0"/>
            </w:pPr>
            <w:r w:rsidRPr="004E2B47">
              <w:t>High</w:t>
            </w:r>
          </w:p>
        </w:tc>
        <w:tc>
          <w:tcPr>
            <w:tcW w:w="1060" w:type="dxa"/>
            <w:hideMark/>
          </w:tcPr>
          <w:p w14:paraId="14188DC5" w14:textId="77777777" w:rsidR="004E2B47" w:rsidRPr="004E2B47" w:rsidRDefault="004E2B47" w:rsidP="004E2B47">
            <w:pPr>
              <w:cnfStyle w:val="000000100000" w:firstRow="0" w:lastRow="0" w:firstColumn="0" w:lastColumn="0" w:oddVBand="0" w:evenVBand="0" w:oddHBand="1" w:evenHBand="0" w:firstRowFirstColumn="0" w:firstRowLastColumn="0" w:lastRowFirstColumn="0" w:lastRowLastColumn="0"/>
            </w:pPr>
            <w:r w:rsidRPr="004E2B47">
              <w:t>High</w:t>
            </w:r>
          </w:p>
        </w:tc>
        <w:tc>
          <w:tcPr>
            <w:tcW w:w="4600" w:type="dxa"/>
            <w:hideMark/>
          </w:tcPr>
          <w:p w14:paraId="0D038A8C" w14:textId="77777777" w:rsidR="004E2B47" w:rsidRPr="004E2B47" w:rsidRDefault="004E2B47" w:rsidP="004E2B47">
            <w:pPr>
              <w:cnfStyle w:val="000000100000" w:firstRow="0" w:lastRow="0" w:firstColumn="0" w:lastColumn="0" w:oddVBand="0" w:evenVBand="0" w:oddHBand="1" w:evenHBand="0" w:firstRowFirstColumn="0" w:firstRowLastColumn="0" w:lastRowFirstColumn="0" w:lastRowLastColumn="0"/>
            </w:pPr>
            <w:r w:rsidRPr="004E2B47">
              <w:t>Prepare 12-month cash flow projections, sensitivity analyses and contingency budgets.</w:t>
            </w:r>
          </w:p>
        </w:tc>
      </w:tr>
      <w:tr w:rsidR="004E2B47" w:rsidRPr="004E2B47" w14:paraId="790AA4D4" w14:textId="77777777" w:rsidTr="004E2B47">
        <w:trPr>
          <w:trHeight w:val="750"/>
        </w:trPr>
        <w:tc>
          <w:tcPr>
            <w:cnfStyle w:val="001000000000" w:firstRow="0" w:lastRow="0" w:firstColumn="1" w:lastColumn="0" w:oddVBand="0" w:evenVBand="0" w:oddHBand="0" w:evenHBand="0" w:firstRowFirstColumn="0" w:firstRowLastColumn="0" w:lastRowFirstColumn="0" w:lastRowLastColumn="0"/>
            <w:tcW w:w="3340" w:type="dxa"/>
            <w:hideMark/>
          </w:tcPr>
          <w:p w14:paraId="41E178C2" w14:textId="77777777" w:rsidR="004E2B47" w:rsidRPr="004E2B47" w:rsidRDefault="004E2B47" w:rsidP="004E2B47">
            <w:r w:rsidRPr="004E2B47">
              <w:t>Shortage of skilled technicians</w:t>
            </w:r>
          </w:p>
        </w:tc>
        <w:tc>
          <w:tcPr>
            <w:tcW w:w="1320" w:type="dxa"/>
            <w:hideMark/>
          </w:tcPr>
          <w:p w14:paraId="01E28020" w14:textId="77777777" w:rsidR="004E2B47" w:rsidRPr="004E2B47" w:rsidRDefault="004E2B47" w:rsidP="004E2B47">
            <w:pPr>
              <w:cnfStyle w:val="000000000000" w:firstRow="0" w:lastRow="0" w:firstColumn="0" w:lastColumn="0" w:oddVBand="0" w:evenVBand="0" w:oddHBand="0" w:evenHBand="0" w:firstRowFirstColumn="0" w:firstRowLastColumn="0" w:lastRowFirstColumn="0" w:lastRowLastColumn="0"/>
            </w:pPr>
            <w:r w:rsidRPr="004E2B47">
              <w:t>Medium</w:t>
            </w:r>
          </w:p>
        </w:tc>
        <w:tc>
          <w:tcPr>
            <w:tcW w:w="1060" w:type="dxa"/>
            <w:hideMark/>
          </w:tcPr>
          <w:p w14:paraId="6959F056" w14:textId="77777777" w:rsidR="004E2B47" w:rsidRPr="004E2B47" w:rsidRDefault="004E2B47" w:rsidP="004E2B47">
            <w:pPr>
              <w:cnfStyle w:val="000000000000" w:firstRow="0" w:lastRow="0" w:firstColumn="0" w:lastColumn="0" w:oddVBand="0" w:evenVBand="0" w:oddHBand="0" w:evenHBand="0" w:firstRowFirstColumn="0" w:firstRowLastColumn="0" w:lastRowFirstColumn="0" w:lastRowLastColumn="0"/>
            </w:pPr>
            <w:r w:rsidRPr="004E2B47">
              <w:t>Medium</w:t>
            </w:r>
          </w:p>
        </w:tc>
        <w:tc>
          <w:tcPr>
            <w:tcW w:w="4600" w:type="dxa"/>
            <w:hideMark/>
          </w:tcPr>
          <w:p w14:paraId="3A661399" w14:textId="77777777" w:rsidR="004E2B47" w:rsidRPr="004E2B47" w:rsidRDefault="004E2B47" w:rsidP="004E2B47">
            <w:pPr>
              <w:cnfStyle w:val="000000000000" w:firstRow="0" w:lastRow="0" w:firstColumn="0" w:lastColumn="0" w:oddVBand="0" w:evenVBand="0" w:oddHBand="0" w:evenHBand="0" w:firstRowFirstColumn="0" w:firstRowLastColumn="0" w:lastRowFirstColumn="0" w:lastRowLastColumn="0"/>
            </w:pPr>
            <w:r w:rsidRPr="004E2B47">
              <w:t>Develop recruitment, training and accredited contractor partnerships.</w:t>
            </w:r>
          </w:p>
        </w:tc>
      </w:tr>
    </w:tbl>
    <w:p w14:paraId="5282E428" w14:textId="56DDC616" w:rsidR="00EB2DC9" w:rsidRPr="00EB2DC9" w:rsidRDefault="00EB2DC9" w:rsidP="00EB2DC9">
      <w:pPr>
        <w:pStyle w:val="Caption"/>
        <w:jc w:val="center"/>
      </w:pPr>
      <w:r>
        <w:t xml:space="preserve">Table </w:t>
      </w:r>
      <w:r>
        <w:fldChar w:fldCharType="begin"/>
      </w:r>
      <w:r>
        <w:instrText xml:space="preserve"> SEQ Table \* ARABIC </w:instrText>
      </w:r>
      <w:r>
        <w:fldChar w:fldCharType="separate"/>
      </w:r>
      <w:r w:rsidR="00B47990">
        <w:rPr>
          <w:noProof/>
        </w:rPr>
        <w:t>1</w:t>
      </w:r>
      <w:r>
        <w:fldChar w:fldCharType="end"/>
      </w:r>
      <w:r>
        <w:t>: Risk Management (Source</w:t>
      </w:r>
      <w:r w:rsidR="00B27454">
        <w:t>:</w:t>
      </w:r>
      <w:r>
        <w:t xml:space="preserve"> Author)</w:t>
      </w:r>
    </w:p>
    <w:p w14:paraId="122B22BA" w14:textId="77777777" w:rsidR="00173DCE" w:rsidRDefault="00173DCE" w:rsidP="00173DCE"/>
    <w:p w14:paraId="6B3F7FA6" w14:textId="77777777" w:rsidR="00173DCE" w:rsidRDefault="00173DCE" w:rsidP="00173DCE"/>
    <w:p w14:paraId="6B1A027E" w14:textId="5FDE89B1" w:rsidR="00173DCE" w:rsidRDefault="00173DCE">
      <w:pPr>
        <w:spacing w:before="0" w:after="160" w:line="259" w:lineRule="auto"/>
        <w:jc w:val="left"/>
      </w:pPr>
      <w:r>
        <w:br w:type="page"/>
      </w:r>
    </w:p>
    <w:p w14:paraId="7755371F" w14:textId="64F0CFB4" w:rsidR="00173DCE" w:rsidRDefault="00173DCE" w:rsidP="00173DCE">
      <w:pPr>
        <w:pStyle w:val="Heading1"/>
      </w:pPr>
      <w:bookmarkStart w:id="19" w:name="_Toc242375179"/>
      <w:r>
        <w:t>Chapter 05: Project Timeline</w:t>
      </w:r>
      <w:bookmarkEnd w:id="19"/>
    </w:p>
    <w:tbl>
      <w:tblPr>
        <w:tblStyle w:val="GridTable4-Accent61"/>
        <w:tblW w:w="0" w:type="auto"/>
        <w:tblLook w:val="04A0" w:firstRow="1" w:lastRow="0" w:firstColumn="1" w:lastColumn="0" w:noHBand="0" w:noVBand="1"/>
      </w:tblPr>
      <w:tblGrid>
        <w:gridCol w:w="3821"/>
        <w:gridCol w:w="361"/>
        <w:gridCol w:w="361"/>
        <w:gridCol w:w="361"/>
        <w:gridCol w:w="361"/>
        <w:gridCol w:w="361"/>
        <w:gridCol w:w="361"/>
        <w:gridCol w:w="361"/>
        <w:gridCol w:w="361"/>
        <w:gridCol w:w="361"/>
        <w:gridCol w:w="456"/>
        <w:gridCol w:w="456"/>
        <w:gridCol w:w="456"/>
        <w:gridCol w:w="456"/>
        <w:gridCol w:w="456"/>
      </w:tblGrid>
      <w:tr w:rsidR="004C2186" w:rsidRPr="004C2186" w14:paraId="44E432B7" w14:textId="77777777" w:rsidTr="004C218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267BA5" w14:textId="77777777" w:rsidR="004C2186" w:rsidRPr="004C2186" w:rsidRDefault="004C2186" w:rsidP="004C2186">
            <w:pPr>
              <w:rPr>
                <w:lang w:eastAsia="en-GB"/>
              </w:rPr>
            </w:pPr>
            <w:r w:rsidRPr="004C2186">
              <w:rPr>
                <w:lang w:eastAsia="en-GB"/>
              </w:rPr>
              <w:t>Activities</w:t>
            </w:r>
          </w:p>
        </w:tc>
        <w:tc>
          <w:tcPr>
            <w:tcW w:w="0" w:type="auto"/>
            <w:hideMark/>
          </w:tcPr>
          <w:p w14:paraId="73624194" w14:textId="77777777" w:rsidR="004C2186" w:rsidRPr="004C2186" w:rsidRDefault="004C2186" w:rsidP="004C2186">
            <w:pPr>
              <w:cnfStyle w:val="100000000000" w:firstRow="1" w:lastRow="0" w:firstColumn="0" w:lastColumn="0" w:oddVBand="0" w:evenVBand="0" w:oddHBand="0" w:evenHBand="0" w:firstRowFirstColumn="0" w:firstRowLastColumn="0" w:lastRowFirstColumn="0" w:lastRowLastColumn="0"/>
              <w:rPr>
                <w:lang w:eastAsia="en-GB"/>
              </w:rPr>
            </w:pPr>
            <w:r w:rsidRPr="004C2186">
              <w:rPr>
                <w:lang w:eastAsia="en-GB"/>
              </w:rPr>
              <w:t>1</w:t>
            </w:r>
          </w:p>
        </w:tc>
        <w:tc>
          <w:tcPr>
            <w:tcW w:w="0" w:type="auto"/>
            <w:hideMark/>
          </w:tcPr>
          <w:p w14:paraId="1B7AC666" w14:textId="77777777" w:rsidR="004C2186" w:rsidRPr="004C2186" w:rsidRDefault="004C2186" w:rsidP="004C2186">
            <w:pPr>
              <w:cnfStyle w:val="100000000000" w:firstRow="1" w:lastRow="0" w:firstColumn="0" w:lastColumn="0" w:oddVBand="0" w:evenVBand="0" w:oddHBand="0" w:evenHBand="0" w:firstRowFirstColumn="0" w:firstRowLastColumn="0" w:lastRowFirstColumn="0" w:lastRowLastColumn="0"/>
              <w:rPr>
                <w:lang w:eastAsia="en-GB"/>
              </w:rPr>
            </w:pPr>
            <w:r w:rsidRPr="004C2186">
              <w:rPr>
                <w:lang w:eastAsia="en-GB"/>
              </w:rPr>
              <w:t>2</w:t>
            </w:r>
          </w:p>
        </w:tc>
        <w:tc>
          <w:tcPr>
            <w:tcW w:w="0" w:type="auto"/>
            <w:hideMark/>
          </w:tcPr>
          <w:p w14:paraId="501A05CE" w14:textId="77777777" w:rsidR="004C2186" w:rsidRPr="004C2186" w:rsidRDefault="004C2186" w:rsidP="004C2186">
            <w:pPr>
              <w:cnfStyle w:val="100000000000" w:firstRow="1" w:lastRow="0" w:firstColumn="0" w:lastColumn="0" w:oddVBand="0" w:evenVBand="0" w:oddHBand="0" w:evenHBand="0" w:firstRowFirstColumn="0" w:firstRowLastColumn="0" w:lastRowFirstColumn="0" w:lastRowLastColumn="0"/>
              <w:rPr>
                <w:lang w:eastAsia="en-GB"/>
              </w:rPr>
            </w:pPr>
            <w:r w:rsidRPr="004C2186">
              <w:rPr>
                <w:lang w:eastAsia="en-GB"/>
              </w:rPr>
              <w:t>3</w:t>
            </w:r>
          </w:p>
        </w:tc>
        <w:tc>
          <w:tcPr>
            <w:tcW w:w="0" w:type="auto"/>
            <w:hideMark/>
          </w:tcPr>
          <w:p w14:paraId="115D8602" w14:textId="77777777" w:rsidR="004C2186" w:rsidRPr="004C2186" w:rsidRDefault="004C2186" w:rsidP="004C2186">
            <w:pPr>
              <w:cnfStyle w:val="100000000000" w:firstRow="1" w:lastRow="0" w:firstColumn="0" w:lastColumn="0" w:oddVBand="0" w:evenVBand="0" w:oddHBand="0" w:evenHBand="0" w:firstRowFirstColumn="0" w:firstRowLastColumn="0" w:lastRowFirstColumn="0" w:lastRowLastColumn="0"/>
              <w:rPr>
                <w:lang w:eastAsia="en-GB"/>
              </w:rPr>
            </w:pPr>
            <w:r w:rsidRPr="004C2186">
              <w:rPr>
                <w:lang w:eastAsia="en-GB"/>
              </w:rPr>
              <w:t>4</w:t>
            </w:r>
          </w:p>
        </w:tc>
        <w:tc>
          <w:tcPr>
            <w:tcW w:w="0" w:type="auto"/>
            <w:hideMark/>
          </w:tcPr>
          <w:p w14:paraId="4BEAA9DB" w14:textId="77777777" w:rsidR="004C2186" w:rsidRPr="004C2186" w:rsidRDefault="004C2186" w:rsidP="004C2186">
            <w:pPr>
              <w:cnfStyle w:val="100000000000" w:firstRow="1" w:lastRow="0" w:firstColumn="0" w:lastColumn="0" w:oddVBand="0" w:evenVBand="0" w:oddHBand="0" w:evenHBand="0" w:firstRowFirstColumn="0" w:firstRowLastColumn="0" w:lastRowFirstColumn="0" w:lastRowLastColumn="0"/>
              <w:rPr>
                <w:lang w:eastAsia="en-GB"/>
              </w:rPr>
            </w:pPr>
            <w:r w:rsidRPr="004C2186">
              <w:rPr>
                <w:lang w:eastAsia="en-GB"/>
              </w:rPr>
              <w:t>5</w:t>
            </w:r>
          </w:p>
        </w:tc>
        <w:tc>
          <w:tcPr>
            <w:tcW w:w="0" w:type="auto"/>
            <w:hideMark/>
          </w:tcPr>
          <w:p w14:paraId="04831A11" w14:textId="77777777" w:rsidR="004C2186" w:rsidRPr="004C2186" w:rsidRDefault="004C2186" w:rsidP="004C2186">
            <w:pPr>
              <w:cnfStyle w:val="100000000000" w:firstRow="1" w:lastRow="0" w:firstColumn="0" w:lastColumn="0" w:oddVBand="0" w:evenVBand="0" w:oddHBand="0" w:evenHBand="0" w:firstRowFirstColumn="0" w:firstRowLastColumn="0" w:lastRowFirstColumn="0" w:lastRowLastColumn="0"/>
              <w:rPr>
                <w:lang w:eastAsia="en-GB"/>
              </w:rPr>
            </w:pPr>
            <w:r w:rsidRPr="004C2186">
              <w:rPr>
                <w:lang w:eastAsia="en-GB"/>
              </w:rPr>
              <w:t>6</w:t>
            </w:r>
          </w:p>
        </w:tc>
        <w:tc>
          <w:tcPr>
            <w:tcW w:w="0" w:type="auto"/>
            <w:hideMark/>
          </w:tcPr>
          <w:p w14:paraId="348BBA0B" w14:textId="77777777" w:rsidR="004C2186" w:rsidRPr="004C2186" w:rsidRDefault="004C2186" w:rsidP="004C2186">
            <w:pPr>
              <w:cnfStyle w:val="100000000000" w:firstRow="1" w:lastRow="0" w:firstColumn="0" w:lastColumn="0" w:oddVBand="0" w:evenVBand="0" w:oddHBand="0" w:evenHBand="0" w:firstRowFirstColumn="0" w:firstRowLastColumn="0" w:lastRowFirstColumn="0" w:lastRowLastColumn="0"/>
              <w:rPr>
                <w:lang w:eastAsia="en-GB"/>
              </w:rPr>
            </w:pPr>
            <w:r w:rsidRPr="004C2186">
              <w:rPr>
                <w:lang w:eastAsia="en-GB"/>
              </w:rPr>
              <w:t>7</w:t>
            </w:r>
          </w:p>
        </w:tc>
        <w:tc>
          <w:tcPr>
            <w:tcW w:w="0" w:type="auto"/>
            <w:hideMark/>
          </w:tcPr>
          <w:p w14:paraId="6F6D16DA" w14:textId="77777777" w:rsidR="004C2186" w:rsidRPr="004C2186" w:rsidRDefault="004C2186" w:rsidP="004C2186">
            <w:pPr>
              <w:cnfStyle w:val="100000000000" w:firstRow="1" w:lastRow="0" w:firstColumn="0" w:lastColumn="0" w:oddVBand="0" w:evenVBand="0" w:oddHBand="0" w:evenHBand="0" w:firstRowFirstColumn="0" w:firstRowLastColumn="0" w:lastRowFirstColumn="0" w:lastRowLastColumn="0"/>
              <w:rPr>
                <w:lang w:eastAsia="en-GB"/>
              </w:rPr>
            </w:pPr>
            <w:r w:rsidRPr="004C2186">
              <w:rPr>
                <w:lang w:eastAsia="en-GB"/>
              </w:rPr>
              <w:t>8</w:t>
            </w:r>
          </w:p>
        </w:tc>
        <w:tc>
          <w:tcPr>
            <w:tcW w:w="0" w:type="auto"/>
            <w:hideMark/>
          </w:tcPr>
          <w:p w14:paraId="4712A7C0" w14:textId="77777777" w:rsidR="004C2186" w:rsidRPr="004C2186" w:rsidRDefault="004C2186" w:rsidP="004C2186">
            <w:pPr>
              <w:cnfStyle w:val="100000000000" w:firstRow="1" w:lastRow="0" w:firstColumn="0" w:lastColumn="0" w:oddVBand="0" w:evenVBand="0" w:oddHBand="0" w:evenHBand="0" w:firstRowFirstColumn="0" w:firstRowLastColumn="0" w:lastRowFirstColumn="0" w:lastRowLastColumn="0"/>
              <w:rPr>
                <w:lang w:eastAsia="en-GB"/>
              </w:rPr>
            </w:pPr>
            <w:r w:rsidRPr="004C2186">
              <w:rPr>
                <w:lang w:eastAsia="en-GB"/>
              </w:rPr>
              <w:t>9</w:t>
            </w:r>
          </w:p>
        </w:tc>
        <w:tc>
          <w:tcPr>
            <w:tcW w:w="0" w:type="auto"/>
            <w:hideMark/>
          </w:tcPr>
          <w:p w14:paraId="31BA42A6" w14:textId="77777777" w:rsidR="004C2186" w:rsidRPr="004C2186" w:rsidRDefault="004C2186" w:rsidP="004C2186">
            <w:pPr>
              <w:cnfStyle w:val="100000000000" w:firstRow="1" w:lastRow="0" w:firstColumn="0" w:lastColumn="0" w:oddVBand="0" w:evenVBand="0" w:oddHBand="0" w:evenHBand="0" w:firstRowFirstColumn="0" w:firstRowLastColumn="0" w:lastRowFirstColumn="0" w:lastRowLastColumn="0"/>
              <w:rPr>
                <w:lang w:eastAsia="en-GB"/>
              </w:rPr>
            </w:pPr>
            <w:r w:rsidRPr="004C2186">
              <w:rPr>
                <w:lang w:eastAsia="en-GB"/>
              </w:rPr>
              <w:t>10</w:t>
            </w:r>
          </w:p>
        </w:tc>
        <w:tc>
          <w:tcPr>
            <w:tcW w:w="0" w:type="auto"/>
            <w:hideMark/>
          </w:tcPr>
          <w:p w14:paraId="519BA23C" w14:textId="77777777" w:rsidR="004C2186" w:rsidRPr="004C2186" w:rsidRDefault="004C2186" w:rsidP="004C2186">
            <w:pPr>
              <w:cnfStyle w:val="100000000000" w:firstRow="1" w:lastRow="0" w:firstColumn="0" w:lastColumn="0" w:oddVBand="0" w:evenVBand="0" w:oddHBand="0" w:evenHBand="0" w:firstRowFirstColumn="0" w:firstRowLastColumn="0" w:lastRowFirstColumn="0" w:lastRowLastColumn="0"/>
              <w:rPr>
                <w:lang w:eastAsia="en-GB"/>
              </w:rPr>
            </w:pPr>
            <w:r w:rsidRPr="004C2186">
              <w:rPr>
                <w:lang w:eastAsia="en-GB"/>
              </w:rPr>
              <w:t>11</w:t>
            </w:r>
          </w:p>
        </w:tc>
        <w:tc>
          <w:tcPr>
            <w:tcW w:w="0" w:type="auto"/>
            <w:hideMark/>
          </w:tcPr>
          <w:p w14:paraId="5AABC005" w14:textId="77777777" w:rsidR="004C2186" w:rsidRPr="004C2186" w:rsidRDefault="004C2186" w:rsidP="004C2186">
            <w:pPr>
              <w:cnfStyle w:val="100000000000" w:firstRow="1" w:lastRow="0" w:firstColumn="0" w:lastColumn="0" w:oddVBand="0" w:evenVBand="0" w:oddHBand="0" w:evenHBand="0" w:firstRowFirstColumn="0" w:firstRowLastColumn="0" w:lastRowFirstColumn="0" w:lastRowLastColumn="0"/>
              <w:rPr>
                <w:lang w:eastAsia="en-GB"/>
              </w:rPr>
            </w:pPr>
            <w:r w:rsidRPr="004C2186">
              <w:rPr>
                <w:lang w:eastAsia="en-GB"/>
              </w:rPr>
              <w:t>12</w:t>
            </w:r>
          </w:p>
        </w:tc>
        <w:tc>
          <w:tcPr>
            <w:tcW w:w="0" w:type="auto"/>
            <w:hideMark/>
          </w:tcPr>
          <w:p w14:paraId="09F2730F" w14:textId="77777777" w:rsidR="004C2186" w:rsidRPr="004C2186" w:rsidRDefault="004C2186" w:rsidP="004C2186">
            <w:pPr>
              <w:cnfStyle w:val="100000000000" w:firstRow="1" w:lastRow="0" w:firstColumn="0" w:lastColumn="0" w:oddVBand="0" w:evenVBand="0" w:oddHBand="0" w:evenHBand="0" w:firstRowFirstColumn="0" w:firstRowLastColumn="0" w:lastRowFirstColumn="0" w:lastRowLastColumn="0"/>
              <w:rPr>
                <w:lang w:eastAsia="en-GB"/>
              </w:rPr>
            </w:pPr>
            <w:r w:rsidRPr="004C2186">
              <w:rPr>
                <w:lang w:eastAsia="en-GB"/>
              </w:rPr>
              <w:t>13</w:t>
            </w:r>
          </w:p>
        </w:tc>
        <w:tc>
          <w:tcPr>
            <w:tcW w:w="0" w:type="auto"/>
            <w:hideMark/>
          </w:tcPr>
          <w:p w14:paraId="3534C7DD" w14:textId="77777777" w:rsidR="004C2186" w:rsidRPr="004C2186" w:rsidRDefault="004C2186" w:rsidP="004C2186">
            <w:pPr>
              <w:cnfStyle w:val="100000000000" w:firstRow="1" w:lastRow="0" w:firstColumn="0" w:lastColumn="0" w:oddVBand="0" w:evenVBand="0" w:oddHBand="0" w:evenHBand="0" w:firstRowFirstColumn="0" w:firstRowLastColumn="0" w:lastRowFirstColumn="0" w:lastRowLastColumn="0"/>
              <w:rPr>
                <w:lang w:eastAsia="en-GB"/>
              </w:rPr>
            </w:pPr>
            <w:r w:rsidRPr="004C2186">
              <w:rPr>
                <w:lang w:eastAsia="en-GB"/>
              </w:rPr>
              <w:t>14</w:t>
            </w:r>
          </w:p>
        </w:tc>
      </w:tr>
      <w:tr w:rsidR="004C2186" w:rsidRPr="004C2186" w14:paraId="5FB22792" w14:textId="77777777" w:rsidTr="004C21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7A70A0" w14:textId="77777777" w:rsidR="004C2186" w:rsidRPr="004C2186" w:rsidRDefault="004C2186" w:rsidP="004C2186">
            <w:pPr>
              <w:rPr>
                <w:lang w:eastAsia="en-GB"/>
              </w:rPr>
            </w:pPr>
            <w:r w:rsidRPr="004C2186">
              <w:rPr>
                <w:lang w:eastAsia="en-GB"/>
              </w:rPr>
              <w:t>Research planning</w:t>
            </w:r>
          </w:p>
        </w:tc>
        <w:tc>
          <w:tcPr>
            <w:tcW w:w="0" w:type="auto"/>
            <w:hideMark/>
          </w:tcPr>
          <w:p w14:paraId="513F4AF1" w14:textId="77777777"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r w:rsidRPr="004C2186">
              <w:rPr>
                <w:lang w:eastAsia="en-GB"/>
              </w:rPr>
              <w:t>■</w:t>
            </w:r>
          </w:p>
        </w:tc>
        <w:tc>
          <w:tcPr>
            <w:tcW w:w="0" w:type="auto"/>
            <w:hideMark/>
          </w:tcPr>
          <w:p w14:paraId="042AEED3" w14:textId="77777777"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r w:rsidRPr="004C2186">
              <w:rPr>
                <w:lang w:eastAsia="en-GB"/>
              </w:rPr>
              <w:t>■</w:t>
            </w:r>
          </w:p>
        </w:tc>
        <w:tc>
          <w:tcPr>
            <w:tcW w:w="0" w:type="auto"/>
          </w:tcPr>
          <w:p w14:paraId="7E18C979" w14:textId="291D5EB1"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c>
          <w:tcPr>
            <w:tcW w:w="0" w:type="auto"/>
          </w:tcPr>
          <w:p w14:paraId="17F62956" w14:textId="1C16934B"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c>
          <w:tcPr>
            <w:tcW w:w="0" w:type="auto"/>
          </w:tcPr>
          <w:p w14:paraId="599C7DD1" w14:textId="6991DEA0"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c>
          <w:tcPr>
            <w:tcW w:w="0" w:type="auto"/>
          </w:tcPr>
          <w:p w14:paraId="63938FE5" w14:textId="4053CAA4"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c>
          <w:tcPr>
            <w:tcW w:w="0" w:type="auto"/>
          </w:tcPr>
          <w:p w14:paraId="2F041D48" w14:textId="4B6A1927"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c>
          <w:tcPr>
            <w:tcW w:w="0" w:type="auto"/>
          </w:tcPr>
          <w:p w14:paraId="4BE42BDF" w14:textId="00836298"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c>
          <w:tcPr>
            <w:tcW w:w="0" w:type="auto"/>
          </w:tcPr>
          <w:p w14:paraId="0B73E641" w14:textId="1FF476EF"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c>
          <w:tcPr>
            <w:tcW w:w="0" w:type="auto"/>
          </w:tcPr>
          <w:p w14:paraId="7854EFBA" w14:textId="04B49CEA"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c>
          <w:tcPr>
            <w:tcW w:w="0" w:type="auto"/>
          </w:tcPr>
          <w:p w14:paraId="6D7DA189" w14:textId="02B8C044"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c>
          <w:tcPr>
            <w:tcW w:w="0" w:type="auto"/>
          </w:tcPr>
          <w:p w14:paraId="07AB056D" w14:textId="4C520C90"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c>
          <w:tcPr>
            <w:tcW w:w="0" w:type="auto"/>
          </w:tcPr>
          <w:p w14:paraId="46FBD56E" w14:textId="4AD79A94"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c>
          <w:tcPr>
            <w:tcW w:w="0" w:type="auto"/>
          </w:tcPr>
          <w:p w14:paraId="4637A498" w14:textId="2BD94FD0"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r>
      <w:tr w:rsidR="004C2186" w:rsidRPr="004C2186" w14:paraId="057A66C5" w14:textId="77777777" w:rsidTr="004C2186">
        <w:tc>
          <w:tcPr>
            <w:cnfStyle w:val="001000000000" w:firstRow="0" w:lastRow="0" w:firstColumn="1" w:lastColumn="0" w:oddVBand="0" w:evenVBand="0" w:oddHBand="0" w:evenHBand="0" w:firstRowFirstColumn="0" w:firstRowLastColumn="0" w:lastRowFirstColumn="0" w:lastRowLastColumn="0"/>
            <w:tcW w:w="0" w:type="auto"/>
            <w:hideMark/>
          </w:tcPr>
          <w:p w14:paraId="50A4E966" w14:textId="77777777" w:rsidR="004C2186" w:rsidRPr="004C2186" w:rsidRDefault="004C2186" w:rsidP="004C2186">
            <w:pPr>
              <w:rPr>
                <w:lang w:eastAsia="en-GB"/>
              </w:rPr>
            </w:pPr>
            <w:r w:rsidRPr="004C2186">
              <w:rPr>
                <w:lang w:eastAsia="en-GB"/>
              </w:rPr>
              <w:t>Literature review and methodology</w:t>
            </w:r>
          </w:p>
        </w:tc>
        <w:tc>
          <w:tcPr>
            <w:tcW w:w="0" w:type="auto"/>
            <w:hideMark/>
          </w:tcPr>
          <w:p w14:paraId="619AD455" w14:textId="77777777"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r w:rsidRPr="004C2186">
              <w:rPr>
                <w:lang w:eastAsia="en-GB"/>
              </w:rPr>
              <w:t>■</w:t>
            </w:r>
          </w:p>
        </w:tc>
        <w:tc>
          <w:tcPr>
            <w:tcW w:w="0" w:type="auto"/>
            <w:hideMark/>
          </w:tcPr>
          <w:p w14:paraId="0BD09866" w14:textId="77777777"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r w:rsidRPr="004C2186">
              <w:rPr>
                <w:lang w:eastAsia="en-GB"/>
              </w:rPr>
              <w:t>■</w:t>
            </w:r>
          </w:p>
        </w:tc>
        <w:tc>
          <w:tcPr>
            <w:tcW w:w="0" w:type="auto"/>
            <w:hideMark/>
          </w:tcPr>
          <w:p w14:paraId="5C733A86" w14:textId="77777777"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r w:rsidRPr="004C2186">
              <w:rPr>
                <w:lang w:eastAsia="en-GB"/>
              </w:rPr>
              <w:t>■</w:t>
            </w:r>
          </w:p>
        </w:tc>
        <w:tc>
          <w:tcPr>
            <w:tcW w:w="0" w:type="auto"/>
            <w:hideMark/>
          </w:tcPr>
          <w:p w14:paraId="4B990CBB" w14:textId="77777777"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r w:rsidRPr="004C2186">
              <w:rPr>
                <w:lang w:eastAsia="en-GB"/>
              </w:rPr>
              <w:t>■</w:t>
            </w:r>
          </w:p>
        </w:tc>
        <w:tc>
          <w:tcPr>
            <w:tcW w:w="0" w:type="auto"/>
          </w:tcPr>
          <w:p w14:paraId="498A4AE8" w14:textId="2670364A"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c>
          <w:tcPr>
            <w:tcW w:w="0" w:type="auto"/>
          </w:tcPr>
          <w:p w14:paraId="5968927A" w14:textId="75144A38"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c>
          <w:tcPr>
            <w:tcW w:w="0" w:type="auto"/>
          </w:tcPr>
          <w:p w14:paraId="1BC83740" w14:textId="4B9382F8"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c>
          <w:tcPr>
            <w:tcW w:w="0" w:type="auto"/>
          </w:tcPr>
          <w:p w14:paraId="6AFC5F6D" w14:textId="099C486F"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c>
          <w:tcPr>
            <w:tcW w:w="0" w:type="auto"/>
          </w:tcPr>
          <w:p w14:paraId="6EE5B5E1" w14:textId="3C9DB7AD"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c>
          <w:tcPr>
            <w:tcW w:w="0" w:type="auto"/>
          </w:tcPr>
          <w:p w14:paraId="7D7F7E7B" w14:textId="5FD65592"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c>
          <w:tcPr>
            <w:tcW w:w="0" w:type="auto"/>
          </w:tcPr>
          <w:p w14:paraId="1F243DBB" w14:textId="13A2990D"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c>
          <w:tcPr>
            <w:tcW w:w="0" w:type="auto"/>
          </w:tcPr>
          <w:p w14:paraId="4C60EAF3" w14:textId="3C7C9D12"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c>
          <w:tcPr>
            <w:tcW w:w="0" w:type="auto"/>
          </w:tcPr>
          <w:p w14:paraId="3D225913" w14:textId="673D79F5"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c>
          <w:tcPr>
            <w:tcW w:w="0" w:type="auto"/>
          </w:tcPr>
          <w:p w14:paraId="69BFFDD9" w14:textId="66C679D9"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r>
      <w:tr w:rsidR="004C2186" w:rsidRPr="004C2186" w14:paraId="2FB2A5CE" w14:textId="77777777" w:rsidTr="004C21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C54D7C" w14:textId="77777777" w:rsidR="004C2186" w:rsidRPr="004C2186" w:rsidRDefault="004C2186" w:rsidP="004C2186">
            <w:pPr>
              <w:rPr>
                <w:lang w:eastAsia="en-GB"/>
              </w:rPr>
            </w:pPr>
            <w:r w:rsidRPr="004C2186">
              <w:rPr>
                <w:lang w:eastAsia="en-GB"/>
              </w:rPr>
              <w:t>Market research and validation</w:t>
            </w:r>
          </w:p>
        </w:tc>
        <w:tc>
          <w:tcPr>
            <w:tcW w:w="0" w:type="auto"/>
            <w:hideMark/>
          </w:tcPr>
          <w:p w14:paraId="033A778D" w14:textId="37F844E1"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c>
          <w:tcPr>
            <w:tcW w:w="0" w:type="auto"/>
            <w:hideMark/>
          </w:tcPr>
          <w:p w14:paraId="7509061B" w14:textId="77777777"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r w:rsidRPr="004C2186">
              <w:rPr>
                <w:lang w:eastAsia="en-GB"/>
              </w:rPr>
              <w:t>■</w:t>
            </w:r>
          </w:p>
        </w:tc>
        <w:tc>
          <w:tcPr>
            <w:tcW w:w="0" w:type="auto"/>
            <w:hideMark/>
          </w:tcPr>
          <w:p w14:paraId="763C2841" w14:textId="77777777"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r w:rsidRPr="004C2186">
              <w:rPr>
                <w:lang w:eastAsia="en-GB"/>
              </w:rPr>
              <w:t>■</w:t>
            </w:r>
          </w:p>
        </w:tc>
        <w:tc>
          <w:tcPr>
            <w:tcW w:w="0" w:type="auto"/>
            <w:hideMark/>
          </w:tcPr>
          <w:p w14:paraId="7CE12C7D" w14:textId="77777777"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r w:rsidRPr="004C2186">
              <w:rPr>
                <w:lang w:eastAsia="en-GB"/>
              </w:rPr>
              <w:t>■</w:t>
            </w:r>
          </w:p>
        </w:tc>
        <w:tc>
          <w:tcPr>
            <w:tcW w:w="0" w:type="auto"/>
            <w:hideMark/>
          </w:tcPr>
          <w:p w14:paraId="6574A062" w14:textId="77777777"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r w:rsidRPr="004C2186">
              <w:rPr>
                <w:lang w:eastAsia="en-GB"/>
              </w:rPr>
              <w:t>■</w:t>
            </w:r>
          </w:p>
        </w:tc>
        <w:tc>
          <w:tcPr>
            <w:tcW w:w="0" w:type="auto"/>
          </w:tcPr>
          <w:p w14:paraId="4639BBDF" w14:textId="05415F78"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c>
          <w:tcPr>
            <w:tcW w:w="0" w:type="auto"/>
          </w:tcPr>
          <w:p w14:paraId="2FE945E9" w14:textId="4039D230"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c>
          <w:tcPr>
            <w:tcW w:w="0" w:type="auto"/>
          </w:tcPr>
          <w:p w14:paraId="232BC4B4" w14:textId="2ECB16E3"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c>
          <w:tcPr>
            <w:tcW w:w="0" w:type="auto"/>
          </w:tcPr>
          <w:p w14:paraId="6125E4B0" w14:textId="190D5037"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c>
          <w:tcPr>
            <w:tcW w:w="0" w:type="auto"/>
          </w:tcPr>
          <w:p w14:paraId="05C30FBB" w14:textId="14D70CA8"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c>
          <w:tcPr>
            <w:tcW w:w="0" w:type="auto"/>
          </w:tcPr>
          <w:p w14:paraId="273F199B" w14:textId="4E224C54"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c>
          <w:tcPr>
            <w:tcW w:w="0" w:type="auto"/>
          </w:tcPr>
          <w:p w14:paraId="3AC60A47" w14:textId="13BCD41E"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c>
          <w:tcPr>
            <w:tcW w:w="0" w:type="auto"/>
          </w:tcPr>
          <w:p w14:paraId="5A851DC2" w14:textId="4CDB4A43"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c>
          <w:tcPr>
            <w:tcW w:w="0" w:type="auto"/>
          </w:tcPr>
          <w:p w14:paraId="3FD37EC2" w14:textId="39DF76BF"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r>
      <w:tr w:rsidR="004C2186" w:rsidRPr="004C2186" w14:paraId="35356446" w14:textId="77777777" w:rsidTr="004C2186">
        <w:tc>
          <w:tcPr>
            <w:cnfStyle w:val="001000000000" w:firstRow="0" w:lastRow="0" w:firstColumn="1" w:lastColumn="0" w:oddVBand="0" w:evenVBand="0" w:oddHBand="0" w:evenHBand="0" w:firstRowFirstColumn="0" w:firstRowLastColumn="0" w:lastRowFirstColumn="0" w:lastRowLastColumn="0"/>
            <w:tcW w:w="0" w:type="auto"/>
            <w:hideMark/>
          </w:tcPr>
          <w:p w14:paraId="738F94B1" w14:textId="77777777" w:rsidR="004C2186" w:rsidRPr="004C2186" w:rsidRDefault="004C2186" w:rsidP="004C2186">
            <w:pPr>
              <w:rPr>
                <w:lang w:eastAsia="en-GB"/>
              </w:rPr>
            </w:pPr>
            <w:r w:rsidRPr="004C2186">
              <w:rPr>
                <w:lang w:eastAsia="en-GB"/>
              </w:rPr>
              <w:t>Outline submission</w:t>
            </w:r>
          </w:p>
        </w:tc>
        <w:tc>
          <w:tcPr>
            <w:tcW w:w="0" w:type="auto"/>
          </w:tcPr>
          <w:p w14:paraId="664847BB" w14:textId="04B3C72D"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c>
          <w:tcPr>
            <w:tcW w:w="0" w:type="auto"/>
          </w:tcPr>
          <w:p w14:paraId="7DF4AD77" w14:textId="26361AED"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c>
          <w:tcPr>
            <w:tcW w:w="0" w:type="auto"/>
          </w:tcPr>
          <w:p w14:paraId="2EAFBAF2" w14:textId="08B1C097"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c>
          <w:tcPr>
            <w:tcW w:w="0" w:type="auto"/>
          </w:tcPr>
          <w:p w14:paraId="26A3B48D" w14:textId="70FF2EC2"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c>
          <w:tcPr>
            <w:tcW w:w="0" w:type="auto"/>
            <w:hideMark/>
          </w:tcPr>
          <w:p w14:paraId="71524881" w14:textId="20BE7E58"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r w:rsidRPr="004C2186">
              <w:rPr>
                <w:lang w:eastAsia="en-GB"/>
              </w:rPr>
              <w:t>■</w:t>
            </w:r>
          </w:p>
        </w:tc>
        <w:tc>
          <w:tcPr>
            <w:tcW w:w="0" w:type="auto"/>
          </w:tcPr>
          <w:p w14:paraId="7CB48168" w14:textId="3ED0F2CB"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c>
          <w:tcPr>
            <w:tcW w:w="0" w:type="auto"/>
          </w:tcPr>
          <w:p w14:paraId="33D57F6C" w14:textId="04B8C101"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c>
          <w:tcPr>
            <w:tcW w:w="0" w:type="auto"/>
          </w:tcPr>
          <w:p w14:paraId="208629D4" w14:textId="0C1E6296"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c>
          <w:tcPr>
            <w:tcW w:w="0" w:type="auto"/>
          </w:tcPr>
          <w:p w14:paraId="55FF6A74" w14:textId="5470F2C5"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c>
          <w:tcPr>
            <w:tcW w:w="0" w:type="auto"/>
          </w:tcPr>
          <w:p w14:paraId="42A3C612" w14:textId="09672130"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c>
          <w:tcPr>
            <w:tcW w:w="0" w:type="auto"/>
          </w:tcPr>
          <w:p w14:paraId="1FF289E4" w14:textId="290D9703"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c>
          <w:tcPr>
            <w:tcW w:w="0" w:type="auto"/>
          </w:tcPr>
          <w:p w14:paraId="36A0B224" w14:textId="2DCCE8D9"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c>
          <w:tcPr>
            <w:tcW w:w="0" w:type="auto"/>
          </w:tcPr>
          <w:p w14:paraId="4DDEDF67" w14:textId="5922F990"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c>
          <w:tcPr>
            <w:tcW w:w="0" w:type="auto"/>
          </w:tcPr>
          <w:p w14:paraId="7A2D4177" w14:textId="4A772DC0"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r>
      <w:tr w:rsidR="004C2186" w:rsidRPr="004C2186" w14:paraId="494A9289" w14:textId="77777777" w:rsidTr="00DA13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549696" w14:textId="77777777" w:rsidR="004C2186" w:rsidRPr="004C2186" w:rsidRDefault="004C2186" w:rsidP="004C2186">
            <w:pPr>
              <w:rPr>
                <w:lang w:eastAsia="en-GB"/>
              </w:rPr>
            </w:pPr>
            <w:r w:rsidRPr="004C2186">
              <w:rPr>
                <w:lang w:eastAsia="en-GB"/>
              </w:rPr>
              <w:t>Company and competitor analysis</w:t>
            </w:r>
          </w:p>
        </w:tc>
        <w:tc>
          <w:tcPr>
            <w:tcW w:w="0" w:type="auto"/>
          </w:tcPr>
          <w:p w14:paraId="3421EB6F" w14:textId="3E483377"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c>
          <w:tcPr>
            <w:tcW w:w="0" w:type="auto"/>
          </w:tcPr>
          <w:p w14:paraId="1451CD3B" w14:textId="09132391"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c>
          <w:tcPr>
            <w:tcW w:w="0" w:type="auto"/>
          </w:tcPr>
          <w:p w14:paraId="213B03FD" w14:textId="35689B1B"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c>
          <w:tcPr>
            <w:tcW w:w="0" w:type="auto"/>
          </w:tcPr>
          <w:p w14:paraId="7014B32F" w14:textId="7FECAAFD"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c>
          <w:tcPr>
            <w:tcW w:w="0" w:type="auto"/>
            <w:hideMark/>
          </w:tcPr>
          <w:p w14:paraId="652B0DB4" w14:textId="77777777"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r w:rsidRPr="004C2186">
              <w:rPr>
                <w:lang w:eastAsia="en-GB"/>
              </w:rPr>
              <w:t>■</w:t>
            </w:r>
          </w:p>
        </w:tc>
        <w:tc>
          <w:tcPr>
            <w:tcW w:w="0" w:type="auto"/>
            <w:hideMark/>
          </w:tcPr>
          <w:p w14:paraId="3FB9A781" w14:textId="77777777"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r w:rsidRPr="004C2186">
              <w:rPr>
                <w:lang w:eastAsia="en-GB"/>
              </w:rPr>
              <w:t>■</w:t>
            </w:r>
          </w:p>
        </w:tc>
        <w:tc>
          <w:tcPr>
            <w:tcW w:w="0" w:type="auto"/>
            <w:hideMark/>
          </w:tcPr>
          <w:p w14:paraId="505BD608" w14:textId="77777777"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r w:rsidRPr="004C2186">
              <w:rPr>
                <w:lang w:eastAsia="en-GB"/>
              </w:rPr>
              <w:t>■</w:t>
            </w:r>
          </w:p>
        </w:tc>
        <w:tc>
          <w:tcPr>
            <w:tcW w:w="0" w:type="auto"/>
          </w:tcPr>
          <w:p w14:paraId="6E2EC666" w14:textId="3E80C10F"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c>
          <w:tcPr>
            <w:tcW w:w="0" w:type="auto"/>
          </w:tcPr>
          <w:p w14:paraId="137E1A90" w14:textId="6D8FBE34"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c>
          <w:tcPr>
            <w:tcW w:w="0" w:type="auto"/>
          </w:tcPr>
          <w:p w14:paraId="67CDC22E" w14:textId="3AD3E1F1"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c>
          <w:tcPr>
            <w:tcW w:w="0" w:type="auto"/>
          </w:tcPr>
          <w:p w14:paraId="5B9F3D92" w14:textId="3FA512ED"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c>
          <w:tcPr>
            <w:tcW w:w="0" w:type="auto"/>
          </w:tcPr>
          <w:p w14:paraId="0709E23C" w14:textId="390CEB21"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c>
          <w:tcPr>
            <w:tcW w:w="0" w:type="auto"/>
          </w:tcPr>
          <w:p w14:paraId="2138C342" w14:textId="1C9FC9C9"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c>
          <w:tcPr>
            <w:tcW w:w="0" w:type="auto"/>
          </w:tcPr>
          <w:p w14:paraId="19A77BF1" w14:textId="565BD8FA"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r>
      <w:tr w:rsidR="004C2186" w:rsidRPr="004C2186" w14:paraId="5C430D07" w14:textId="77777777" w:rsidTr="00DA13EE">
        <w:tc>
          <w:tcPr>
            <w:cnfStyle w:val="001000000000" w:firstRow="0" w:lastRow="0" w:firstColumn="1" w:lastColumn="0" w:oddVBand="0" w:evenVBand="0" w:oddHBand="0" w:evenHBand="0" w:firstRowFirstColumn="0" w:firstRowLastColumn="0" w:lastRowFirstColumn="0" w:lastRowLastColumn="0"/>
            <w:tcW w:w="0" w:type="auto"/>
            <w:hideMark/>
          </w:tcPr>
          <w:p w14:paraId="4CE45E45" w14:textId="77777777" w:rsidR="004C2186" w:rsidRPr="004C2186" w:rsidRDefault="004C2186" w:rsidP="004C2186">
            <w:pPr>
              <w:rPr>
                <w:lang w:eastAsia="en-GB"/>
              </w:rPr>
            </w:pPr>
            <w:r w:rsidRPr="004C2186">
              <w:rPr>
                <w:lang w:eastAsia="en-GB"/>
              </w:rPr>
              <w:t>Business analysis models</w:t>
            </w:r>
          </w:p>
        </w:tc>
        <w:tc>
          <w:tcPr>
            <w:tcW w:w="0" w:type="auto"/>
          </w:tcPr>
          <w:p w14:paraId="7001685C" w14:textId="0BA0119E"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c>
          <w:tcPr>
            <w:tcW w:w="0" w:type="auto"/>
          </w:tcPr>
          <w:p w14:paraId="010D95D3" w14:textId="6377F287"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c>
          <w:tcPr>
            <w:tcW w:w="0" w:type="auto"/>
          </w:tcPr>
          <w:p w14:paraId="013971A2" w14:textId="554F6F91"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c>
          <w:tcPr>
            <w:tcW w:w="0" w:type="auto"/>
          </w:tcPr>
          <w:p w14:paraId="13C90D40" w14:textId="4D65CBFC"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c>
          <w:tcPr>
            <w:tcW w:w="0" w:type="auto"/>
          </w:tcPr>
          <w:p w14:paraId="230E1479" w14:textId="6C7B3324"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c>
          <w:tcPr>
            <w:tcW w:w="0" w:type="auto"/>
            <w:hideMark/>
          </w:tcPr>
          <w:p w14:paraId="6E342455" w14:textId="77777777"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r w:rsidRPr="004C2186">
              <w:rPr>
                <w:lang w:eastAsia="en-GB"/>
              </w:rPr>
              <w:t>■</w:t>
            </w:r>
          </w:p>
        </w:tc>
        <w:tc>
          <w:tcPr>
            <w:tcW w:w="0" w:type="auto"/>
            <w:hideMark/>
          </w:tcPr>
          <w:p w14:paraId="6162C62D" w14:textId="77777777"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r w:rsidRPr="004C2186">
              <w:rPr>
                <w:lang w:eastAsia="en-GB"/>
              </w:rPr>
              <w:t>■</w:t>
            </w:r>
          </w:p>
        </w:tc>
        <w:tc>
          <w:tcPr>
            <w:tcW w:w="0" w:type="auto"/>
            <w:hideMark/>
          </w:tcPr>
          <w:p w14:paraId="2559A728" w14:textId="77777777"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r w:rsidRPr="004C2186">
              <w:rPr>
                <w:lang w:eastAsia="en-GB"/>
              </w:rPr>
              <w:t>■</w:t>
            </w:r>
          </w:p>
        </w:tc>
        <w:tc>
          <w:tcPr>
            <w:tcW w:w="0" w:type="auto"/>
            <w:hideMark/>
          </w:tcPr>
          <w:p w14:paraId="7B6E7834" w14:textId="77777777"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r w:rsidRPr="004C2186">
              <w:rPr>
                <w:lang w:eastAsia="en-GB"/>
              </w:rPr>
              <w:t>■</w:t>
            </w:r>
          </w:p>
        </w:tc>
        <w:tc>
          <w:tcPr>
            <w:tcW w:w="0" w:type="auto"/>
          </w:tcPr>
          <w:p w14:paraId="58065874" w14:textId="73223AEA"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c>
          <w:tcPr>
            <w:tcW w:w="0" w:type="auto"/>
          </w:tcPr>
          <w:p w14:paraId="067C33D5" w14:textId="73D2A574"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c>
          <w:tcPr>
            <w:tcW w:w="0" w:type="auto"/>
          </w:tcPr>
          <w:p w14:paraId="65DD361D" w14:textId="743A18B4"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c>
          <w:tcPr>
            <w:tcW w:w="0" w:type="auto"/>
          </w:tcPr>
          <w:p w14:paraId="7271D82A" w14:textId="5B01EEFC"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c>
          <w:tcPr>
            <w:tcW w:w="0" w:type="auto"/>
          </w:tcPr>
          <w:p w14:paraId="147EB71A" w14:textId="16D09572"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r>
      <w:tr w:rsidR="004C2186" w:rsidRPr="004C2186" w14:paraId="3F4121F4" w14:textId="77777777" w:rsidTr="00DA13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57A24F" w14:textId="77777777" w:rsidR="004C2186" w:rsidRPr="004C2186" w:rsidRDefault="004C2186" w:rsidP="004C2186">
            <w:pPr>
              <w:rPr>
                <w:lang w:eastAsia="en-GB"/>
              </w:rPr>
            </w:pPr>
            <w:r w:rsidRPr="004C2186">
              <w:rPr>
                <w:lang w:eastAsia="en-GB"/>
              </w:rPr>
              <w:t>Marketing and sales strategy</w:t>
            </w:r>
          </w:p>
        </w:tc>
        <w:tc>
          <w:tcPr>
            <w:tcW w:w="0" w:type="auto"/>
          </w:tcPr>
          <w:p w14:paraId="23FA5F3B" w14:textId="2C4B0A0E"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c>
          <w:tcPr>
            <w:tcW w:w="0" w:type="auto"/>
          </w:tcPr>
          <w:p w14:paraId="57242C8E" w14:textId="7DE3EEBF"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c>
          <w:tcPr>
            <w:tcW w:w="0" w:type="auto"/>
          </w:tcPr>
          <w:p w14:paraId="21CE206D" w14:textId="024DCDFC"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c>
          <w:tcPr>
            <w:tcW w:w="0" w:type="auto"/>
          </w:tcPr>
          <w:p w14:paraId="7BBEAB18" w14:textId="46A35056"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c>
          <w:tcPr>
            <w:tcW w:w="0" w:type="auto"/>
          </w:tcPr>
          <w:p w14:paraId="5CB6AC15" w14:textId="7398C3FA"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c>
          <w:tcPr>
            <w:tcW w:w="0" w:type="auto"/>
          </w:tcPr>
          <w:p w14:paraId="66F47EEA" w14:textId="0C4FFC8F"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c>
          <w:tcPr>
            <w:tcW w:w="0" w:type="auto"/>
          </w:tcPr>
          <w:p w14:paraId="4CB5B651" w14:textId="033B12E1"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c>
          <w:tcPr>
            <w:tcW w:w="0" w:type="auto"/>
            <w:hideMark/>
          </w:tcPr>
          <w:p w14:paraId="72201D0F" w14:textId="77777777"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r w:rsidRPr="004C2186">
              <w:rPr>
                <w:lang w:eastAsia="en-GB"/>
              </w:rPr>
              <w:t>■</w:t>
            </w:r>
          </w:p>
        </w:tc>
        <w:tc>
          <w:tcPr>
            <w:tcW w:w="0" w:type="auto"/>
            <w:hideMark/>
          </w:tcPr>
          <w:p w14:paraId="5507CE45" w14:textId="77777777"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r w:rsidRPr="004C2186">
              <w:rPr>
                <w:lang w:eastAsia="en-GB"/>
              </w:rPr>
              <w:t>■</w:t>
            </w:r>
          </w:p>
        </w:tc>
        <w:tc>
          <w:tcPr>
            <w:tcW w:w="0" w:type="auto"/>
            <w:hideMark/>
          </w:tcPr>
          <w:p w14:paraId="278116CB" w14:textId="77777777"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r w:rsidRPr="004C2186">
              <w:rPr>
                <w:lang w:eastAsia="en-GB"/>
              </w:rPr>
              <w:t>■</w:t>
            </w:r>
          </w:p>
        </w:tc>
        <w:tc>
          <w:tcPr>
            <w:tcW w:w="0" w:type="auto"/>
          </w:tcPr>
          <w:p w14:paraId="1E54288A" w14:textId="1D734F67"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c>
          <w:tcPr>
            <w:tcW w:w="0" w:type="auto"/>
          </w:tcPr>
          <w:p w14:paraId="1DA3F1DA" w14:textId="7E805CC1"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c>
          <w:tcPr>
            <w:tcW w:w="0" w:type="auto"/>
          </w:tcPr>
          <w:p w14:paraId="3582091E" w14:textId="4778C091"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c>
          <w:tcPr>
            <w:tcW w:w="0" w:type="auto"/>
          </w:tcPr>
          <w:p w14:paraId="58A4A454" w14:textId="55CD7E72"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r>
      <w:tr w:rsidR="004C2186" w:rsidRPr="004C2186" w14:paraId="6FE5F0BE" w14:textId="77777777" w:rsidTr="00DA13EE">
        <w:tc>
          <w:tcPr>
            <w:cnfStyle w:val="001000000000" w:firstRow="0" w:lastRow="0" w:firstColumn="1" w:lastColumn="0" w:oddVBand="0" w:evenVBand="0" w:oddHBand="0" w:evenHBand="0" w:firstRowFirstColumn="0" w:firstRowLastColumn="0" w:lastRowFirstColumn="0" w:lastRowLastColumn="0"/>
            <w:tcW w:w="0" w:type="auto"/>
            <w:hideMark/>
          </w:tcPr>
          <w:p w14:paraId="40C055A6" w14:textId="77777777" w:rsidR="004C2186" w:rsidRPr="004C2186" w:rsidRDefault="004C2186" w:rsidP="004C2186">
            <w:pPr>
              <w:rPr>
                <w:lang w:eastAsia="en-GB"/>
              </w:rPr>
            </w:pPr>
            <w:r w:rsidRPr="004C2186">
              <w:rPr>
                <w:lang w:eastAsia="en-GB"/>
              </w:rPr>
              <w:t>Operations and HR planning</w:t>
            </w:r>
          </w:p>
        </w:tc>
        <w:tc>
          <w:tcPr>
            <w:tcW w:w="0" w:type="auto"/>
          </w:tcPr>
          <w:p w14:paraId="2DA28A23" w14:textId="06E05B3E"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c>
          <w:tcPr>
            <w:tcW w:w="0" w:type="auto"/>
          </w:tcPr>
          <w:p w14:paraId="4F9A2978" w14:textId="271FB7F1"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c>
          <w:tcPr>
            <w:tcW w:w="0" w:type="auto"/>
          </w:tcPr>
          <w:p w14:paraId="6835C8BE" w14:textId="01E0C62F"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c>
          <w:tcPr>
            <w:tcW w:w="0" w:type="auto"/>
          </w:tcPr>
          <w:p w14:paraId="72630D4B" w14:textId="2311EDE9"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c>
          <w:tcPr>
            <w:tcW w:w="0" w:type="auto"/>
          </w:tcPr>
          <w:p w14:paraId="5D01E224" w14:textId="49E9A2A8"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c>
          <w:tcPr>
            <w:tcW w:w="0" w:type="auto"/>
          </w:tcPr>
          <w:p w14:paraId="2C4D6E7F" w14:textId="14B6F535"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c>
          <w:tcPr>
            <w:tcW w:w="0" w:type="auto"/>
          </w:tcPr>
          <w:p w14:paraId="3194DBCC" w14:textId="544C787B"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c>
          <w:tcPr>
            <w:tcW w:w="0" w:type="auto"/>
          </w:tcPr>
          <w:p w14:paraId="36C0FCE6" w14:textId="6BB9DC7C"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c>
          <w:tcPr>
            <w:tcW w:w="0" w:type="auto"/>
            <w:hideMark/>
          </w:tcPr>
          <w:p w14:paraId="24B2CA97" w14:textId="77777777"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r w:rsidRPr="004C2186">
              <w:rPr>
                <w:lang w:eastAsia="en-GB"/>
              </w:rPr>
              <w:t>■</w:t>
            </w:r>
          </w:p>
        </w:tc>
        <w:tc>
          <w:tcPr>
            <w:tcW w:w="0" w:type="auto"/>
            <w:hideMark/>
          </w:tcPr>
          <w:p w14:paraId="7A12BDD2" w14:textId="77777777"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r w:rsidRPr="004C2186">
              <w:rPr>
                <w:lang w:eastAsia="en-GB"/>
              </w:rPr>
              <w:t>■</w:t>
            </w:r>
          </w:p>
        </w:tc>
        <w:tc>
          <w:tcPr>
            <w:tcW w:w="0" w:type="auto"/>
            <w:hideMark/>
          </w:tcPr>
          <w:p w14:paraId="3C091F9E" w14:textId="77777777"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r w:rsidRPr="004C2186">
              <w:rPr>
                <w:lang w:eastAsia="en-GB"/>
              </w:rPr>
              <w:t>■</w:t>
            </w:r>
          </w:p>
        </w:tc>
        <w:tc>
          <w:tcPr>
            <w:tcW w:w="0" w:type="auto"/>
          </w:tcPr>
          <w:p w14:paraId="450ED3D4" w14:textId="0DADC556"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c>
          <w:tcPr>
            <w:tcW w:w="0" w:type="auto"/>
          </w:tcPr>
          <w:p w14:paraId="64E14747" w14:textId="2592D979"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c>
          <w:tcPr>
            <w:tcW w:w="0" w:type="auto"/>
          </w:tcPr>
          <w:p w14:paraId="317851C6" w14:textId="681916F6"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r>
      <w:tr w:rsidR="004C2186" w:rsidRPr="004C2186" w14:paraId="1C66B067" w14:textId="77777777" w:rsidTr="00DA13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51A4BA" w14:textId="77777777" w:rsidR="004C2186" w:rsidRPr="004C2186" w:rsidRDefault="004C2186" w:rsidP="004C2186">
            <w:pPr>
              <w:rPr>
                <w:lang w:eastAsia="en-GB"/>
              </w:rPr>
            </w:pPr>
            <w:r w:rsidRPr="004C2186">
              <w:rPr>
                <w:lang w:eastAsia="en-GB"/>
              </w:rPr>
              <w:t>Financial and cash flow analysis</w:t>
            </w:r>
          </w:p>
        </w:tc>
        <w:tc>
          <w:tcPr>
            <w:tcW w:w="0" w:type="auto"/>
          </w:tcPr>
          <w:p w14:paraId="4E296F93" w14:textId="1F5D338D"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c>
          <w:tcPr>
            <w:tcW w:w="0" w:type="auto"/>
          </w:tcPr>
          <w:p w14:paraId="26AA4BD8" w14:textId="6BEDDDA7"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c>
          <w:tcPr>
            <w:tcW w:w="0" w:type="auto"/>
          </w:tcPr>
          <w:p w14:paraId="6E2C7775" w14:textId="5242E8E8"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c>
          <w:tcPr>
            <w:tcW w:w="0" w:type="auto"/>
          </w:tcPr>
          <w:p w14:paraId="3AEFA31D" w14:textId="36075489"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c>
          <w:tcPr>
            <w:tcW w:w="0" w:type="auto"/>
          </w:tcPr>
          <w:p w14:paraId="165160AF" w14:textId="1E26152E"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c>
          <w:tcPr>
            <w:tcW w:w="0" w:type="auto"/>
          </w:tcPr>
          <w:p w14:paraId="4AF6E88C" w14:textId="639D21C9"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c>
          <w:tcPr>
            <w:tcW w:w="0" w:type="auto"/>
          </w:tcPr>
          <w:p w14:paraId="7D442DEE" w14:textId="1539C090"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c>
          <w:tcPr>
            <w:tcW w:w="0" w:type="auto"/>
          </w:tcPr>
          <w:p w14:paraId="3BA2F2F4" w14:textId="4292CFC6"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c>
          <w:tcPr>
            <w:tcW w:w="0" w:type="auto"/>
          </w:tcPr>
          <w:p w14:paraId="754F5F44" w14:textId="5E782791"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c>
          <w:tcPr>
            <w:tcW w:w="0" w:type="auto"/>
            <w:hideMark/>
          </w:tcPr>
          <w:p w14:paraId="0106B1BD" w14:textId="77777777"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r w:rsidRPr="004C2186">
              <w:rPr>
                <w:lang w:eastAsia="en-GB"/>
              </w:rPr>
              <w:t>■</w:t>
            </w:r>
          </w:p>
        </w:tc>
        <w:tc>
          <w:tcPr>
            <w:tcW w:w="0" w:type="auto"/>
            <w:hideMark/>
          </w:tcPr>
          <w:p w14:paraId="78DD40DA" w14:textId="77777777"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r w:rsidRPr="004C2186">
              <w:rPr>
                <w:lang w:eastAsia="en-GB"/>
              </w:rPr>
              <w:t>■</w:t>
            </w:r>
          </w:p>
        </w:tc>
        <w:tc>
          <w:tcPr>
            <w:tcW w:w="0" w:type="auto"/>
            <w:hideMark/>
          </w:tcPr>
          <w:p w14:paraId="5B0DD6F1" w14:textId="77777777"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r w:rsidRPr="004C2186">
              <w:rPr>
                <w:lang w:eastAsia="en-GB"/>
              </w:rPr>
              <w:t>■</w:t>
            </w:r>
          </w:p>
        </w:tc>
        <w:tc>
          <w:tcPr>
            <w:tcW w:w="0" w:type="auto"/>
          </w:tcPr>
          <w:p w14:paraId="3CFBC892" w14:textId="787B6B29"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c>
          <w:tcPr>
            <w:tcW w:w="0" w:type="auto"/>
          </w:tcPr>
          <w:p w14:paraId="224A6DE5" w14:textId="558F60A5"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r>
      <w:tr w:rsidR="004C2186" w:rsidRPr="004C2186" w14:paraId="28DD165C" w14:textId="77777777" w:rsidTr="00DA13EE">
        <w:tc>
          <w:tcPr>
            <w:cnfStyle w:val="001000000000" w:firstRow="0" w:lastRow="0" w:firstColumn="1" w:lastColumn="0" w:oddVBand="0" w:evenVBand="0" w:oddHBand="0" w:evenHBand="0" w:firstRowFirstColumn="0" w:firstRowLastColumn="0" w:lastRowFirstColumn="0" w:lastRowLastColumn="0"/>
            <w:tcW w:w="0" w:type="auto"/>
            <w:hideMark/>
          </w:tcPr>
          <w:p w14:paraId="2A8A1A77" w14:textId="77777777" w:rsidR="004C2186" w:rsidRPr="004C2186" w:rsidRDefault="004C2186" w:rsidP="004C2186">
            <w:pPr>
              <w:rPr>
                <w:lang w:eastAsia="en-GB"/>
              </w:rPr>
            </w:pPr>
            <w:r w:rsidRPr="004C2186">
              <w:rPr>
                <w:lang w:eastAsia="en-GB"/>
              </w:rPr>
              <w:t>Risk assessment and reflection</w:t>
            </w:r>
          </w:p>
        </w:tc>
        <w:tc>
          <w:tcPr>
            <w:tcW w:w="0" w:type="auto"/>
          </w:tcPr>
          <w:p w14:paraId="0F25FFCE" w14:textId="73569913"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c>
          <w:tcPr>
            <w:tcW w:w="0" w:type="auto"/>
          </w:tcPr>
          <w:p w14:paraId="3FD33AA2" w14:textId="5CB0526A"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c>
          <w:tcPr>
            <w:tcW w:w="0" w:type="auto"/>
          </w:tcPr>
          <w:p w14:paraId="257D268E" w14:textId="628D2AD0"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c>
          <w:tcPr>
            <w:tcW w:w="0" w:type="auto"/>
          </w:tcPr>
          <w:p w14:paraId="4D3CD6EC" w14:textId="3F6D6374"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c>
          <w:tcPr>
            <w:tcW w:w="0" w:type="auto"/>
          </w:tcPr>
          <w:p w14:paraId="320E048F" w14:textId="012D3C42"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c>
          <w:tcPr>
            <w:tcW w:w="0" w:type="auto"/>
          </w:tcPr>
          <w:p w14:paraId="5ED1C035" w14:textId="07F94734"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c>
          <w:tcPr>
            <w:tcW w:w="0" w:type="auto"/>
          </w:tcPr>
          <w:p w14:paraId="2FC79E6D" w14:textId="39B8F770"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c>
          <w:tcPr>
            <w:tcW w:w="0" w:type="auto"/>
          </w:tcPr>
          <w:p w14:paraId="18158807" w14:textId="759D970E"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c>
          <w:tcPr>
            <w:tcW w:w="0" w:type="auto"/>
          </w:tcPr>
          <w:p w14:paraId="0D103283" w14:textId="53D38B8E"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c>
          <w:tcPr>
            <w:tcW w:w="0" w:type="auto"/>
          </w:tcPr>
          <w:p w14:paraId="416E8762" w14:textId="31CB0034"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c>
          <w:tcPr>
            <w:tcW w:w="0" w:type="auto"/>
            <w:hideMark/>
          </w:tcPr>
          <w:p w14:paraId="484C927E" w14:textId="77777777"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r w:rsidRPr="004C2186">
              <w:rPr>
                <w:lang w:eastAsia="en-GB"/>
              </w:rPr>
              <w:t>■</w:t>
            </w:r>
          </w:p>
        </w:tc>
        <w:tc>
          <w:tcPr>
            <w:tcW w:w="0" w:type="auto"/>
            <w:hideMark/>
          </w:tcPr>
          <w:p w14:paraId="3C9CC816" w14:textId="77777777"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r w:rsidRPr="004C2186">
              <w:rPr>
                <w:lang w:eastAsia="en-GB"/>
              </w:rPr>
              <w:t>■</w:t>
            </w:r>
          </w:p>
        </w:tc>
        <w:tc>
          <w:tcPr>
            <w:tcW w:w="0" w:type="auto"/>
            <w:hideMark/>
          </w:tcPr>
          <w:p w14:paraId="65B4C570" w14:textId="77777777"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r w:rsidRPr="004C2186">
              <w:rPr>
                <w:lang w:eastAsia="en-GB"/>
              </w:rPr>
              <w:t>■</w:t>
            </w:r>
          </w:p>
        </w:tc>
        <w:tc>
          <w:tcPr>
            <w:tcW w:w="0" w:type="auto"/>
          </w:tcPr>
          <w:p w14:paraId="63074489" w14:textId="5C3B75AC"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r>
      <w:tr w:rsidR="004C2186" w:rsidRPr="004C2186" w14:paraId="4616EB33" w14:textId="77777777" w:rsidTr="00DA13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AF920D" w14:textId="77777777" w:rsidR="004C2186" w:rsidRPr="004C2186" w:rsidRDefault="004C2186" w:rsidP="004C2186">
            <w:pPr>
              <w:rPr>
                <w:lang w:eastAsia="en-GB"/>
              </w:rPr>
            </w:pPr>
            <w:r w:rsidRPr="004C2186">
              <w:rPr>
                <w:lang w:eastAsia="en-GB"/>
              </w:rPr>
              <w:t>Editing and referencing</w:t>
            </w:r>
          </w:p>
        </w:tc>
        <w:tc>
          <w:tcPr>
            <w:tcW w:w="0" w:type="auto"/>
          </w:tcPr>
          <w:p w14:paraId="1E82D344" w14:textId="3E81CFDF"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c>
          <w:tcPr>
            <w:tcW w:w="0" w:type="auto"/>
          </w:tcPr>
          <w:p w14:paraId="1BEFA9AD" w14:textId="2B462EE5"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c>
          <w:tcPr>
            <w:tcW w:w="0" w:type="auto"/>
          </w:tcPr>
          <w:p w14:paraId="544D20BF" w14:textId="54F08C60"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c>
          <w:tcPr>
            <w:tcW w:w="0" w:type="auto"/>
          </w:tcPr>
          <w:p w14:paraId="2DEE237E" w14:textId="6ECD4C2F"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c>
          <w:tcPr>
            <w:tcW w:w="0" w:type="auto"/>
          </w:tcPr>
          <w:p w14:paraId="23D46607" w14:textId="4E27FACC"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c>
          <w:tcPr>
            <w:tcW w:w="0" w:type="auto"/>
          </w:tcPr>
          <w:p w14:paraId="265AD870" w14:textId="4CBB7297"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c>
          <w:tcPr>
            <w:tcW w:w="0" w:type="auto"/>
          </w:tcPr>
          <w:p w14:paraId="062DF584" w14:textId="44E628E3"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c>
          <w:tcPr>
            <w:tcW w:w="0" w:type="auto"/>
          </w:tcPr>
          <w:p w14:paraId="2C307E9A" w14:textId="037BF156"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c>
          <w:tcPr>
            <w:tcW w:w="0" w:type="auto"/>
          </w:tcPr>
          <w:p w14:paraId="5B75B5E2" w14:textId="4C80C7C0"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c>
          <w:tcPr>
            <w:tcW w:w="0" w:type="auto"/>
          </w:tcPr>
          <w:p w14:paraId="4DCF7412" w14:textId="62B81EC1"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c>
          <w:tcPr>
            <w:tcW w:w="0" w:type="auto"/>
          </w:tcPr>
          <w:p w14:paraId="2AA4AFA1" w14:textId="4FB4B608"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c>
          <w:tcPr>
            <w:tcW w:w="0" w:type="auto"/>
          </w:tcPr>
          <w:p w14:paraId="0AF28C35" w14:textId="701E266A"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p>
        </w:tc>
        <w:tc>
          <w:tcPr>
            <w:tcW w:w="0" w:type="auto"/>
            <w:hideMark/>
          </w:tcPr>
          <w:p w14:paraId="15F98321" w14:textId="77777777"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r w:rsidRPr="004C2186">
              <w:rPr>
                <w:lang w:eastAsia="en-GB"/>
              </w:rPr>
              <w:t>■</w:t>
            </w:r>
          </w:p>
        </w:tc>
        <w:tc>
          <w:tcPr>
            <w:tcW w:w="0" w:type="auto"/>
            <w:hideMark/>
          </w:tcPr>
          <w:p w14:paraId="20285378" w14:textId="77777777" w:rsidR="004C2186" w:rsidRPr="004C2186" w:rsidRDefault="004C2186" w:rsidP="004C2186">
            <w:pPr>
              <w:cnfStyle w:val="000000100000" w:firstRow="0" w:lastRow="0" w:firstColumn="0" w:lastColumn="0" w:oddVBand="0" w:evenVBand="0" w:oddHBand="1" w:evenHBand="0" w:firstRowFirstColumn="0" w:firstRowLastColumn="0" w:lastRowFirstColumn="0" w:lastRowLastColumn="0"/>
              <w:rPr>
                <w:lang w:eastAsia="en-GB"/>
              </w:rPr>
            </w:pPr>
            <w:r w:rsidRPr="004C2186">
              <w:rPr>
                <w:lang w:eastAsia="en-GB"/>
              </w:rPr>
              <w:t>■</w:t>
            </w:r>
          </w:p>
        </w:tc>
      </w:tr>
      <w:tr w:rsidR="004C2186" w:rsidRPr="004C2186" w14:paraId="06FB4B0C" w14:textId="77777777" w:rsidTr="00DA13EE">
        <w:tc>
          <w:tcPr>
            <w:cnfStyle w:val="001000000000" w:firstRow="0" w:lastRow="0" w:firstColumn="1" w:lastColumn="0" w:oddVBand="0" w:evenVBand="0" w:oddHBand="0" w:evenHBand="0" w:firstRowFirstColumn="0" w:firstRowLastColumn="0" w:lastRowFirstColumn="0" w:lastRowLastColumn="0"/>
            <w:tcW w:w="0" w:type="auto"/>
            <w:hideMark/>
          </w:tcPr>
          <w:p w14:paraId="7849DDBD" w14:textId="77777777" w:rsidR="004C2186" w:rsidRPr="004C2186" w:rsidRDefault="004C2186" w:rsidP="004C2186">
            <w:pPr>
              <w:rPr>
                <w:lang w:eastAsia="en-GB"/>
              </w:rPr>
            </w:pPr>
            <w:r w:rsidRPr="004C2186">
              <w:rPr>
                <w:lang w:eastAsia="en-GB"/>
              </w:rPr>
              <w:t>Final submission</w:t>
            </w:r>
          </w:p>
        </w:tc>
        <w:tc>
          <w:tcPr>
            <w:tcW w:w="0" w:type="auto"/>
          </w:tcPr>
          <w:p w14:paraId="44CC902C" w14:textId="464CE60E"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c>
          <w:tcPr>
            <w:tcW w:w="0" w:type="auto"/>
          </w:tcPr>
          <w:p w14:paraId="76C3D334" w14:textId="1769862B"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c>
          <w:tcPr>
            <w:tcW w:w="0" w:type="auto"/>
          </w:tcPr>
          <w:p w14:paraId="518A6F52" w14:textId="1CB6445E"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c>
          <w:tcPr>
            <w:tcW w:w="0" w:type="auto"/>
          </w:tcPr>
          <w:p w14:paraId="46DD7953" w14:textId="0B67806B"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c>
          <w:tcPr>
            <w:tcW w:w="0" w:type="auto"/>
          </w:tcPr>
          <w:p w14:paraId="39844B81" w14:textId="04249B53"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c>
          <w:tcPr>
            <w:tcW w:w="0" w:type="auto"/>
          </w:tcPr>
          <w:p w14:paraId="2351725A" w14:textId="42DF1B3C"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c>
          <w:tcPr>
            <w:tcW w:w="0" w:type="auto"/>
          </w:tcPr>
          <w:p w14:paraId="069C9C0C" w14:textId="12903F75"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c>
          <w:tcPr>
            <w:tcW w:w="0" w:type="auto"/>
          </w:tcPr>
          <w:p w14:paraId="411B386C" w14:textId="7CF65E65"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c>
          <w:tcPr>
            <w:tcW w:w="0" w:type="auto"/>
          </w:tcPr>
          <w:p w14:paraId="4C506CB0" w14:textId="54D14FFC"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c>
          <w:tcPr>
            <w:tcW w:w="0" w:type="auto"/>
          </w:tcPr>
          <w:p w14:paraId="44667387" w14:textId="610696BA"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c>
          <w:tcPr>
            <w:tcW w:w="0" w:type="auto"/>
          </w:tcPr>
          <w:p w14:paraId="296AE8D9" w14:textId="6CD92252"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c>
          <w:tcPr>
            <w:tcW w:w="0" w:type="auto"/>
          </w:tcPr>
          <w:p w14:paraId="05738867" w14:textId="34EC6B32"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c>
          <w:tcPr>
            <w:tcW w:w="0" w:type="auto"/>
          </w:tcPr>
          <w:p w14:paraId="3C449A68" w14:textId="15107F32"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p>
        </w:tc>
        <w:tc>
          <w:tcPr>
            <w:tcW w:w="0" w:type="auto"/>
            <w:hideMark/>
          </w:tcPr>
          <w:p w14:paraId="2EE44A18" w14:textId="26DC7FEE" w:rsidR="004C2186" w:rsidRPr="004C2186" w:rsidRDefault="004C2186" w:rsidP="004C2186">
            <w:pPr>
              <w:cnfStyle w:val="000000000000" w:firstRow="0" w:lastRow="0" w:firstColumn="0" w:lastColumn="0" w:oddVBand="0" w:evenVBand="0" w:oddHBand="0" w:evenHBand="0" w:firstRowFirstColumn="0" w:firstRowLastColumn="0" w:lastRowFirstColumn="0" w:lastRowLastColumn="0"/>
              <w:rPr>
                <w:lang w:eastAsia="en-GB"/>
              </w:rPr>
            </w:pPr>
            <w:r w:rsidRPr="004C2186">
              <w:rPr>
                <w:lang w:eastAsia="en-GB"/>
              </w:rPr>
              <w:t>■</w:t>
            </w:r>
          </w:p>
        </w:tc>
      </w:tr>
    </w:tbl>
    <w:p w14:paraId="34CEDC1A" w14:textId="7FF05760" w:rsidR="00B47990" w:rsidRPr="00B47990" w:rsidRDefault="00B47990" w:rsidP="00B47990">
      <w:pPr>
        <w:pStyle w:val="Caption"/>
        <w:jc w:val="center"/>
      </w:pPr>
      <w:r>
        <w:t xml:space="preserve">Table </w:t>
      </w:r>
      <w:r>
        <w:fldChar w:fldCharType="begin"/>
      </w:r>
      <w:r>
        <w:instrText xml:space="preserve"> SEQ Table \* ARABIC </w:instrText>
      </w:r>
      <w:r>
        <w:fldChar w:fldCharType="separate"/>
      </w:r>
      <w:r>
        <w:rPr>
          <w:noProof/>
        </w:rPr>
        <w:t>2</w:t>
      </w:r>
      <w:r>
        <w:fldChar w:fldCharType="end"/>
      </w:r>
      <w:r>
        <w:t xml:space="preserve">: </w:t>
      </w:r>
      <w:r w:rsidR="00B136DC">
        <w:t>Gantt</w:t>
      </w:r>
      <w:r>
        <w:t xml:space="preserve"> Chart </w:t>
      </w:r>
      <w:r w:rsidR="00B136DC">
        <w:t>(S</w:t>
      </w:r>
      <w:r>
        <w:t>ource</w:t>
      </w:r>
      <w:r w:rsidR="00B27454">
        <w:t>:</w:t>
      </w:r>
      <w:r>
        <w:t xml:space="preserve"> Author)</w:t>
      </w:r>
    </w:p>
    <w:p w14:paraId="00002B58" w14:textId="77777777" w:rsidR="00173DCE" w:rsidRDefault="00173DCE" w:rsidP="00173DCE"/>
    <w:p w14:paraId="7E3816AE" w14:textId="26A315D5" w:rsidR="0009233A" w:rsidRDefault="0009233A">
      <w:pPr>
        <w:spacing w:before="0" w:after="160" w:line="259" w:lineRule="auto"/>
        <w:jc w:val="left"/>
      </w:pPr>
      <w:r>
        <w:br w:type="page"/>
      </w:r>
    </w:p>
    <w:p w14:paraId="59895762" w14:textId="3327E588" w:rsidR="00173DCE" w:rsidRDefault="0009233A" w:rsidP="0009233A">
      <w:pPr>
        <w:pStyle w:val="Heading1"/>
      </w:pPr>
      <w:bookmarkStart w:id="20" w:name="_Toc242375180"/>
      <w:r>
        <w:t>References</w:t>
      </w:r>
      <w:bookmarkEnd w:id="20"/>
    </w:p>
    <w:p w14:paraId="09DEDCE7" w14:textId="16FCE8AE" w:rsidR="0009233A" w:rsidRPr="0009233A" w:rsidRDefault="0009233A" w:rsidP="0009233A">
      <w:pPr>
        <w:pStyle w:val="ListParagraph"/>
        <w:numPr>
          <w:ilvl w:val="0"/>
          <w:numId w:val="9"/>
        </w:numPr>
      </w:pPr>
      <w:r w:rsidRPr="0009233A">
        <w:t xml:space="preserve">Braun, V. and Clarke, V. (2006). Using thematic analysis in psychology. </w:t>
      </w:r>
      <w:r w:rsidRPr="0009233A">
        <w:rPr>
          <w:i/>
          <w:iCs/>
        </w:rPr>
        <w:t>Qualitative Research in Psychology</w:t>
      </w:r>
      <w:r w:rsidRPr="0009233A">
        <w:t>, 3(2), pp.77–101. doi:</w:t>
      </w:r>
      <w:r>
        <w:t xml:space="preserve"> </w:t>
      </w:r>
      <w:hyperlink r:id="rId19" w:history="1">
        <w:r w:rsidRPr="006715B1">
          <w:rPr>
            <w:rStyle w:val="Hyperlink"/>
          </w:rPr>
          <w:t>https://doi.org/10.1191/1478088706qp063oa</w:t>
        </w:r>
      </w:hyperlink>
      <w:r w:rsidRPr="0009233A">
        <w:t>.</w:t>
      </w:r>
      <w:r>
        <w:t xml:space="preserve"> </w:t>
      </w:r>
    </w:p>
    <w:p w14:paraId="45CD44E3" w14:textId="7298C175" w:rsidR="0009233A" w:rsidRPr="0009233A" w:rsidRDefault="0009233A" w:rsidP="0009233A">
      <w:pPr>
        <w:pStyle w:val="ListParagraph"/>
        <w:numPr>
          <w:ilvl w:val="0"/>
          <w:numId w:val="9"/>
        </w:numPr>
      </w:pPr>
      <w:r w:rsidRPr="0009233A">
        <w:t xml:space="preserve">DBT (2025). </w:t>
      </w:r>
      <w:r w:rsidRPr="0009233A">
        <w:rPr>
          <w:i/>
          <w:iCs/>
        </w:rPr>
        <w:t>Business population estimates for the UK and regions 2025: Statistical release</w:t>
      </w:r>
      <w:r w:rsidRPr="0009233A">
        <w:t xml:space="preserve">. [online] GOV.UK. Available at: </w:t>
      </w:r>
      <w:hyperlink r:id="rId20" w:history="1">
        <w:r w:rsidRPr="006715B1">
          <w:rPr>
            <w:rStyle w:val="Hyperlink"/>
          </w:rPr>
          <w:t>https://www.gov.uk/government/statistics/business-population-estimates-2025/business-population-estimates-for-the-uk-and-regions-2025-statistical-release</w:t>
        </w:r>
      </w:hyperlink>
      <w:r>
        <w:t xml:space="preserve"> </w:t>
      </w:r>
      <w:r w:rsidRPr="0009233A">
        <w:t xml:space="preserve"> [Accessed 8 Oct. 2026].</w:t>
      </w:r>
    </w:p>
    <w:p w14:paraId="6ED8906E" w14:textId="5A4A1A34" w:rsidR="0009233A" w:rsidRPr="0009233A" w:rsidRDefault="0009233A" w:rsidP="0009233A">
      <w:pPr>
        <w:pStyle w:val="ListParagraph"/>
        <w:numPr>
          <w:ilvl w:val="0"/>
          <w:numId w:val="9"/>
        </w:numPr>
      </w:pPr>
      <w:r w:rsidRPr="0009233A">
        <w:t xml:space="preserve">DESNZ (2024). </w:t>
      </w:r>
      <w:r w:rsidRPr="0009233A">
        <w:rPr>
          <w:i/>
          <w:iCs/>
        </w:rPr>
        <w:t>Clean power 2030 action plan: A new era of clean electricity – main report</w:t>
      </w:r>
      <w:r w:rsidRPr="0009233A">
        <w:t xml:space="preserve">. [online] GOV.UK. Available at: </w:t>
      </w:r>
      <w:hyperlink r:id="rId21" w:history="1">
        <w:r w:rsidRPr="006715B1">
          <w:rPr>
            <w:rStyle w:val="Hyperlink"/>
          </w:rPr>
          <w:t>https://www.gov.uk/government/publications/clean-power-2030-action-plan/clean-power-2030-action-plan-a-new-era-of-clean-electricity-main-report</w:t>
        </w:r>
      </w:hyperlink>
      <w:r>
        <w:t xml:space="preserve"> </w:t>
      </w:r>
      <w:r w:rsidRPr="0009233A">
        <w:t xml:space="preserve"> [Accessed 8 Oct. 2026].</w:t>
      </w:r>
    </w:p>
    <w:p w14:paraId="0529AF3F" w14:textId="029AFE5B" w:rsidR="0009233A" w:rsidRPr="0009233A" w:rsidRDefault="0009233A" w:rsidP="0009233A">
      <w:pPr>
        <w:pStyle w:val="ListParagraph"/>
        <w:numPr>
          <w:ilvl w:val="0"/>
          <w:numId w:val="9"/>
        </w:numPr>
      </w:pPr>
      <w:r w:rsidRPr="0009233A">
        <w:t xml:space="preserve">DESNZ (2025). </w:t>
      </w:r>
      <w:r w:rsidRPr="0009233A">
        <w:rPr>
          <w:i/>
          <w:iCs/>
        </w:rPr>
        <w:t>Solar roadmap: United Kingdom powered by solar (accessible webpage)</w:t>
      </w:r>
      <w:r w:rsidRPr="0009233A">
        <w:t xml:space="preserve">. [online] GOV.UK. Available at: </w:t>
      </w:r>
      <w:hyperlink r:id="rId22" w:history="1">
        <w:r w:rsidRPr="006715B1">
          <w:rPr>
            <w:rStyle w:val="Hyperlink"/>
          </w:rPr>
          <w:t>https://www.gov.uk/government/publications/solar-roadmap/solar-roadmap-united-kingdom-powered-by-solar-accessible-webpage</w:t>
        </w:r>
      </w:hyperlink>
      <w:r>
        <w:t xml:space="preserve"> </w:t>
      </w:r>
      <w:r w:rsidRPr="0009233A">
        <w:t xml:space="preserve"> [Accessed 8 Oct. 2026].</w:t>
      </w:r>
    </w:p>
    <w:p w14:paraId="2B34AAED" w14:textId="3A706D2A" w:rsidR="0009233A" w:rsidRPr="0009233A" w:rsidRDefault="0009233A" w:rsidP="0009233A">
      <w:pPr>
        <w:pStyle w:val="ListParagraph"/>
        <w:numPr>
          <w:ilvl w:val="0"/>
          <w:numId w:val="9"/>
        </w:numPr>
      </w:pPr>
      <w:r w:rsidRPr="0009233A">
        <w:t xml:space="preserve">DESNZ (2026). </w:t>
      </w:r>
      <w:r w:rsidRPr="0009233A">
        <w:rPr>
          <w:i/>
          <w:iCs/>
        </w:rPr>
        <w:t>Energy trends: March 2026</w:t>
      </w:r>
      <w:r w:rsidRPr="0009233A">
        <w:t xml:space="preserve">. [online] GOV.UK. Available at: </w:t>
      </w:r>
      <w:hyperlink r:id="rId23" w:history="1">
        <w:r w:rsidRPr="006715B1">
          <w:rPr>
            <w:rStyle w:val="Hyperlink"/>
          </w:rPr>
          <w:t>https://www.gov.uk/government/statistics/energy-trends-march-2026</w:t>
        </w:r>
      </w:hyperlink>
      <w:r>
        <w:t xml:space="preserve"> </w:t>
      </w:r>
      <w:r w:rsidRPr="0009233A">
        <w:t xml:space="preserve"> [Accessed 8 Oct. 2026].</w:t>
      </w:r>
    </w:p>
    <w:p w14:paraId="1E8E11ED" w14:textId="59FBC152" w:rsidR="0009233A" w:rsidRPr="0009233A" w:rsidRDefault="0009233A" w:rsidP="0009233A">
      <w:pPr>
        <w:pStyle w:val="ListParagraph"/>
        <w:numPr>
          <w:ilvl w:val="0"/>
          <w:numId w:val="9"/>
        </w:numPr>
      </w:pPr>
      <w:r w:rsidRPr="0009233A">
        <w:t xml:space="preserve">Ecotricity (2025a). </w:t>
      </w:r>
      <w:r w:rsidRPr="0009233A">
        <w:rPr>
          <w:i/>
          <w:iCs/>
        </w:rPr>
        <w:t>For your business</w:t>
      </w:r>
      <w:r w:rsidRPr="0009233A">
        <w:t xml:space="preserve">. [online] www.ecotricity.co.uk. Available at: </w:t>
      </w:r>
      <w:hyperlink r:id="rId24" w:history="1">
        <w:r w:rsidRPr="006715B1">
          <w:rPr>
            <w:rStyle w:val="Hyperlink"/>
          </w:rPr>
          <w:t>https://www.ecotricity.co.uk/for-your-business</w:t>
        </w:r>
      </w:hyperlink>
      <w:r>
        <w:t xml:space="preserve"> </w:t>
      </w:r>
      <w:r w:rsidRPr="0009233A">
        <w:t xml:space="preserve"> [Accessed 8 Oct. 2026].</w:t>
      </w:r>
    </w:p>
    <w:p w14:paraId="4B52840B" w14:textId="6C0B7F4C" w:rsidR="0009233A" w:rsidRPr="0009233A" w:rsidRDefault="0009233A" w:rsidP="0009233A">
      <w:pPr>
        <w:pStyle w:val="ListParagraph"/>
        <w:numPr>
          <w:ilvl w:val="0"/>
          <w:numId w:val="9"/>
        </w:numPr>
      </w:pPr>
      <w:r w:rsidRPr="0009233A">
        <w:t xml:space="preserve">Ecotricity (2025b). </w:t>
      </w:r>
      <w:r w:rsidRPr="0009233A">
        <w:rPr>
          <w:i/>
          <w:iCs/>
        </w:rPr>
        <w:t>How ecotricity became the world’s first Green Energy Company</w:t>
      </w:r>
      <w:r w:rsidRPr="0009233A">
        <w:t xml:space="preserve">. [online] Ecotricity.co.uk. Available at: </w:t>
      </w:r>
      <w:hyperlink r:id="rId25" w:history="1">
        <w:r w:rsidRPr="006715B1">
          <w:rPr>
            <w:rStyle w:val="Hyperlink"/>
          </w:rPr>
          <w:t>https://www.ecotricity.co.uk/our-news/2025/how-ecotricity-became-the-worlds-first-green-energy-company</w:t>
        </w:r>
      </w:hyperlink>
      <w:r>
        <w:t xml:space="preserve"> </w:t>
      </w:r>
      <w:r w:rsidRPr="0009233A">
        <w:t xml:space="preserve"> [Accessed 8 Oct. 2026].</w:t>
      </w:r>
    </w:p>
    <w:p w14:paraId="37A076C2" w14:textId="5775B9AB" w:rsidR="0009233A" w:rsidRPr="0009233A" w:rsidRDefault="0009233A" w:rsidP="0009233A">
      <w:pPr>
        <w:pStyle w:val="ListParagraph"/>
        <w:numPr>
          <w:ilvl w:val="0"/>
          <w:numId w:val="9"/>
        </w:numPr>
      </w:pPr>
      <w:r w:rsidRPr="0009233A">
        <w:t xml:space="preserve">Ecotricity (2025c). </w:t>
      </w:r>
      <w:r w:rsidRPr="0009233A">
        <w:rPr>
          <w:i/>
          <w:iCs/>
        </w:rPr>
        <w:t>What is ‘bills into mills’ and why is it good news for your business?</w:t>
      </w:r>
      <w:r w:rsidRPr="0009233A">
        <w:t xml:space="preserve"> [online] Ecotricity.co.uk. Available at: </w:t>
      </w:r>
      <w:hyperlink r:id="rId26" w:history="1">
        <w:r w:rsidRPr="006715B1">
          <w:rPr>
            <w:rStyle w:val="Hyperlink"/>
          </w:rPr>
          <w:t>https://www.ecotricity.co.uk/our-news/2025/what-is-bills-into-mills-and-why-is-it-good-news-for-your-business</w:t>
        </w:r>
      </w:hyperlink>
      <w:r>
        <w:t xml:space="preserve"> </w:t>
      </w:r>
      <w:r w:rsidRPr="0009233A">
        <w:t xml:space="preserve"> [Accessed 8 Oct. 2026].</w:t>
      </w:r>
    </w:p>
    <w:p w14:paraId="21F8C55F" w14:textId="5F922851" w:rsidR="0009233A" w:rsidRPr="0009233A" w:rsidRDefault="0009233A" w:rsidP="0009233A">
      <w:pPr>
        <w:pStyle w:val="ListParagraph"/>
        <w:numPr>
          <w:ilvl w:val="0"/>
          <w:numId w:val="9"/>
        </w:numPr>
      </w:pPr>
      <w:r w:rsidRPr="0009233A">
        <w:t xml:space="preserve">Good Energy (2026). </w:t>
      </w:r>
      <w:r w:rsidRPr="0009233A">
        <w:rPr>
          <w:i/>
          <w:iCs/>
        </w:rPr>
        <w:t>We’re expanding our solar installation services | good energy for business</w:t>
      </w:r>
      <w:r w:rsidRPr="0009233A">
        <w:t xml:space="preserve">. [online] Good Energy for Business. Available at: </w:t>
      </w:r>
      <w:hyperlink r:id="rId27" w:history="1">
        <w:r w:rsidRPr="006715B1">
          <w:rPr>
            <w:rStyle w:val="Hyperlink"/>
          </w:rPr>
          <w:t>https://www.goodenergy.co.uk/business/insights/were-expanding-our-solar-installation-services/</w:t>
        </w:r>
      </w:hyperlink>
      <w:r>
        <w:t xml:space="preserve"> </w:t>
      </w:r>
      <w:r w:rsidRPr="0009233A">
        <w:t xml:space="preserve"> [Accessed 8 Oct. 2026].</w:t>
      </w:r>
    </w:p>
    <w:p w14:paraId="5FB89FA2" w14:textId="531B0C5C" w:rsidR="0009233A" w:rsidRPr="0009233A" w:rsidRDefault="0009233A" w:rsidP="0009233A">
      <w:pPr>
        <w:pStyle w:val="ListParagraph"/>
        <w:numPr>
          <w:ilvl w:val="0"/>
          <w:numId w:val="9"/>
        </w:numPr>
      </w:pPr>
      <w:r w:rsidRPr="0009233A">
        <w:t xml:space="preserve">Ofgem (2026). </w:t>
      </w:r>
      <w:r w:rsidRPr="0009233A">
        <w:rPr>
          <w:i/>
          <w:iCs/>
        </w:rPr>
        <w:t>Retail market indicators</w:t>
      </w:r>
      <w:r w:rsidRPr="0009233A">
        <w:t xml:space="preserve">. [online] Ofgem. Available at: </w:t>
      </w:r>
      <w:hyperlink r:id="rId28" w:history="1">
        <w:r w:rsidRPr="006715B1">
          <w:rPr>
            <w:rStyle w:val="Hyperlink"/>
          </w:rPr>
          <w:t>https://www.ofgem.gov.uk/news-and-insight/data/data-portal/retail-market-indicators</w:t>
        </w:r>
      </w:hyperlink>
      <w:r>
        <w:t xml:space="preserve"> </w:t>
      </w:r>
      <w:r w:rsidRPr="0009233A">
        <w:t xml:space="preserve"> [Accessed 8 Oct. 2026].</w:t>
      </w:r>
    </w:p>
    <w:p w14:paraId="48D0E6B0" w14:textId="77777777" w:rsidR="0009233A" w:rsidRPr="0009233A" w:rsidRDefault="0009233A" w:rsidP="0009233A">
      <w:pPr>
        <w:pStyle w:val="ListParagraph"/>
        <w:numPr>
          <w:ilvl w:val="0"/>
          <w:numId w:val="9"/>
        </w:numPr>
      </w:pPr>
      <w:r w:rsidRPr="0009233A">
        <w:t xml:space="preserve">Saunders, M., Lewis, P. and Thornhill, A. (2023). </w:t>
      </w:r>
      <w:r w:rsidRPr="0009233A">
        <w:rPr>
          <w:i/>
          <w:iCs/>
        </w:rPr>
        <w:t>Research methods for business students</w:t>
      </w:r>
      <w:r w:rsidRPr="0009233A">
        <w:t>. 9th edn. Pearson.</w:t>
      </w:r>
    </w:p>
    <w:p w14:paraId="112EC9CE" w14:textId="3B18DB60" w:rsidR="0009233A" w:rsidRPr="0009233A" w:rsidRDefault="0009233A" w:rsidP="0009233A">
      <w:pPr>
        <w:pStyle w:val="ListParagraph"/>
        <w:numPr>
          <w:ilvl w:val="0"/>
          <w:numId w:val="9"/>
        </w:numPr>
      </w:pPr>
      <w:r w:rsidRPr="0009233A">
        <w:t xml:space="preserve">UK Government (2015). </w:t>
      </w:r>
      <w:r w:rsidRPr="0009233A">
        <w:rPr>
          <w:i/>
          <w:iCs/>
        </w:rPr>
        <w:t>The town and country planning (general permitted development) (England) order 2015</w:t>
      </w:r>
      <w:r w:rsidRPr="0009233A">
        <w:t xml:space="preserve">. [online] Legislation.gov.uk. Available at: </w:t>
      </w:r>
      <w:hyperlink r:id="rId29" w:history="1">
        <w:r w:rsidRPr="006715B1">
          <w:rPr>
            <w:rStyle w:val="Hyperlink"/>
          </w:rPr>
          <w:t>https://www.legislation.gov.uk/uksi/2015/596/contents</w:t>
        </w:r>
      </w:hyperlink>
      <w:r>
        <w:t xml:space="preserve"> </w:t>
      </w:r>
      <w:r w:rsidRPr="0009233A">
        <w:t xml:space="preserve"> [Accessed 8 Oct. 2026].</w:t>
      </w:r>
    </w:p>
    <w:p w14:paraId="4FCBA364" w14:textId="77777777" w:rsidR="0009233A" w:rsidRPr="0009233A" w:rsidRDefault="0009233A" w:rsidP="0009233A"/>
    <w:sectPr w:rsidR="0009233A" w:rsidRPr="0009233A">
      <w:footerReference w:type="default" r:id="rId3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5DB0A5" w14:textId="77777777" w:rsidR="00452156" w:rsidRDefault="00452156">
      <w:pPr>
        <w:spacing w:before="0" w:after="0" w:line="240" w:lineRule="auto"/>
      </w:pPr>
      <w:r>
        <w:separator/>
      </w:r>
    </w:p>
  </w:endnote>
  <w:endnote w:type="continuationSeparator" w:id="0">
    <w:p w14:paraId="1ED7222A" w14:textId="77777777" w:rsidR="00452156" w:rsidRDefault="0045215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BAA6A" w14:textId="77777777" w:rsidR="006B1811" w:rsidRDefault="004A4AEF">
    <w:pPr>
      <w:pStyle w:val="Footer"/>
      <w:jc w:val="right"/>
    </w:pPr>
    <w:r>
      <w:fldChar w:fldCharType="begin"/>
    </w:r>
    <w:r>
      <w:instrText xml:space="preserve"> PAGE   \* MERGEFORMAT </w:instrText>
    </w:r>
    <w:r>
      <w:fldChar w:fldCharType="separate"/>
    </w:r>
    <w:r>
      <w:t>4</w:t>
    </w:r>
    <w:r>
      <w:fldChar w:fldCharType="end"/>
    </w:r>
  </w:p>
  <w:p w14:paraId="5BC54D91" w14:textId="77777777" w:rsidR="006B1811" w:rsidRDefault="006B1811">
    <w:pPr>
      <w:pStyle w:val="Footer"/>
    </w:pPr>
  </w:p>
  <w:p w14:paraId="3B3DA232" w14:textId="77777777" w:rsidR="006B1811" w:rsidRDefault="006B181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7713E0" w14:textId="77777777" w:rsidR="00452156" w:rsidRDefault="00452156">
      <w:pPr>
        <w:spacing w:before="0" w:after="0" w:line="240" w:lineRule="auto"/>
      </w:pPr>
      <w:r>
        <w:separator/>
      </w:r>
    </w:p>
  </w:footnote>
  <w:footnote w:type="continuationSeparator" w:id="0">
    <w:p w14:paraId="12CC5703" w14:textId="77777777" w:rsidR="00452156" w:rsidRDefault="0045215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83CE1"/>
    <w:multiLevelType w:val="hybridMultilevel"/>
    <w:tmpl w:val="99CE152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3BD3AB5"/>
    <w:multiLevelType w:val="hybridMultilevel"/>
    <w:tmpl w:val="EEA0FC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5073296"/>
    <w:multiLevelType w:val="hybridMultilevel"/>
    <w:tmpl w:val="C7DCCBB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99320E5"/>
    <w:multiLevelType w:val="hybridMultilevel"/>
    <w:tmpl w:val="4044C83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39996397"/>
    <w:multiLevelType w:val="hybridMultilevel"/>
    <w:tmpl w:val="BEAA31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2073C81"/>
    <w:multiLevelType w:val="hybridMultilevel"/>
    <w:tmpl w:val="E38AD2C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5DB24013"/>
    <w:multiLevelType w:val="hybridMultilevel"/>
    <w:tmpl w:val="A1C696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2FC35D1"/>
    <w:multiLevelType w:val="hybridMultilevel"/>
    <w:tmpl w:val="5CCA0B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C4C6F64"/>
    <w:multiLevelType w:val="hybridMultilevel"/>
    <w:tmpl w:val="5CCA0B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8221558">
    <w:abstractNumId w:val="7"/>
  </w:num>
  <w:num w:numId="2" w16cid:durableId="1809929357">
    <w:abstractNumId w:val="8"/>
  </w:num>
  <w:num w:numId="3" w16cid:durableId="1207446191">
    <w:abstractNumId w:val="2"/>
  </w:num>
  <w:num w:numId="4" w16cid:durableId="968323144">
    <w:abstractNumId w:val="4"/>
  </w:num>
  <w:num w:numId="5" w16cid:durableId="1067612109">
    <w:abstractNumId w:val="5"/>
  </w:num>
  <w:num w:numId="6" w16cid:durableId="1926105080">
    <w:abstractNumId w:val="6"/>
  </w:num>
  <w:num w:numId="7" w16cid:durableId="146752797">
    <w:abstractNumId w:val="3"/>
  </w:num>
  <w:num w:numId="8" w16cid:durableId="511838855">
    <w:abstractNumId w:val="0"/>
  </w:num>
  <w:num w:numId="9" w16cid:durableId="8562397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NjA2MLI0NrIwNTU2NzBV0lEKTi0uzszPAykwNK4FAPLp9K8tAAAA"/>
  </w:docVars>
  <w:rsids>
    <w:rsidRoot w:val="006B1811"/>
    <w:rsid w:val="00011E3E"/>
    <w:rsid w:val="00013359"/>
    <w:rsid w:val="000223CF"/>
    <w:rsid w:val="00027E50"/>
    <w:rsid w:val="000349D7"/>
    <w:rsid w:val="00037D09"/>
    <w:rsid w:val="000449DF"/>
    <w:rsid w:val="000631E1"/>
    <w:rsid w:val="00074D74"/>
    <w:rsid w:val="0009233A"/>
    <w:rsid w:val="000A152E"/>
    <w:rsid w:val="000A36B0"/>
    <w:rsid w:val="000F41BA"/>
    <w:rsid w:val="00106A2A"/>
    <w:rsid w:val="00132135"/>
    <w:rsid w:val="00142F02"/>
    <w:rsid w:val="00147851"/>
    <w:rsid w:val="001542AC"/>
    <w:rsid w:val="00154AF5"/>
    <w:rsid w:val="00157981"/>
    <w:rsid w:val="00173DCE"/>
    <w:rsid w:val="001763C0"/>
    <w:rsid w:val="001821AF"/>
    <w:rsid w:val="001845D9"/>
    <w:rsid w:val="001915B7"/>
    <w:rsid w:val="00197FBB"/>
    <w:rsid w:val="001A5F47"/>
    <w:rsid w:val="001B0268"/>
    <w:rsid w:val="001C7E56"/>
    <w:rsid w:val="001D084D"/>
    <w:rsid w:val="001E1E65"/>
    <w:rsid w:val="001E4072"/>
    <w:rsid w:val="001F3605"/>
    <w:rsid w:val="001F39D8"/>
    <w:rsid w:val="00211954"/>
    <w:rsid w:val="00213AE9"/>
    <w:rsid w:val="00224B27"/>
    <w:rsid w:val="00230E88"/>
    <w:rsid w:val="00235E1D"/>
    <w:rsid w:val="00240BFE"/>
    <w:rsid w:val="00256427"/>
    <w:rsid w:val="00256845"/>
    <w:rsid w:val="00281732"/>
    <w:rsid w:val="002865C1"/>
    <w:rsid w:val="002877FF"/>
    <w:rsid w:val="002927C2"/>
    <w:rsid w:val="002A6217"/>
    <w:rsid w:val="002A6439"/>
    <w:rsid w:val="002B555B"/>
    <w:rsid w:val="002C0A5C"/>
    <w:rsid w:val="002D1F58"/>
    <w:rsid w:val="002D3439"/>
    <w:rsid w:val="002E20DB"/>
    <w:rsid w:val="002E3963"/>
    <w:rsid w:val="002E7169"/>
    <w:rsid w:val="002E757C"/>
    <w:rsid w:val="00305806"/>
    <w:rsid w:val="00317D48"/>
    <w:rsid w:val="00326F56"/>
    <w:rsid w:val="00334691"/>
    <w:rsid w:val="00334834"/>
    <w:rsid w:val="003353AC"/>
    <w:rsid w:val="00343E22"/>
    <w:rsid w:val="0037100A"/>
    <w:rsid w:val="00380132"/>
    <w:rsid w:val="00380BC2"/>
    <w:rsid w:val="00385773"/>
    <w:rsid w:val="00397CB3"/>
    <w:rsid w:val="003A02E9"/>
    <w:rsid w:val="003B03B4"/>
    <w:rsid w:val="003B1521"/>
    <w:rsid w:val="003B3722"/>
    <w:rsid w:val="003B7B5C"/>
    <w:rsid w:val="003D1E2A"/>
    <w:rsid w:val="003E01AB"/>
    <w:rsid w:val="003E0982"/>
    <w:rsid w:val="003E1461"/>
    <w:rsid w:val="003E3FEF"/>
    <w:rsid w:val="003F6DC8"/>
    <w:rsid w:val="003F7090"/>
    <w:rsid w:val="00413A2E"/>
    <w:rsid w:val="004161A9"/>
    <w:rsid w:val="00452156"/>
    <w:rsid w:val="00453960"/>
    <w:rsid w:val="00455588"/>
    <w:rsid w:val="0046257F"/>
    <w:rsid w:val="00467447"/>
    <w:rsid w:val="004A66B9"/>
    <w:rsid w:val="004B2DF9"/>
    <w:rsid w:val="004C2186"/>
    <w:rsid w:val="004C2C6E"/>
    <w:rsid w:val="004C479D"/>
    <w:rsid w:val="004C566B"/>
    <w:rsid w:val="004D5F3C"/>
    <w:rsid w:val="004E08B9"/>
    <w:rsid w:val="004E2B47"/>
    <w:rsid w:val="004E58B1"/>
    <w:rsid w:val="00515D9C"/>
    <w:rsid w:val="005335EF"/>
    <w:rsid w:val="0053585C"/>
    <w:rsid w:val="00545718"/>
    <w:rsid w:val="00550D24"/>
    <w:rsid w:val="005742EA"/>
    <w:rsid w:val="00574D70"/>
    <w:rsid w:val="00576948"/>
    <w:rsid w:val="00581051"/>
    <w:rsid w:val="0058348F"/>
    <w:rsid w:val="00593661"/>
    <w:rsid w:val="005B51AE"/>
    <w:rsid w:val="005D36C8"/>
    <w:rsid w:val="005E4AE8"/>
    <w:rsid w:val="005F485C"/>
    <w:rsid w:val="0060081B"/>
    <w:rsid w:val="00601CA5"/>
    <w:rsid w:val="00613456"/>
    <w:rsid w:val="00615A1D"/>
    <w:rsid w:val="00622DE5"/>
    <w:rsid w:val="006439C1"/>
    <w:rsid w:val="00645D1D"/>
    <w:rsid w:val="00652222"/>
    <w:rsid w:val="00661EB5"/>
    <w:rsid w:val="00665B1D"/>
    <w:rsid w:val="00680276"/>
    <w:rsid w:val="006A5EA1"/>
    <w:rsid w:val="006B1811"/>
    <w:rsid w:val="006B2F55"/>
    <w:rsid w:val="006C617A"/>
    <w:rsid w:val="006D751F"/>
    <w:rsid w:val="006E5B5A"/>
    <w:rsid w:val="00700EE2"/>
    <w:rsid w:val="00706092"/>
    <w:rsid w:val="00706302"/>
    <w:rsid w:val="00717F8D"/>
    <w:rsid w:val="007518C9"/>
    <w:rsid w:val="00771D3C"/>
    <w:rsid w:val="007B4DA4"/>
    <w:rsid w:val="007B67BF"/>
    <w:rsid w:val="007C616B"/>
    <w:rsid w:val="007D208D"/>
    <w:rsid w:val="007F67F4"/>
    <w:rsid w:val="008066D1"/>
    <w:rsid w:val="00816C94"/>
    <w:rsid w:val="00833D97"/>
    <w:rsid w:val="0084726D"/>
    <w:rsid w:val="0085482F"/>
    <w:rsid w:val="00860897"/>
    <w:rsid w:val="0086651D"/>
    <w:rsid w:val="00895A90"/>
    <w:rsid w:val="0089740C"/>
    <w:rsid w:val="008A3415"/>
    <w:rsid w:val="008A6D1A"/>
    <w:rsid w:val="008B7221"/>
    <w:rsid w:val="008B73EB"/>
    <w:rsid w:val="008D1DD4"/>
    <w:rsid w:val="008E2BA6"/>
    <w:rsid w:val="008E58EB"/>
    <w:rsid w:val="008F3EF6"/>
    <w:rsid w:val="00904388"/>
    <w:rsid w:val="009078BB"/>
    <w:rsid w:val="00927C97"/>
    <w:rsid w:val="00956CB6"/>
    <w:rsid w:val="00960DC4"/>
    <w:rsid w:val="0097711C"/>
    <w:rsid w:val="00980EAF"/>
    <w:rsid w:val="009825F1"/>
    <w:rsid w:val="00982F3C"/>
    <w:rsid w:val="0099769E"/>
    <w:rsid w:val="009B2B72"/>
    <w:rsid w:val="009D70F6"/>
    <w:rsid w:val="009E20C4"/>
    <w:rsid w:val="009E68C9"/>
    <w:rsid w:val="009E7FF7"/>
    <w:rsid w:val="009F6DE5"/>
    <w:rsid w:val="009F7627"/>
    <w:rsid w:val="00A06D21"/>
    <w:rsid w:val="00A12658"/>
    <w:rsid w:val="00A20556"/>
    <w:rsid w:val="00A21D6F"/>
    <w:rsid w:val="00A23BCD"/>
    <w:rsid w:val="00A31718"/>
    <w:rsid w:val="00A54155"/>
    <w:rsid w:val="00A55420"/>
    <w:rsid w:val="00A77F69"/>
    <w:rsid w:val="00A86CEF"/>
    <w:rsid w:val="00A91A4A"/>
    <w:rsid w:val="00AA6341"/>
    <w:rsid w:val="00AB3DFE"/>
    <w:rsid w:val="00AB4BC4"/>
    <w:rsid w:val="00AB7D9A"/>
    <w:rsid w:val="00AC58EA"/>
    <w:rsid w:val="00AC65D6"/>
    <w:rsid w:val="00AD0EA1"/>
    <w:rsid w:val="00AD337F"/>
    <w:rsid w:val="00AF71C4"/>
    <w:rsid w:val="00B05B8D"/>
    <w:rsid w:val="00B136D6"/>
    <w:rsid w:val="00B136DC"/>
    <w:rsid w:val="00B20F60"/>
    <w:rsid w:val="00B2143F"/>
    <w:rsid w:val="00B230D3"/>
    <w:rsid w:val="00B26876"/>
    <w:rsid w:val="00B27454"/>
    <w:rsid w:val="00B359C3"/>
    <w:rsid w:val="00B42138"/>
    <w:rsid w:val="00B44E0B"/>
    <w:rsid w:val="00B4766B"/>
    <w:rsid w:val="00B4782B"/>
    <w:rsid w:val="00B47990"/>
    <w:rsid w:val="00B6060D"/>
    <w:rsid w:val="00B65E18"/>
    <w:rsid w:val="00B6788C"/>
    <w:rsid w:val="00B83905"/>
    <w:rsid w:val="00B848B0"/>
    <w:rsid w:val="00BB1953"/>
    <w:rsid w:val="00BC0623"/>
    <w:rsid w:val="00BD2AE6"/>
    <w:rsid w:val="00BD7825"/>
    <w:rsid w:val="00BE760F"/>
    <w:rsid w:val="00C002DA"/>
    <w:rsid w:val="00C017F0"/>
    <w:rsid w:val="00C12E26"/>
    <w:rsid w:val="00C20A92"/>
    <w:rsid w:val="00C30CAB"/>
    <w:rsid w:val="00C362FB"/>
    <w:rsid w:val="00C3776D"/>
    <w:rsid w:val="00C45650"/>
    <w:rsid w:val="00C62BFF"/>
    <w:rsid w:val="00C967A2"/>
    <w:rsid w:val="00CA07DF"/>
    <w:rsid w:val="00CA1142"/>
    <w:rsid w:val="00CA1248"/>
    <w:rsid w:val="00CA4B90"/>
    <w:rsid w:val="00CC5CB1"/>
    <w:rsid w:val="00CD07B5"/>
    <w:rsid w:val="00CD3B5F"/>
    <w:rsid w:val="00CE00C3"/>
    <w:rsid w:val="00CE3136"/>
    <w:rsid w:val="00CE4C03"/>
    <w:rsid w:val="00CE5F07"/>
    <w:rsid w:val="00CE6444"/>
    <w:rsid w:val="00D007A5"/>
    <w:rsid w:val="00D11DF9"/>
    <w:rsid w:val="00D1249E"/>
    <w:rsid w:val="00D321A3"/>
    <w:rsid w:val="00D443BA"/>
    <w:rsid w:val="00D602F9"/>
    <w:rsid w:val="00D6462A"/>
    <w:rsid w:val="00D804B4"/>
    <w:rsid w:val="00D8087B"/>
    <w:rsid w:val="00D83F8B"/>
    <w:rsid w:val="00D854D0"/>
    <w:rsid w:val="00D91BEB"/>
    <w:rsid w:val="00D9232B"/>
    <w:rsid w:val="00DA13EE"/>
    <w:rsid w:val="00DA6EF6"/>
    <w:rsid w:val="00DA7485"/>
    <w:rsid w:val="00DB11D7"/>
    <w:rsid w:val="00DC1DBF"/>
    <w:rsid w:val="00DC5BEF"/>
    <w:rsid w:val="00DD0840"/>
    <w:rsid w:val="00DE0EF1"/>
    <w:rsid w:val="00DF06BF"/>
    <w:rsid w:val="00E2071D"/>
    <w:rsid w:val="00E219C2"/>
    <w:rsid w:val="00E24B32"/>
    <w:rsid w:val="00E254FC"/>
    <w:rsid w:val="00E26A23"/>
    <w:rsid w:val="00E40700"/>
    <w:rsid w:val="00E5002B"/>
    <w:rsid w:val="00E516EE"/>
    <w:rsid w:val="00E5349A"/>
    <w:rsid w:val="00E719C2"/>
    <w:rsid w:val="00E76179"/>
    <w:rsid w:val="00E95EC1"/>
    <w:rsid w:val="00EA4618"/>
    <w:rsid w:val="00EB2DC9"/>
    <w:rsid w:val="00EB2FA3"/>
    <w:rsid w:val="00EC4BF9"/>
    <w:rsid w:val="00ED0879"/>
    <w:rsid w:val="00ED6AC4"/>
    <w:rsid w:val="00EE5E64"/>
    <w:rsid w:val="00EF207B"/>
    <w:rsid w:val="00F01583"/>
    <w:rsid w:val="00F05CB2"/>
    <w:rsid w:val="00F177C8"/>
    <w:rsid w:val="00F21EA1"/>
    <w:rsid w:val="00F22D48"/>
    <w:rsid w:val="00F35757"/>
    <w:rsid w:val="00F5121F"/>
    <w:rsid w:val="00F55E36"/>
    <w:rsid w:val="00F64075"/>
    <w:rsid w:val="00F8156F"/>
    <w:rsid w:val="00F857FD"/>
    <w:rsid w:val="00F93431"/>
    <w:rsid w:val="00F937F7"/>
    <w:rsid w:val="00FA62BA"/>
    <w:rsid w:val="00FB1488"/>
    <w:rsid w:val="00FC215B"/>
    <w:rsid w:val="00FC5D82"/>
    <w:rsid w:val="00FD0731"/>
    <w:rsid w:val="00FD189C"/>
    <w:rsid w:val="00FD21C9"/>
    <w:rsid w:val="00FD2BFE"/>
    <w:rsid w:val="00FE1E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6D254F"/>
  <w15:docId w15:val="{63B64758-8824-4463-97C2-F1D922A11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Arial"/>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45D9"/>
    <w:pPr>
      <w:spacing w:before="120" w:after="120" w:line="360" w:lineRule="auto"/>
      <w:jc w:val="both"/>
    </w:pPr>
    <w:rPr>
      <w:lang w:val="en-GB"/>
    </w:rPr>
  </w:style>
  <w:style w:type="paragraph" w:styleId="Heading1">
    <w:name w:val="heading 1"/>
    <w:basedOn w:val="Normal"/>
    <w:next w:val="Normal"/>
    <w:link w:val="Heading1Char"/>
    <w:uiPriority w:val="9"/>
    <w:qFormat/>
    <w:pPr>
      <w:keepNext/>
      <w:keepLines/>
      <w:spacing w:before="240" w:after="0"/>
      <w:jc w:val="center"/>
      <w:outlineLvl w:val="0"/>
    </w:pPr>
    <w:rPr>
      <w:rFonts w:eastAsia="SimSun" w:cs="Times New Roman"/>
      <w:b/>
      <w:sz w:val="44"/>
      <w:szCs w:val="32"/>
    </w:rPr>
  </w:style>
  <w:style w:type="paragraph" w:styleId="Heading2">
    <w:name w:val="heading 2"/>
    <w:basedOn w:val="Normal"/>
    <w:next w:val="Normal"/>
    <w:link w:val="Heading2Char"/>
    <w:uiPriority w:val="9"/>
    <w:unhideWhenUsed/>
    <w:qFormat/>
    <w:rsid w:val="009E20C4"/>
    <w:pPr>
      <w:keepNext/>
      <w:keepLines/>
      <w:spacing w:before="40" w:after="0"/>
      <w:outlineLvl w:val="1"/>
    </w:pPr>
    <w:rPr>
      <w:rFonts w:eastAsia="SimSun" w:cs="Times New Roman"/>
      <w:b/>
      <w:sz w:val="32"/>
      <w:szCs w:val="26"/>
    </w:rPr>
  </w:style>
  <w:style w:type="paragraph" w:styleId="Heading3">
    <w:name w:val="heading 3"/>
    <w:basedOn w:val="Normal"/>
    <w:next w:val="Normal"/>
    <w:link w:val="Heading3Char"/>
    <w:uiPriority w:val="9"/>
    <w:unhideWhenUsed/>
    <w:qFormat/>
    <w:pPr>
      <w:keepNext/>
      <w:keepLines/>
      <w:spacing w:before="40" w:after="0"/>
      <w:outlineLvl w:val="2"/>
    </w:pPr>
    <w:rPr>
      <w:rFonts w:eastAsia="SimSun" w:cs="Times New Roman"/>
      <w:b/>
      <w:szCs w:val="24"/>
    </w:rPr>
  </w:style>
  <w:style w:type="paragraph" w:styleId="Heading4">
    <w:name w:val="heading 4"/>
    <w:basedOn w:val="Normal"/>
    <w:next w:val="Normal"/>
    <w:link w:val="Heading4Char"/>
    <w:uiPriority w:val="9"/>
    <w:semiHidden/>
    <w:unhideWhenUsed/>
    <w:qFormat/>
    <w:pPr>
      <w:keepNext/>
      <w:keepLines/>
      <w:spacing w:before="40" w:after="0"/>
      <w:outlineLvl w:val="3"/>
    </w:pPr>
    <w:rPr>
      <w:rFonts w:eastAsia="SimSun" w:cs="Times New Roman"/>
      <w:i/>
      <w:iCs/>
      <w:color w:val="2F5496"/>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Calibri Light" w:eastAsia="SimSun" w:hAnsi="Calibri Light" w:cs="Times New Roman"/>
      <w:color w:val="2F5496"/>
    </w:rPr>
  </w:style>
  <w:style w:type="paragraph" w:styleId="Heading6">
    <w:name w:val="heading 6"/>
    <w:basedOn w:val="Normal"/>
    <w:next w:val="Normal"/>
    <w:link w:val="Heading6Char"/>
    <w:uiPriority w:val="9"/>
    <w:semiHidden/>
    <w:unhideWhenUsed/>
    <w:qFormat/>
    <w:pPr>
      <w:keepNext/>
      <w:keepLines/>
      <w:spacing w:before="40" w:after="0"/>
      <w:outlineLvl w:val="5"/>
    </w:pPr>
    <w:rPr>
      <w:rFonts w:ascii="Calibri Light" w:eastAsia="SimSun" w:hAnsi="Calibri Light" w:cs="Times New Roman"/>
      <w:color w:val="1F3763"/>
    </w:rPr>
  </w:style>
  <w:style w:type="paragraph" w:styleId="Heading7">
    <w:name w:val="heading 7"/>
    <w:basedOn w:val="Normal"/>
    <w:next w:val="Normal"/>
    <w:link w:val="Heading7Char"/>
    <w:uiPriority w:val="9"/>
    <w:qFormat/>
    <w:pPr>
      <w:keepNext/>
      <w:keepLines/>
      <w:spacing w:before="40" w:after="0"/>
      <w:outlineLvl w:val="6"/>
    </w:pPr>
    <w:rPr>
      <w:rFonts w:ascii="Calibri Light" w:eastAsia="SimSun" w:hAnsi="Calibri Light" w:cs="Times New Roman"/>
      <w:i/>
      <w:iCs/>
      <w:color w:val="1F376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eastAsia="SimSun" w:cs="Times New Roman"/>
      <w:b/>
      <w:sz w:val="44"/>
      <w:szCs w:val="32"/>
      <w:lang w:val="en-GB"/>
    </w:rPr>
  </w:style>
  <w:style w:type="character" w:customStyle="1" w:styleId="Heading2Char">
    <w:name w:val="Heading 2 Char"/>
    <w:basedOn w:val="DefaultParagraphFont"/>
    <w:link w:val="Heading2"/>
    <w:uiPriority w:val="9"/>
    <w:rsid w:val="009E20C4"/>
    <w:rPr>
      <w:rFonts w:ascii="Arial" w:eastAsia="SimSun" w:hAnsi="Arial" w:cs="Times New Roman"/>
      <w:b/>
      <w:sz w:val="32"/>
      <w:szCs w:val="26"/>
      <w:lang w:val="en-GB"/>
    </w:rPr>
  </w:style>
  <w:style w:type="table" w:styleId="TableGrid">
    <w:name w:val="Table Grid"/>
    <w:basedOn w:val="TableNormal"/>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qFormat/>
    <w:pPr>
      <w:spacing w:before="0" w:after="200" w:line="240" w:lineRule="auto"/>
    </w:pPr>
    <w:rPr>
      <w:i/>
      <w:iCs/>
      <w:color w:val="44546A"/>
      <w:sz w:val="18"/>
      <w:szCs w:val="18"/>
    </w:rPr>
  </w:style>
  <w:style w:type="paragraph" w:styleId="ListParagraph">
    <w:name w:val="List Paragraph"/>
    <w:basedOn w:val="Normal"/>
    <w:uiPriority w:val="34"/>
    <w:qFormat/>
    <w:pPr>
      <w:ind w:left="720"/>
      <w:contextualSpacing/>
    </w:pPr>
  </w:style>
  <w:style w:type="paragraph" w:styleId="Footer">
    <w:name w:val="footer"/>
    <w:basedOn w:val="Normal"/>
    <w:link w:val="FooterChar"/>
    <w:pPr>
      <w:tabs>
        <w:tab w:val="center" w:pos="4680"/>
        <w:tab w:val="right" w:pos="9360"/>
      </w:tabs>
      <w:spacing w:before="0" w:after="0" w:line="240" w:lineRule="auto"/>
    </w:pPr>
  </w:style>
  <w:style w:type="character" w:customStyle="1" w:styleId="FooterChar">
    <w:name w:val="Footer Char"/>
    <w:basedOn w:val="DefaultParagraphFont"/>
    <w:link w:val="Footer"/>
    <w:rPr>
      <w:rFonts w:ascii="Arial" w:hAnsi="Arial"/>
    </w:rPr>
  </w:style>
  <w:style w:type="paragraph" w:styleId="Bibliography">
    <w:name w:val="Bibliography"/>
    <w:basedOn w:val="Normal"/>
    <w:next w:val="Normal"/>
    <w:uiPriority w:val="37"/>
  </w:style>
  <w:style w:type="paragraph" w:styleId="TOCHeading">
    <w:name w:val="TOC Heading"/>
    <w:basedOn w:val="Heading1"/>
    <w:next w:val="Normal"/>
    <w:uiPriority w:val="39"/>
    <w:qFormat/>
    <w:pPr>
      <w:jc w:val="left"/>
      <w:outlineLvl w:val="9"/>
    </w:pPr>
    <w:rPr>
      <w:rFonts w:ascii="Calibri Light" w:hAnsi="Calibri Light"/>
      <w:b w:val="0"/>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40"/>
    </w:pPr>
  </w:style>
  <w:style w:type="character" w:styleId="Hyperlink">
    <w:name w:val="Hyperlink"/>
    <w:basedOn w:val="DefaultParagraphFont"/>
    <w:uiPriority w:val="99"/>
    <w:rPr>
      <w:color w:val="0563C1"/>
      <w:u w:val="single"/>
    </w:rPr>
  </w:style>
  <w:style w:type="paragraph" w:styleId="NormalWeb">
    <w:name w:val="Normal (Web)"/>
    <w:basedOn w:val="Normal"/>
    <w:uiPriority w:val="99"/>
    <w:pPr>
      <w:spacing w:before="100" w:beforeAutospacing="1" w:after="100" w:afterAutospacing="1" w:line="240" w:lineRule="auto"/>
      <w:jc w:val="left"/>
    </w:pPr>
    <w:rPr>
      <w:rFonts w:eastAsia="Times New Roman" w:cs="Times New Roman"/>
      <w:szCs w:val="24"/>
    </w:rPr>
  </w:style>
  <w:style w:type="paragraph" w:styleId="Header">
    <w:name w:val="header"/>
    <w:basedOn w:val="Normal"/>
    <w:link w:val="HeaderChar"/>
    <w:uiPriority w:val="99"/>
    <w:pPr>
      <w:tabs>
        <w:tab w:val="center" w:pos="4680"/>
        <w:tab w:val="right" w:pos="9360"/>
      </w:tabs>
      <w:spacing w:before="0" w:after="0" w:line="240" w:lineRule="auto"/>
    </w:pPr>
  </w:style>
  <w:style w:type="character" w:customStyle="1" w:styleId="HeaderChar">
    <w:name w:val="Header Char"/>
    <w:basedOn w:val="DefaultParagraphFont"/>
    <w:link w:val="Header"/>
    <w:uiPriority w:val="99"/>
    <w:rPr>
      <w:rFonts w:ascii="Arial" w:hAnsi="Arial"/>
    </w:rPr>
  </w:style>
  <w:style w:type="character" w:customStyle="1" w:styleId="Heading3Char">
    <w:name w:val="Heading 3 Char"/>
    <w:basedOn w:val="DefaultParagraphFont"/>
    <w:link w:val="Heading3"/>
    <w:uiPriority w:val="9"/>
    <w:rPr>
      <w:rFonts w:ascii="Arial" w:eastAsia="SimSun" w:hAnsi="Arial" w:cs="Times New Roman"/>
      <w:b/>
      <w:sz w:val="22"/>
      <w:szCs w:val="24"/>
      <w:lang w:val="en-GB"/>
    </w:rPr>
  </w:style>
  <w:style w:type="paragraph" w:styleId="TOC3">
    <w:name w:val="toc 3"/>
    <w:basedOn w:val="Normal"/>
    <w:next w:val="Normal"/>
    <w:uiPriority w:val="39"/>
    <w:pPr>
      <w:spacing w:after="100"/>
      <w:ind w:left="480"/>
    </w:pPr>
  </w:style>
  <w:style w:type="character" w:customStyle="1" w:styleId="Heading4Char">
    <w:name w:val="Heading 4 Char"/>
    <w:basedOn w:val="DefaultParagraphFont"/>
    <w:link w:val="Heading4"/>
    <w:uiPriority w:val="9"/>
    <w:rPr>
      <w:rFonts w:eastAsia="SimSun" w:cs="Times New Roman"/>
      <w:i/>
      <w:iCs/>
      <w:color w:val="2F5496"/>
      <w:lang w:val="en-GB"/>
    </w:rPr>
  </w:style>
  <w:style w:type="character" w:customStyle="1" w:styleId="Heading5Char">
    <w:name w:val="Heading 5 Char"/>
    <w:basedOn w:val="DefaultParagraphFont"/>
    <w:link w:val="Heading5"/>
    <w:uiPriority w:val="9"/>
    <w:rPr>
      <w:rFonts w:ascii="Calibri Light" w:eastAsia="SimSun" w:hAnsi="Calibri Light" w:cs="Times New Roman"/>
      <w:color w:val="2F5496"/>
    </w:rPr>
  </w:style>
  <w:style w:type="table" w:customStyle="1" w:styleId="TableGrid1">
    <w:name w:val="Table Grid1"/>
    <w:basedOn w:val="TableNormal"/>
    <w:next w:val="TableGrid"/>
    <w:uiPriority w:val="59"/>
    <w:pPr>
      <w:spacing w:after="0" w:line="240" w:lineRule="auto"/>
    </w:pPr>
    <w:rPr>
      <w:rFonts w:ascii="Calibri" w:hAnsi="Calibri"/>
      <w:sz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Pr>
      <w:b/>
      <w:bCs/>
    </w:rPr>
  </w:style>
  <w:style w:type="paragraph" w:styleId="BodyText">
    <w:name w:val="Body Text"/>
    <w:basedOn w:val="Normal"/>
    <w:link w:val="BodyTextChar"/>
    <w:uiPriority w:val="99"/>
  </w:style>
  <w:style w:type="character" w:customStyle="1" w:styleId="BodyTextChar">
    <w:name w:val="Body Text Char"/>
    <w:basedOn w:val="DefaultParagraphFont"/>
    <w:link w:val="BodyText"/>
    <w:uiPriority w:val="99"/>
    <w:rPr>
      <w:rFonts w:ascii="Arial" w:hAnsi="Arial"/>
    </w:rPr>
  </w:style>
  <w:style w:type="paragraph" w:customStyle="1" w:styleId="TableParagraph">
    <w:name w:val="Table Paragraph"/>
    <w:basedOn w:val="Normal"/>
    <w:uiPriority w:val="1"/>
    <w:pPr>
      <w:widowControl w:val="0"/>
      <w:autoSpaceDE w:val="0"/>
      <w:autoSpaceDN w:val="0"/>
      <w:spacing w:before="0" w:after="0" w:line="240" w:lineRule="auto"/>
      <w:ind w:left="107"/>
      <w:jc w:val="left"/>
    </w:pPr>
    <w:rPr>
      <w:rFonts w:eastAsia="Times New Roman" w:cs="Times New Roman"/>
      <w:lang w:bidi="en-US"/>
    </w:rPr>
  </w:style>
  <w:style w:type="paragraph" w:customStyle="1" w:styleId="Default">
    <w:name w:val="Default"/>
    <w:pPr>
      <w:autoSpaceDE w:val="0"/>
      <w:autoSpaceDN w:val="0"/>
      <w:adjustRightInd w:val="0"/>
      <w:spacing w:after="0" w:line="240" w:lineRule="auto"/>
    </w:pPr>
    <w:rPr>
      <w:rFonts w:cs="Times New Roman"/>
      <w:color w:val="000000"/>
      <w:szCs w:val="24"/>
      <w:lang w:val="en-GB"/>
    </w:rPr>
  </w:style>
  <w:style w:type="character" w:customStyle="1" w:styleId="UnresolvedMention1">
    <w:name w:val="Unresolved Mention1"/>
    <w:basedOn w:val="DefaultParagraphFont"/>
    <w:uiPriority w:val="99"/>
    <w:rPr>
      <w:color w:val="605E5C"/>
      <w:shd w:val="clear" w:color="auto" w:fill="E1DFDD"/>
    </w:rPr>
  </w:style>
  <w:style w:type="table" w:customStyle="1" w:styleId="GridTable5Dark-Accent21">
    <w:name w:val="Grid Table 5 Dark - Accent 21"/>
    <w:basedOn w:val="TableNormal"/>
    <w:uiPriority w:val="50"/>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BE4D5"/>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table" w:customStyle="1" w:styleId="GridTable5Dark-Accent41">
    <w:name w:val="Grid Table 5 Dark - Accent 41"/>
    <w:basedOn w:val="TableNormal"/>
    <w:uiPriority w:val="50"/>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FF2CC"/>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customStyle="1" w:styleId="TableGrid2">
    <w:name w:val="Table Grid2"/>
    <w:basedOn w:val="TableNormal"/>
    <w:next w:val="TableGrid"/>
    <w:uiPriority w:val="3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rPr>
      <w:color w:val="808080"/>
    </w:rPr>
  </w:style>
  <w:style w:type="character" w:customStyle="1" w:styleId="wknlkopnr">
    <w:name w:val="wknl_kopnr"/>
    <w:basedOn w:val="DefaultParagraphFont"/>
  </w:style>
  <w:style w:type="character" w:styleId="Emphasis">
    <w:name w:val="Emphasis"/>
    <w:basedOn w:val="DefaultParagraphFont"/>
    <w:uiPriority w:val="20"/>
    <w:qFormat/>
    <w:rPr>
      <w:i/>
      <w:iCs/>
    </w:rPr>
  </w:style>
  <w:style w:type="paragraph" w:customStyle="1" w:styleId="hl">
    <w:name w:val="hl"/>
    <w:basedOn w:val="Normal"/>
    <w:pPr>
      <w:spacing w:before="100" w:beforeAutospacing="1" w:after="100" w:afterAutospacing="1" w:line="240" w:lineRule="auto"/>
      <w:jc w:val="left"/>
    </w:pPr>
    <w:rPr>
      <w:rFonts w:eastAsia="Times New Roman" w:cs="Times New Roman"/>
      <w:szCs w:val="24"/>
      <w:lang w:val="en-US"/>
    </w:rPr>
  </w:style>
  <w:style w:type="paragraph" w:customStyle="1" w:styleId="comp">
    <w:name w:val="comp"/>
    <w:basedOn w:val="Normal"/>
    <w:pPr>
      <w:spacing w:before="100" w:beforeAutospacing="1" w:after="100" w:afterAutospacing="1" w:line="240" w:lineRule="auto"/>
      <w:jc w:val="left"/>
    </w:pPr>
    <w:rPr>
      <w:rFonts w:eastAsia="Times New Roman" w:cs="Times New Roman"/>
      <w:szCs w:val="24"/>
      <w:lang w:val="en-US"/>
    </w:rPr>
  </w:style>
  <w:style w:type="character" w:customStyle="1" w:styleId="mntl-inline-citation">
    <w:name w:val="mntl-inline-citation"/>
    <w:basedOn w:val="DefaultParagraphFont"/>
  </w:style>
  <w:style w:type="paragraph" w:customStyle="1" w:styleId="trt0xe">
    <w:name w:val="trt0xe"/>
    <w:basedOn w:val="Normal"/>
    <w:pPr>
      <w:spacing w:before="100" w:beforeAutospacing="1" w:after="100" w:afterAutospacing="1" w:line="240" w:lineRule="auto"/>
      <w:jc w:val="left"/>
    </w:pPr>
    <w:rPr>
      <w:rFonts w:eastAsia="Times New Roman" w:cs="Times New Roman"/>
      <w:szCs w:val="24"/>
      <w:lang w:val="en-US"/>
    </w:rPr>
  </w:style>
  <w:style w:type="paragraph" w:customStyle="1" w:styleId="styles-module--contentsection--qwyk">
    <w:name w:val="styles-module--contentsection--_qwyk"/>
    <w:basedOn w:val="Normal"/>
    <w:pPr>
      <w:spacing w:before="100" w:beforeAutospacing="1" w:after="100" w:afterAutospacing="1" w:line="240" w:lineRule="auto"/>
      <w:jc w:val="left"/>
    </w:pPr>
    <w:rPr>
      <w:rFonts w:eastAsia="Times New Roman" w:cs="Times New Roman"/>
      <w:szCs w:val="24"/>
      <w:lang w:val="en-US"/>
    </w:rPr>
  </w:style>
  <w:style w:type="table" w:customStyle="1" w:styleId="GridTable4-Accent61">
    <w:name w:val="Grid Table 4 - Accent 61"/>
    <w:basedOn w:val="TableNormal"/>
    <w:uiPriority w:val="49"/>
    <w:pPr>
      <w:spacing w:after="0" w:line="240" w:lineRule="auto"/>
    </w:p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customStyle="1" w:styleId="thrv-styled-list-item">
    <w:name w:val="thrv-styled-list-item"/>
    <w:basedOn w:val="Normal"/>
    <w:pPr>
      <w:spacing w:before="100" w:beforeAutospacing="1" w:after="100" w:afterAutospacing="1" w:line="240" w:lineRule="auto"/>
      <w:jc w:val="left"/>
    </w:pPr>
    <w:rPr>
      <w:rFonts w:eastAsia="Times New Roman" w:cs="Times New Roman"/>
      <w:szCs w:val="24"/>
      <w:lang w:val="en-US"/>
    </w:rPr>
  </w:style>
  <w:style w:type="character" w:customStyle="1" w:styleId="thrv-advanced-inline-text">
    <w:name w:val="thrv-advanced-inline-text"/>
    <w:basedOn w:val="DefaultParagraphFont"/>
  </w:style>
  <w:style w:type="paragraph" w:customStyle="1" w:styleId="iu">
    <w:name w:val="iu"/>
    <w:basedOn w:val="Normal"/>
    <w:pPr>
      <w:spacing w:before="100" w:beforeAutospacing="1" w:after="100" w:afterAutospacing="1" w:line="240" w:lineRule="auto"/>
      <w:jc w:val="left"/>
    </w:pPr>
    <w:rPr>
      <w:rFonts w:eastAsia="Times New Roman" w:cs="Times New Roman"/>
      <w:szCs w:val="24"/>
      <w:lang w:val="en-US"/>
    </w:rPr>
  </w:style>
  <w:style w:type="character" w:customStyle="1" w:styleId="quote-style">
    <w:name w:val="quote-style"/>
    <w:basedOn w:val="DefaultParagraphFont"/>
  </w:style>
  <w:style w:type="character" w:customStyle="1" w:styleId="Heading7Char">
    <w:name w:val="Heading 7 Char"/>
    <w:basedOn w:val="DefaultParagraphFont"/>
    <w:link w:val="Heading7"/>
    <w:uiPriority w:val="9"/>
    <w:rPr>
      <w:rFonts w:ascii="Calibri Light" w:eastAsia="SimSun" w:hAnsi="Calibri Light" w:cs="Times New Roman"/>
      <w:i/>
      <w:iCs/>
      <w:color w:val="1F3763"/>
      <w:lang w:val="en-GB"/>
    </w:rPr>
  </w:style>
  <w:style w:type="character" w:customStyle="1" w:styleId="websearch-marked">
    <w:name w:val="web_search-marked"/>
    <w:basedOn w:val="DefaultParagraphFont"/>
  </w:style>
  <w:style w:type="paragraph" w:customStyle="1" w:styleId="phrase">
    <w:name w:val="phrase"/>
    <w:basedOn w:val="Normal"/>
    <w:pPr>
      <w:spacing w:before="100" w:beforeAutospacing="1" w:after="100" w:afterAutospacing="1" w:line="240" w:lineRule="auto"/>
      <w:jc w:val="left"/>
    </w:pPr>
    <w:rPr>
      <w:rFonts w:eastAsia="Times New Roman" w:cs="Times New Roman"/>
      <w:szCs w:val="24"/>
      <w:lang w:val="en-US"/>
    </w:rPr>
  </w:style>
  <w:style w:type="paragraph" w:customStyle="1" w:styleId="p1">
    <w:name w:val="p1"/>
    <w:basedOn w:val="Normal"/>
    <w:pPr>
      <w:spacing w:before="100" w:beforeAutospacing="1" w:after="100" w:afterAutospacing="1" w:line="240" w:lineRule="auto"/>
      <w:jc w:val="left"/>
    </w:pPr>
    <w:rPr>
      <w:rFonts w:eastAsia="Times New Roman" w:cs="Times New Roman"/>
      <w:szCs w:val="24"/>
      <w:lang w:val="en-US"/>
    </w:rPr>
  </w:style>
  <w:style w:type="character" w:customStyle="1" w:styleId="s1">
    <w:name w:val="s1"/>
    <w:basedOn w:val="DefaultParagraphFont"/>
  </w:style>
  <w:style w:type="character" w:customStyle="1" w:styleId="blast">
    <w:name w:val="blast"/>
    <w:basedOn w:val="DefaultParagraphFont"/>
  </w:style>
  <w:style w:type="paragraph" w:customStyle="1" w:styleId="mmthere">
    <w:name w:val="mmthere"/>
    <w:basedOn w:val="Normal"/>
    <w:pPr>
      <w:spacing w:before="100" w:beforeAutospacing="1" w:after="100" w:afterAutospacing="1" w:line="240" w:lineRule="auto"/>
      <w:jc w:val="left"/>
    </w:pPr>
    <w:rPr>
      <w:rFonts w:eastAsia="Times New Roman" w:cs="Times New Roman"/>
      <w:szCs w:val="24"/>
      <w:lang w:val="en-US"/>
    </w:rPr>
  </w:style>
  <w:style w:type="table" w:customStyle="1" w:styleId="TableGrid3">
    <w:name w:val="Table Grid3"/>
    <w:basedOn w:val="TableNormal"/>
    <w:next w:val="TableGrid"/>
    <w:uiPriority w:val="39"/>
    <w:pPr>
      <w:spacing w:after="0" w:line="240" w:lineRule="auto"/>
    </w:pPr>
    <w:rPr>
      <w:rFonts w:ascii="Calibri" w:hAnsi="Calibri"/>
      <w:sz w:val="22"/>
      <w:lang w:val="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pPr>
      <w:spacing w:after="0" w:line="240" w:lineRule="auto"/>
    </w:pPr>
    <w:rPr>
      <w:rFonts w:ascii="Calibri" w:hAnsi="Calibri"/>
      <w:sz w:val="22"/>
      <w:lang w:val="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pPr>
      <w:spacing w:after="0" w:line="240" w:lineRule="auto"/>
    </w:pPr>
    <w:rPr>
      <w:rFonts w:ascii="Calibri" w:hAnsi="Calibri"/>
      <w:sz w:val="22"/>
      <w:lang w:val="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pPr>
      <w:spacing w:after="0"/>
    </w:pPr>
  </w:style>
  <w:style w:type="paragraph" w:customStyle="1" w:styleId="dcr-1wj398p">
    <w:name w:val="dcr-1wj398p"/>
    <w:basedOn w:val="Normal"/>
    <w:pPr>
      <w:spacing w:before="100" w:beforeAutospacing="1" w:after="100" w:afterAutospacing="1" w:line="240" w:lineRule="auto"/>
      <w:jc w:val="left"/>
    </w:pPr>
    <w:rPr>
      <w:rFonts w:eastAsia="Times New Roman" w:cs="Times New Roman"/>
      <w:szCs w:val="24"/>
      <w:lang w:val="en-US"/>
    </w:rPr>
  </w:style>
  <w:style w:type="character" w:customStyle="1" w:styleId="hgkelc">
    <w:name w:val="hgkelc"/>
    <w:basedOn w:val="DefaultParagraphFont"/>
  </w:style>
  <w:style w:type="character" w:customStyle="1" w:styleId="w8qarf">
    <w:name w:val="w8qarf"/>
    <w:basedOn w:val="DefaultParagraphFont"/>
  </w:style>
  <w:style w:type="character" w:customStyle="1" w:styleId="lrzxr">
    <w:name w:val="lrzxr"/>
    <w:basedOn w:val="DefaultParagraphFont"/>
  </w:style>
  <w:style w:type="character" w:customStyle="1" w:styleId="hs-cta-node">
    <w:name w:val="hs-cta-node"/>
    <w:basedOn w:val="DefaultParagraphFont"/>
  </w:style>
  <w:style w:type="character" w:customStyle="1" w:styleId="Heading6Char">
    <w:name w:val="Heading 6 Char"/>
    <w:basedOn w:val="DefaultParagraphFont"/>
    <w:link w:val="Heading6"/>
    <w:uiPriority w:val="9"/>
    <w:rPr>
      <w:rFonts w:ascii="Calibri Light" w:eastAsia="SimSun" w:hAnsi="Calibri Light" w:cs="Times New Roman"/>
      <w:color w:val="1F3763"/>
      <w:lang w:val="en-GB"/>
    </w:rPr>
  </w:style>
  <w:style w:type="character" w:customStyle="1" w:styleId="author">
    <w:name w:val="author"/>
    <w:basedOn w:val="DefaultParagraphFont"/>
  </w:style>
  <w:style w:type="character" w:customStyle="1" w:styleId="hentry-date">
    <w:name w:val="hentry-date"/>
    <w:basedOn w:val="DefaultParagraphFont"/>
  </w:style>
  <w:style w:type="paragraph" w:customStyle="1" w:styleId="twitter">
    <w:name w:val="twitter&quot;"/>
    <w:basedOn w:val="Normal"/>
    <w:pPr>
      <w:spacing w:before="100" w:beforeAutospacing="1" w:after="100" w:afterAutospacing="1" w:line="240" w:lineRule="auto"/>
      <w:jc w:val="left"/>
    </w:pPr>
    <w:rPr>
      <w:rFonts w:eastAsia="Times New Roman" w:cs="Times New Roman"/>
      <w:szCs w:val="24"/>
      <w:lang w:val="en-US"/>
    </w:rPr>
  </w:style>
  <w:style w:type="paragraph" w:customStyle="1" w:styleId="facebook">
    <w:name w:val="facebook"/>
    <w:basedOn w:val="Normal"/>
    <w:pPr>
      <w:spacing w:before="100" w:beforeAutospacing="1" w:after="100" w:afterAutospacing="1" w:line="240" w:lineRule="auto"/>
      <w:jc w:val="left"/>
    </w:pPr>
    <w:rPr>
      <w:rFonts w:eastAsia="Times New Roman" w:cs="Times New Roman"/>
      <w:szCs w:val="24"/>
      <w:lang w:val="en-US"/>
    </w:rPr>
  </w:style>
  <w:style w:type="paragraph" w:customStyle="1" w:styleId="linkedin">
    <w:name w:val="linkedin"/>
    <w:basedOn w:val="Normal"/>
    <w:pPr>
      <w:spacing w:before="100" w:beforeAutospacing="1" w:after="100" w:afterAutospacing="1" w:line="240" w:lineRule="auto"/>
      <w:jc w:val="left"/>
    </w:pPr>
    <w:rPr>
      <w:rFonts w:eastAsia="Times New Roman" w:cs="Times New Roman"/>
      <w:szCs w:val="24"/>
      <w:lang w:val="en-US"/>
    </w:rPr>
  </w:style>
  <w:style w:type="paragraph" w:customStyle="1" w:styleId="pw-post-body-paragraph">
    <w:name w:val="pw-post-body-paragraph"/>
    <w:basedOn w:val="Normal"/>
    <w:pPr>
      <w:spacing w:before="100" w:beforeAutospacing="1" w:after="100" w:afterAutospacing="1" w:line="240" w:lineRule="auto"/>
      <w:jc w:val="left"/>
    </w:pPr>
    <w:rPr>
      <w:rFonts w:eastAsia="Times New Roman" w:cs="Times New Roman"/>
      <w:szCs w:val="24"/>
      <w:lang w:val="en-US"/>
    </w:rPr>
  </w:style>
  <w:style w:type="paragraph" w:customStyle="1" w:styleId="zwsc-cleaned">
    <w:name w:val="zwsc-cleaned"/>
    <w:basedOn w:val="Normal"/>
    <w:pPr>
      <w:spacing w:before="100" w:beforeAutospacing="1" w:after="100" w:afterAutospacing="1" w:line="240" w:lineRule="auto"/>
      <w:jc w:val="left"/>
    </w:pPr>
    <w:rPr>
      <w:rFonts w:eastAsia="Times New Roman" w:cs="Times New Roman"/>
      <w:szCs w:val="24"/>
      <w:lang w:val="en-US"/>
    </w:rPr>
  </w:style>
  <w:style w:type="paragraph" w:customStyle="1" w:styleId="shrm-widearticle-element-p">
    <w:name w:val="shrm-widearticle-element-p"/>
    <w:basedOn w:val="Normal"/>
    <w:pPr>
      <w:spacing w:before="100" w:beforeAutospacing="1" w:after="100" w:afterAutospacing="1" w:line="240" w:lineRule="auto"/>
      <w:jc w:val="left"/>
    </w:pPr>
    <w:rPr>
      <w:rFonts w:eastAsia="Times New Roman" w:cs="Times New Roman"/>
      <w:szCs w:val="24"/>
      <w:lang w:val="en-US"/>
    </w:rPr>
  </w:style>
  <w:style w:type="character" w:customStyle="1" w:styleId="ezoic-ad">
    <w:name w:val="ezoic-ad"/>
    <w:basedOn w:val="DefaultParagraphFont"/>
  </w:style>
  <w:style w:type="character" w:customStyle="1" w:styleId="label">
    <w:name w:val="label"/>
    <w:basedOn w:val="DefaultParagraphFont"/>
  </w:style>
  <w:style w:type="character" w:customStyle="1" w:styleId="ez-video-ez-stuck-title">
    <w:name w:val="ez-video-ez-stuck-title"/>
    <w:basedOn w:val="DefaultParagraphFont"/>
  </w:style>
  <w:style w:type="character" w:customStyle="1" w:styleId="ez-video-ez-stuck-close">
    <w:name w:val="ez-video-ez-stuck-close"/>
    <w:basedOn w:val="DefaultParagraphFont"/>
  </w:style>
  <w:style w:type="character" w:customStyle="1" w:styleId="vjs-control-text">
    <w:name w:val="vjs-control-text"/>
    <w:basedOn w:val="DefaultParagraphFont"/>
  </w:style>
  <w:style w:type="character" w:customStyle="1" w:styleId="vjs-control-text-loaded-percentage">
    <w:name w:val="vjs-control-text-loaded-percentage"/>
    <w:basedOn w:val="DefaultParagraphFont"/>
  </w:style>
  <w:style w:type="character" w:customStyle="1" w:styleId="vjs-remaining-time-display">
    <w:name w:val="vjs-remaining-time-display"/>
    <w:basedOn w:val="DefaultParagraphFont"/>
  </w:style>
  <w:style w:type="character" w:customStyle="1" w:styleId="UnresolvedMention2">
    <w:name w:val="Unresolved Mention2"/>
    <w:basedOn w:val="DefaultParagraphFont"/>
    <w:uiPriority w:val="99"/>
    <w:rPr>
      <w:color w:val="605E5C"/>
      <w:shd w:val="clear" w:color="auto" w:fill="E1DFDD"/>
    </w:rPr>
  </w:style>
  <w:style w:type="table" w:customStyle="1" w:styleId="GridTable1Light1">
    <w:name w:val="Grid Table 1 Light1"/>
    <w:basedOn w:val="TableNormal"/>
    <w:uiPriority w:val="46"/>
    <w:pPr>
      <w:spacing w:after="0" w:line="240" w:lineRule="auto"/>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eGrid6">
    <w:name w:val="Table Grid6"/>
    <w:basedOn w:val="TableNormal"/>
    <w:next w:val="TableGrid"/>
    <w:uiPriority w:val="59"/>
    <w:pPr>
      <w:spacing w:after="0" w:line="240" w:lineRule="auto"/>
    </w:pPr>
    <w:rPr>
      <w:rFonts w:ascii="Calibri" w:hAnsi="Calibri"/>
      <w:sz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s-1">
    <w:name w:val="ms-1"/>
    <w:basedOn w:val="DefaultParagraphFont"/>
  </w:style>
  <w:style w:type="character" w:customStyle="1" w:styleId="max-w-15ch">
    <w:name w:val="max-w-[15ch]"/>
    <w:basedOn w:val="DefaultParagraphFont"/>
  </w:style>
  <w:style w:type="table" w:customStyle="1" w:styleId="GridTable5Dark-Accent51">
    <w:name w:val="Grid Table 5 Dark - Accent 51"/>
    <w:basedOn w:val="TableNormal"/>
    <w:uiPriority w:val="50"/>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EEAF6"/>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character" w:customStyle="1" w:styleId="-me-1">
    <w:name w:val="-me-1"/>
    <w:basedOn w:val="DefaultParagraphFont"/>
  </w:style>
  <w:style w:type="table" w:customStyle="1" w:styleId="GridTable4-Accent31">
    <w:name w:val="Grid Table 4 - Accent 31"/>
    <w:basedOn w:val="TableNormal"/>
    <w:uiPriority w:val="49"/>
    <w:pPr>
      <w:spacing w:after="0" w:line="240" w:lineRule="auto"/>
    </w:p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GridTable5Dark-Accent11">
    <w:name w:val="Grid Table 5 Dark - Accent 11"/>
    <w:basedOn w:val="TableNormal"/>
    <w:uiPriority w:val="50"/>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9E2F3"/>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GridTable5Dark-Accent61">
    <w:name w:val="Grid Table 5 Dark - Accent 61"/>
    <w:basedOn w:val="TableNormal"/>
    <w:uiPriority w:val="50"/>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2EFD9"/>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styleId="ListTable4-Accent1">
    <w:name w:val="List Table 4 Accent 1"/>
    <w:basedOn w:val="TableNormal"/>
    <w:uiPriority w:val="49"/>
    <w:rsid w:val="007C616B"/>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UnresolvedMention">
    <w:name w:val="Unresolved Mention"/>
    <w:basedOn w:val="DefaultParagraphFont"/>
    <w:uiPriority w:val="99"/>
    <w:semiHidden/>
    <w:unhideWhenUsed/>
    <w:rsid w:val="00706302"/>
    <w:rPr>
      <w:color w:val="605E5C"/>
      <w:shd w:val="clear" w:color="auto" w:fill="E1DFDD"/>
    </w:rPr>
  </w:style>
  <w:style w:type="table" w:styleId="GridTable4-Accent3">
    <w:name w:val="Grid Table 4 Accent 3"/>
    <w:basedOn w:val="TableNormal"/>
    <w:uiPriority w:val="49"/>
    <w:rsid w:val="00CE3136"/>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5Dark-Accent5">
    <w:name w:val="Grid Table 5 Dark Accent 5"/>
    <w:basedOn w:val="TableNormal"/>
    <w:uiPriority w:val="50"/>
    <w:rsid w:val="00CE5F0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ListTable3-Accent2">
    <w:name w:val="List Table 3 Accent 2"/>
    <w:basedOn w:val="TableNormal"/>
    <w:uiPriority w:val="48"/>
    <w:rsid w:val="00956CB6"/>
    <w:pPr>
      <w:spacing w:after="0" w:line="240" w:lineRule="auto"/>
    </w:pPr>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paragraph" w:customStyle="1" w:styleId="pdq2pgselectionanchorcontainer">
    <w:name w:val="pdq2pg_selectionanchorcontainer"/>
    <w:basedOn w:val="Normal"/>
    <w:rsid w:val="009825F1"/>
    <w:pPr>
      <w:spacing w:before="100" w:beforeAutospacing="1" w:after="100" w:afterAutospacing="1" w:line="240" w:lineRule="auto"/>
      <w:jc w:val="left"/>
    </w:pPr>
    <w:rPr>
      <w:rFonts w:eastAsia="Times New Roman" w:cs="Times New Roman"/>
      <w:szCs w:val="24"/>
      <w:lang w:val="en-US"/>
    </w:rPr>
  </w:style>
  <w:style w:type="character" w:customStyle="1" w:styleId="contents">
    <w:name w:val="contents"/>
    <w:basedOn w:val="DefaultParagraphFont"/>
    <w:rsid w:val="009825F1"/>
  </w:style>
  <w:style w:type="character" w:styleId="FollowedHyperlink">
    <w:name w:val="FollowedHyperlink"/>
    <w:basedOn w:val="DefaultParagraphFont"/>
    <w:uiPriority w:val="99"/>
    <w:semiHidden/>
    <w:unhideWhenUsed/>
    <w:rsid w:val="00665B1D"/>
    <w:rPr>
      <w:color w:val="800080" w:themeColor="followedHyperlink"/>
      <w:u w:val="single"/>
    </w:rPr>
  </w:style>
  <w:style w:type="table" w:styleId="GridTable5Dark-Accent6">
    <w:name w:val="Grid Table 5 Dark Accent 6"/>
    <w:basedOn w:val="TableNormal"/>
    <w:uiPriority w:val="50"/>
    <w:rsid w:val="004E2B4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488287">
      <w:bodyDiv w:val="1"/>
      <w:marLeft w:val="0"/>
      <w:marRight w:val="0"/>
      <w:marTop w:val="0"/>
      <w:marBottom w:val="0"/>
      <w:divBdr>
        <w:top w:val="none" w:sz="0" w:space="0" w:color="auto"/>
        <w:left w:val="none" w:sz="0" w:space="0" w:color="auto"/>
        <w:bottom w:val="none" w:sz="0" w:space="0" w:color="auto"/>
        <w:right w:val="none" w:sz="0" w:space="0" w:color="auto"/>
      </w:divBdr>
    </w:div>
    <w:div w:id="152530187">
      <w:bodyDiv w:val="1"/>
      <w:marLeft w:val="0"/>
      <w:marRight w:val="0"/>
      <w:marTop w:val="0"/>
      <w:marBottom w:val="0"/>
      <w:divBdr>
        <w:top w:val="none" w:sz="0" w:space="0" w:color="auto"/>
        <w:left w:val="none" w:sz="0" w:space="0" w:color="auto"/>
        <w:bottom w:val="none" w:sz="0" w:space="0" w:color="auto"/>
        <w:right w:val="none" w:sz="0" w:space="0" w:color="auto"/>
      </w:divBdr>
    </w:div>
    <w:div w:id="256251557">
      <w:bodyDiv w:val="1"/>
      <w:marLeft w:val="0"/>
      <w:marRight w:val="0"/>
      <w:marTop w:val="0"/>
      <w:marBottom w:val="0"/>
      <w:divBdr>
        <w:top w:val="none" w:sz="0" w:space="0" w:color="auto"/>
        <w:left w:val="none" w:sz="0" w:space="0" w:color="auto"/>
        <w:bottom w:val="none" w:sz="0" w:space="0" w:color="auto"/>
        <w:right w:val="none" w:sz="0" w:space="0" w:color="auto"/>
      </w:divBdr>
    </w:div>
    <w:div w:id="306327534">
      <w:bodyDiv w:val="1"/>
      <w:marLeft w:val="0"/>
      <w:marRight w:val="0"/>
      <w:marTop w:val="0"/>
      <w:marBottom w:val="0"/>
      <w:divBdr>
        <w:top w:val="none" w:sz="0" w:space="0" w:color="auto"/>
        <w:left w:val="none" w:sz="0" w:space="0" w:color="auto"/>
        <w:bottom w:val="none" w:sz="0" w:space="0" w:color="auto"/>
        <w:right w:val="none" w:sz="0" w:space="0" w:color="auto"/>
      </w:divBdr>
    </w:div>
    <w:div w:id="378088498">
      <w:bodyDiv w:val="1"/>
      <w:marLeft w:val="0"/>
      <w:marRight w:val="0"/>
      <w:marTop w:val="0"/>
      <w:marBottom w:val="0"/>
      <w:divBdr>
        <w:top w:val="none" w:sz="0" w:space="0" w:color="auto"/>
        <w:left w:val="none" w:sz="0" w:space="0" w:color="auto"/>
        <w:bottom w:val="none" w:sz="0" w:space="0" w:color="auto"/>
        <w:right w:val="none" w:sz="0" w:space="0" w:color="auto"/>
      </w:divBdr>
    </w:div>
    <w:div w:id="472141974">
      <w:bodyDiv w:val="1"/>
      <w:marLeft w:val="0"/>
      <w:marRight w:val="0"/>
      <w:marTop w:val="0"/>
      <w:marBottom w:val="0"/>
      <w:divBdr>
        <w:top w:val="none" w:sz="0" w:space="0" w:color="auto"/>
        <w:left w:val="none" w:sz="0" w:space="0" w:color="auto"/>
        <w:bottom w:val="none" w:sz="0" w:space="0" w:color="auto"/>
        <w:right w:val="none" w:sz="0" w:space="0" w:color="auto"/>
      </w:divBdr>
    </w:div>
    <w:div w:id="1314023732">
      <w:bodyDiv w:val="1"/>
      <w:marLeft w:val="0"/>
      <w:marRight w:val="0"/>
      <w:marTop w:val="0"/>
      <w:marBottom w:val="0"/>
      <w:divBdr>
        <w:top w:val="none" w:sz="0" w:space="0" w:color="auto"/>
        <w:left w:val="none" w:sz="0" w:space="0" w:color="auto"/>
        <w:bottom w:val="none" w:sz="0" w:space="0" w:color="auto"/>
        <w:right w:val="none" w:sz="0" w:space="0" w:color="auto"/>
      </w:divBdr>
    </w:div>
    <w:div w:id="1317222508">
      <w:bodyDiv w:val="1"/>
      <w:marLeft w:val="0"/>
      <w:marRight w:val="0"/>
      <w:marTop w:val="0"/>
      <w:marBottom w:val="0"/>
      <w:divBdr>
        <w:top w:val="none" w:sz="0" w:space="0" w:color="auto"/>
        <w:left w:val="none" w:sz="0" w:space="0" w:color="auto"/>
        <w:bottom w:val="none" w:sz="0" w:space="0" w:color="auto"/>
        <w:right w:val="none" w:sz="0" w:space="0" w:color="auto"/>
      </w:divBdr>
      <w:divsChild>
        <w:div w:id="789787083">
          <w:marLeft w:val="0"/>
          <w:marRight w:val="0"/>
          <w:marTop w:val="0"/>
          <w:marBottom w:val="0"/>
          <w:divBdr>
            <w:top w:val="none" w:sz="0" w:space="0" w:color="auto"/>
            <w:left w:val="none" w:sz="0" w:space="0" w:color="auto"/>
            <w:bottom w:val="none" w:sz="0" w:space="0" w:color="auto"/>
            <w:right w:val="none" w:sz="0" w:space="0" w:color="auto"/>
          </w:divBdr>
        </w:div>
      </w:divsChild>
    </w:div>
    <w:div w:id="1333945533">
      <w:bodyDiv w:val="1"/>
      <w:marLeft w:val="0"/>
      <w:marRight w:val="0"/>
      <w:marTop w:val="0"/>
      <w:marBottom w:val="0"/>
      <w:divBdr>
        <w:top w:val="none" w:sz="0" w:space="0" w:color="auto"/>
        <w:left w:val="none" w:sz="0" w:space="0" w:color="auto"/>
        <w:bottom w:val="none" w:sz="0" w:space="0" w:color="auto"/>
        <w:right w:val="none" w:sz="0" w:space="0" w:color="auto"/>
      </w:divBdr>
      <w:divsChild>
        <w:div w:id="839661714">
          <w:marLeft w:val="0"/>
          <w:marRight w:val="0"/>
          <w:marTop w:val="0"/>
          <w:marBottom w:val="0"/>
          <w:divBdr>
            <w:top w:val="none" w:sz="0" w:space="0" w:color="auto"/>
            <w:left w:val="none" w:sz="0" w:space="0" w:color="auto"/>
            <w:bottom w:val="none" w:sz="0" w:space="0" w:color="auto"/>
            <w:right w:val="none" w:sz="0" w:space="0" w:color="auto"/>
          </w:divBdr>
        </w:div>
      </w:divsChild>
    </w:div>
    <w:div w:id="1453938960">
      <w:bodyDiv w:val="1"/>
      <w:marLeft w:val="0"/>
      <w:marRight w:val="0"/>
      <w:marTop w:val="0"/>
      <w:marBottom w:val="0"/>
      <w:divBdr>
        <w:top w:val="none" w:sz="0" w:space="0" w:color="auto"/>
        <w:left w:val="none" w:sz="0" w:space="0" w:color="auto"/>
        <w:bottom w:val="none" w:sz="0" w:space="0" w:color="auto"/>
        <w:right w:val="none" w:sz="0" w:space="0" w:color="auto"/>
      </w:divBdr>
    </w:div>
    <w:div w:id="1894392187">
      <w:bodyDiv w:val="1"/>
      <w:marLeft w:val="0"/>
      <w:marRight w:val="0"/>
      <w:marTop w:val="0"/>
      <w:marBottom w:val="0"/>
      <w:divBdr>
        <w:top w:val="none" w:sz="0" w:space="0" w:color="auto"/>
        <w:left w:val="none" w:sz="0" w:space="0" w:color="auto"/>
        <w:bottom w:val="none" w:sz="0" w:space="0" w:color="auto"/>
        <w:right w:val="none" w:sz="0" w:space="0" w:color="auto"/>
      </w:divBdr>
    </w:div>
    <w:div w:id="1953395309">
      <w:bodyDiv w:val="1"/>
      <w:marLeft w:val="0"/>
      <w:marRight w:val="0"/>
      <w:marTop w:val="0"/>
      <w:marBottom w:val="0"/>
      <w:divBdr>
        <w:top w:val="none" w:sz="0" w:space="0" w:color="auto"/>
        <w:left w:val="none" w:sz="0" w:space="0" w:color="auto"/>
        <w:bottom w:val="none" w:sz="0" w:space="0" w:color="auto"/>
        <w:right w:val="none" w:sz="0" w:space="0" w:color="auto"/>
      </w:divBdr>
    </w:div>
    <w:div w:id="2081249693">
      <w:bodyDiv w:val="1"/>
      <w:marLeft w:val="0"/>
      <w:marRight w:val="0"/>
      <w:marTop w:val="0"/>
      <w:marBottom w:val="0"/>
      <w:divBdr>
        <w:top w:val="none" w:sz="0" w:space="0" w:color="auto"/>
        <w:left w:val="none" w:sz="0" w:space="0" w:color="auto"/>
        <w:bottom w:val="none" w:sz="0" w:space="0" w:color="auto"/>
        <w:right w:val="none" w:sz="0" w:space="0" w:color="auto"/>
      </w:divBdr>
    </w:div>
    <w:div w:id="21452748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image" Target="media/image2.png" /><Relationship Id="rId18" Type="http://schemas.openxmlformats.org/officeDocument/2006/relationships/chart" Target="charts/chart3.xml" /><Relationship Id="rId26" Type="http://schemas.openxmlformats.org/officeDocument/2006/relationships/hyperlink" Target="https://www.ecotricity.co.uk/our-news/2025/what-is-bills-into-mills-and-why-is-it-good-news-for-your-business" TargetMode="External" /><Relationship Id="rId3" Type="http://schemas.openxmlformats.org/officeDocument/2006/relationships/customXml" Target="../customXml/item3.xml" /><Relationship Id="rId21" Type="http://schemas.openxmlformats.org/officeDocument/2006/relationships/hyperlink" Target="https://www.gov.uk/government/publications/clean-power-2030-action-plan/clean-power-2030-action-plan-a-new-era-of-clean-electricity-main-report" TargetMode="External" /><Relationship Id="rId7" Type="http://schemas.openxmlformats.org/officeDocument/2006/relationships/settings" Target="settings.xml" /><Relationship Id="rId12" Type="http://schemas.openxmlformats.org/officeDocument/2006/relationships/image" Target="cid:image001.png@01D0EA4A.2BD679A0" TargetMode="External" /><Relationship Id="rId17" Type="http://schemas.openxmlformats.org/officeDocument/2006/relationships/image" Target="media/image4.png" /><Relationship Id="rId25" Type="http://schemas.openxmlformats.org/officeDocument/2006/relationships/hyperlink" Target="https://www.ecotricity.co.uk/our-news/2025/how-ecotricity-became-the-worlds-first-green-energy-company" TargetMode="External" /><Relationship Id="rId2" Type="http://schemas.openxmlformats.org/officeDocument/2006/relationships/customXml" Target="../customXml/item2.xml" /><Relationship Id="rId16" Type="http://schemas.openxmlformats.org/officeDocument/2006/relationships/chart" Target="charts/chart2.xml" /><Relationship Id="rId20" Type="http://schemas.openxmlformats.org/officeDocument/2006/relationships/hyperlink" Target="https://www.gov.uk/government/statistics/business-population-estimates-2025/business-population-estimates-for-the-uk-and-regions-2025-statistical-release" TargetMode="External" /><Relationship Id="rId29" Type="http://schemas.openxmlformats.org/officeDocument/2006/relationships/hyperlink" Target="https://www.legislation.gov.uk/uksi/2015/596/contents" TargetMode="Externa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image" Target="media/image1.png" /><Relationship Id="rId24" Type="http://schemas.openxmlformats.org/officeDocument/2006/relationships/hyperlink" Target="https://www.ecotricity.co.uk/for-your-business" TargetMode="External" /><Relationship Id="rId32" Type="http://schemas.openxmlformats.org/officeDocument/2006/relationships/theme" Target="theme/theme1.xml" /><Relationship Id="rId5" Type="http://schemas.openxmlformats.org/officeDocument/2006/relationships/numbering" Target="numbering.xml" /><Relationship Id="rId15" Type="http://schemas.openxmlformats.org/officeDocument/2006/relationships/chart" Target="charts/chart1.xml" /><Relationship Id="rId23" Type="http://schemas.openxmlformats.org/officeDocument/2006/relationships/hyperlink" Target="https://www.gov.uk/government/statistics/energy-trends-march-2026" TargetMode="External" /><Relationship Id="rId28" Type="http://schemas.openxmlformats.org/officeDocument/2006/relationships/hyperlink" Target="https://www.ofgem.gov.uk/news-and-insight/data/data-portal/retail-market-indicators" TargetMode="External" /><Relationship Id="rId10" Type="http://schemas.openxmlformats.org/officeDocument/2006/relationships/endnotes" Target="endnotes.xml" /><Relationship Id="rId19" Type="http://schemas.openxmlformats.org/officeDocument/2006/relationships/hyperlink" Target="https://doi.org/10.1191/1478088706qp063oa" TargetMode="External" /><Relationship Id="rId31" Type="http://schemas.openxmlformats.org/officeDocument/2006/relationships/fontTable" Target="fontTable.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image" Target="media/image3.png" /><Relationship Id="rId22" Type="http://schemas.openxmlformats.org/officeDocument/2006/relationships/hyperlink" Target="https://www.gov.uk/government/publications/solar-roadmap/solar-roadmap-united-kingdom-powered-by-solar-accessible-webpage" TargetMode="External" /><Relationship Id="rId27" Type="http://schemas.openxmlformats.org/officeDocument/2006/relationships/hyperlink" Target="https://www.goodenergy.co.uk/business/insights/were-expanding-our-solar-installation-services/" TargetMode="External" /><Relationship Id="rId30" Type="http://schemas.openxmlformats.org/officeDocument/2006/relationships/footer" Target="footer1.xml" /></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 /><Relationship Id="rId2" Type="http://schemas.microsoft.com/office/2011/relationships/chartColorStyle" Target="colors1.xml" /><Relationship Id="rId1" Type="http://schemas.microsoft.com/office/2011/relationships/chartStyle" Target="style1.xml" /></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 /><Relationship Id="rId2" Type="http://schemas.microsoft.com/office/2011/relationships/chartColorStyle" Target="colors2.xml" /><Relationship Id="rId1" Type="http://schemas.microsoft.com/office/2011/relationships/chartStyle" Target="style2.xml" /></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 /><Relationship Id="rId2" Type="http://schemas.microsoft.com/office/2011/relationships/chartColorStyle" Target="colors3.xml" /><Relationship Id="rId1" Type="http://schemas.microsoft.com/office/2011/relationships/chartStyle" Target="style3.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r>
              <a:rPr lang="en-US"/>
              <a:t>Low-Carbon Share (%) of GB Electricity Generation, 2022–2025</a:t>
            </a:r>
          </a:p>
        </c:rich>
      </c:tx>
      <c:overlay val="0"/>
      <c:spPr>
        <a:noFill/>
        <a:ln>
          <a:noFill/>
        </a:ln>
        <a:effectLst/>
      </c:spPr>
      <c:txPr>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endParaRPr lang="en-US"/>
        </a:p>
      </c:txPr>
    </c:title>
    <c:autoTitleDeleted val="0"/>
    <c:plotArea>
      <c:layout/>
      <c:barChart>
        <c:barDir val="col"/>
        <c:grouping val="clustered"/>
        <c:varyColors val="0"/>
        <c:ser>
          <c:idx val="0"/>
          <c:order val="0"/>
          <c:tx>
            <c:strRef>
              <c:f>Sheet2!$D$3</c:f>
              <c:strCache>
                <c:ptCount val="1"/>
                <c:pt idx="0">
                  <c:v>Share</c:v>
                </c:pt>
              </c:strCache>
            </c:strRef>
          </c:tx>
          <c:spPr>
            <a:solidFill>
              <a:schemeClr val="accent1">
                <a:alpha val="70000"/>
              </a:schemeClr>
            </a:solidFill>
            <a:ln>
              <a:noFill/>
            </a:ln>
            <a:effectLst/>
          </c:spPr>
          <c:invertIfNegative val="0"/>
          <c:cat>
            <c:numRef>
              <c:f>Sheet2!$C$4:$C$7</c:f>
              <c:numCache>
                <c:formatCode>General</c:formatCode>
                <c:ptCount val="4"/>
                <c:pt idx="0">
                  <c:v>2022</c:v>
                </c:pt>
                <c:pt idx="1">
                  <c:v>2023</c:v>
                </c:pt>
                <c:pt idx="2">
                  <c:v>2024</c:v>
                </c:pt>
                <c:pt idx="3">
                  <c:v>2025</c:v>
                </c:pt>
              </c:numCache>
            </c:numRef>
          </c:cat>
          <c:val>
            <c:numRef>
              <c:f>Sheet2!$D$4:$D$7</c:f>
              <c:numCache>
                <c:formatCode>General</c:formatCode>
                <c:ptCount val="4"/>
                <c:pt idx="0">
                  <c:v>62.7</c:v>
                </c:pt>
                <c:pt idx="1">
                  <c:v>68.3</c:v>
                </c:pt>
                <c:pt idx="2">
                  <c:v>73.7</c:v>
                </c:pt>
                <c:pt idx="3">
                  <c:v>73.3</c:v>
                </c:pt>
              </c:numCache>
            </c:numRef>
          </c:val>
          <c:extLst>
            <c:ext xmlns:c16="http://schemas.microsoft.com/office/drawing/2014/chart" uri="{C3380CC4-5D6E-409C-BE32-E72D297353CC}">
              <c16:uniqueId val="{00000000-2546-477F-86D5-4ABF1975CDCD}"/>
            </c:ext>
          </c:extLst>
        </c:ser>
        <c:dLbls>
          <c:showLegendKey val="0"/>
          <c:showVal val="0"/>
          <c:showCatName val="0"/>
          <c:showSerName val="0"/>
          <c:showPercent val="0"/>
          <c:showBubbleSize val="0"/>
        </c:dLbls>
        <c:gapWidth val="80"/>
        <c:overlap val="25"/>
        <c:axId val="1480529903"/>
        <c:axId val="1472617487"/>
      </c:barChart>
      <c:catAx>
        <c:axId val="1480529903"/>
        <c:scaling>
          <c:orientation val="minMax"/>
        </c:scaling>
        <c:delete val="0"/>
        <c:axPos val="b"/>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cap="none" spc="20" normalizeH="0" baseline="0">
                <a:solidFill>
                  <a:schemeClr val="tx1">
                    <a:lumMod val="65000"/>
                    <a:lumOff val="35000"/>
                  </a:schemeClr>
                </a:solidFill>
                <a:latin typeface="+mn-lt"/>
                <a:ea typeface="+mn-ea"/>
                <a:cs typeface="+mn-cs"/>
              </a:defRPr>
            </a:pPr>
            <a:endParaRPr lang="en-US"/>
          </a:p>
        </c:txPr>
        <c:crossAx val="1472617487"/>
        <c:crosses val="autoZero"/>
        <c:auto val="1"/>
        <c:lblAlgn val="ctr"/>
        <c:lblOffset val="100"/>
        <c:noMultiLvlLbl val="0"/>
      </c:catAx>
      <c:valAx>
        <c:axId val="1472617487"/>
        <c:scaling>
          <c:orientation val="minMax"/>
        </c:scaling>
        <c:delete val="0"/>
        <c:axPos val="l"/>
        <c:majorGridlines>
          <c:spPr>
            <a:ln w="9525" cap="flat" cmpd="sng" algn="ctr">
              <a:solidFill>
                <a:schemeClr val="tx1">
                  <a:lumMod val="5000"/>
                  <a:lumOff val="9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tx1">
                    <a:lumMod val="65000"/>
                    <a:lumOff val="35000"/>
                  </a:schemeClr>
                </a:solidFill>
                <a:latin typeface="+mn-lt"/>
                <a:ea typeface="+mn-ea"/>
                <a:cs typeface="+mn-cs"/>
              </a:defRPr>
            </a:pPr>
            <a:endParaRPr lang="en-US"/>
          </a:p>
        </c:txPr>
        <c:crossAx val="1480529903"/>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US"/>
              <a:t>Government Solar Capacity Ambition</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Sheet2!$D$3</c:f>
              <c:strCache>
                <c:ptCount val="1"/>
                <c:pt idx="0">
                  <c:v>Share</c:v>
                </c:pt>
              </c:strCache>
            </c:strRef>
          </c:tx>
          <c:spPr>
            <a:solidFill>
              <a:schemeClr val="accent6"/>
            </a:solidFill>
            <a:ln w="9525" cap="flat" cmpd="sng" algn="ctr">
              <a:solidFill>
                <a:schemeClr val="accent1">
                  <a:shade val="95000"/>
                </a:schemeClr>
              </a:solidFill>
              <a:round/>
            </a:ln>
            <a:effectLst>
              <a:outerShdw blurRad="40000" dist="20000" dir="5400000" rotWithShape="0">
                <a:srgbClr val="000000">
                  <a:alpha val="38000"/>
                </a:srgbClr>
              </a:outerShdw>
            </a:effectLst>
          </c:spPr>
          <c:invertIfNegative val="0"/>
          <c:cat>
            <c:strRef>
              <c:f>Sheet2!$C$13:$C$15</c:f>
              <c:strCache>
                <c:ptCount val="3"/>
                <c:pt idx="0">
                  <c:v>Q2 2024 actual</c:v>
                </c:pt>
                <c:pt idx="1">
                  <c:v>2030 lower target</c:v>
                </c:pt>
                <c:pt idx="2">
                  <c:v>2030 upper target</c:v>
                </c:pt>
              </c:strCache>
            </c:strRef>
          </c:cat>
          <c:val>
            <c:numRef>
              <c:f>Sheet2!$D$13:$D$15</c:f>
              <c:numCache>
                <c:formatCode>General</c:formatCode>
                <c:ptCount val="3"/>
                <c:pt idx="0">
                  <c:v>16.600000000000001</c:v>
                </c:pt>
                <c:pt idx="1">
                  <c:v>45</c:v>
                </c:pt>
                <c:pt idx="2">
                  <c:v>47</c:v>
                </c:pt>
              </c:numCache>
            </c:numRef>
          </c:val>
          <c:extLst>
            <c:ext xmlns:c16="http://schemas.microsoft.com/office/drawing/2014/chart" uri="{C3380CC4-5D6E-409C-BE32-E72D297353CC}">
              <c16:uniqueId val="{00000000-9F3F-42D0-B730-29124A928515}"/>
            </c:ext>
          </c:extLst>
        </c:ser>
        <c:dLbls>
          <c:showLegendKey val="0"/>
          <c:showVal val="0"/>
          <c:showCatName val="0"/>
          <c:showSerName val="0"/>
          <c:showPercent val="0"/>
          <c:showBubbleSize val="0"/>
        </c:dLbls>
        <c:gapWidth val="100"/>
        <c:axId val="1480529903"/>
        <c:axId val="1472617487"/>
      </c:barChart>
      <c:catAx>
        <c:axId val="148052990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472617487"/>
        <c:crosses val="autoZero"/>
        <c:auto val="1"/>
        <c:lblAlgn val="ctr"/>
        <c:lblOffset val="100"/>
        <c:noMultiLvlLbl val="0"/>
      </c:catAx>
      <c:valAx>
        <c:axId val="147261748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480529903"/>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a:t>UK Business Energy Market Survey Findings, 2025</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doughnutChart>
        <c:varyColors val="1"/>
        <c:ser>
          <c:idx val="0"/>
          <c:order val="0"/>
          <c:tx>
            <c:strRef>
              <c:f>Sheet2!$D$3</c:f>
              <c:strCache>
                <c:ptCount val="1"/>
                <c:pt idx="0">
                  <c:v>Share</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extLst>
              <c:ext xmlns:c16="http://schemas.microsoft.com/office/drawing/2014/chart" uri="{C3380CC4-5D6E-409C-BE32-E72D297353CC}">
                <c16:uniqueId val="{00000001-A825-40DD-9418-89B73B0109BA}"/>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extLst>
              <c:ext xmlns:c16="http://schemas.microsoft.com/office/drawing/2014/chart" uri="{C3380CC4-5D6E-409C-BE32-E72D297353CC}">
                <c16:uniqueId val="{00000003-A825-40DD-9418-89B73B0109BA}"/>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extLst>
              <c:ext xmlns:c16="http://schemas.microsoft.com/office/drawing/2014/chart" uri="{C3380CC4-5D6E-409C-BE32-E72D297353CC}">
                <c16:uniqueId val="{00000005-A825-40DD-9418-89B73B0109BA}"/>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extLst>
              <c:ext xmlns:c16="http://schemas.microsoft.com/office/drawing/2014/chart" uri="{C3380CC4-5D6E-409C-BE32-E72D297353CC}">
                <c16:uniqueId val="{00000007-A825-40DD-9418-89B73B0109BA}"/>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extLst>
              <c:ext xmlns:c16="http://schemas.microsoft.com/office/drawing/2014/chart" uri="{C3380CC4-5D6E-409C-BE32-E72D297353CC}">
                <c16:uniqueId val="{00000009-A825-40DD-9418-89B73B0109BA}"/>
              </c:ext>
            </c:extLst>
          </c:dPt>
          <c:dLbls>
            <c:dLbl>
              <c:idx val="0"/>
              <c:layout>
                <c:manualLayout>
                  <c:x val="0.15189873417721519"/>
                  <c:y val="-7.9034019431904662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A825-40DD-9418-89B73B0109BA}"/>
                </c:ext>
              </c:extLst>
            </c:dLbl>
            <c:dLbl>
              <c:idx val="1"/>
              <c:layout>
                <c:manualLayout>
                  <c:x val="0.23628691983122363"/>
                  <c:y val="1.7563115429312041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A825-40DD-9418-89B73B0109BA}"/>
                </c:ext>
              </c:extLst>
            </c:dLbl>
            <c:dLbl>
              <c:idx val="2"/>
              <c:layout>
                <c:manualLayout>
                  <c:x val="-0.18190342240975155"/>
                  <c:y val="5.2689346287936444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A825-40DD-9418-89B73B0109BA}"/>
                </c:ext>
              </c:extLst>
            </c:dLbl>
            <c:dLbl>
              <c:idx val="3"/>
              <c:layout>
                <c:manualLayout>
                  <c:x val="-0.15564932020628222"/>
                  <c:y val="-5.3664454986534858E-17"/>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A825-40DD-9418-89B73B0109BA}"/>
                </c:ext>
              </c:extLst>
            </c:dLbl>
            <c:dLbl>
              <c:idx val="4"/>
              <c:layout>
                <c:manualLayout>
                  <c:x val="-9.9390529770276639E-2"/>
                  <c:y val="-6.1470904002592516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A825-40DD-9418-89B73B0109BA}"/>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2">
                        <a:lumMod val="75000"/>
                      </a:schemeClr>
                    </a:solidFill>
                    <a:latin typeface="+mn-lt"/>
                    <a:ea typeface="+mn-ea"/>
                    <a:cs typeface="+mn-cs"/>
                  </a:defRPr>
                </a:pPr>
                <a:endParaRPr lang="en-US"/>
              </a:p>
            </c:txPr>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Sheet2!$C$20:$C$24</c:f>
              <c:strCache>
                <c:ptCount val="5"/>
                <c:pt idx="0">
                  <c:v>Satisfied with supplier</c:v>
                </c:pt>
                <c:pt idx="1">
                  <c:v>Struggling with bills</c:v>
                </c:pt>
                <c:pt idx="2">
                  <c:v>Switched supplier</c:v>
                </c:pt>
                <c:pt idx="3">
                  <c:v>No decarbonisation barriers</c:v>
                </c:pt>
                <c:pt idx="4">
                  <c:v>Cost is a barrier</c:v>
                </c:pt>
              </c:strCache>
            </c:strRef>
          </c:cat>
          <c:val>
            <c:numRef>
              <c:f>Sheet2!$D$20:$D$24</c:f>
              <c:numCache>
                <c:formatCode>General</c:formatCode>
                <c:ptCount val="5"/>
                <c:pt idx="0">
                  <c:v>68</c:v>
                </c:pt>
                <c:pt idx="1">
                  <c:v>27</c:v>
                </c:pt>
                <c:pt idx="2">
                  <c:v>29</c:v>
                </c:pt>
                <c:pt idx="3">
                  <c:v>41</c:v>
                </c:pt>
                <c:pt idx="4">
                  <c:v>15</c:v>
                </c:pt>
              </c:numCache>
            </c:numRef>
          </c:val>
          <c:extLst>
            <c:ext xmlns:c16="http://schemas.microsoft.com/office/drawing/2014/chart" uri="{C3380CC4-5D6E-409C-BE32-E72D297353CC}">
              <c16:uniqueId val="{0000000A-A825-40DD-9418-89B73B0109BA}"/>
            </c:ext>
          </c:extLst>
        </c:ser>
        <c:dLbls>
          <c:showLegendKey val="0"/>
          <c:showVal val="0"/>
          <c:showCatName val="0"/>
          <c:showSerName val="0"/>
          <c:showPercent val="0"/>
          <c:showBubbleSize val="0"/>
          <c:showLeaderLines val="0"/>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19">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The19</b:Tag>
    <b:SourceType>InternetSite</b:SourceType>
    <b:Guid>{7F9431FF-E100-4447-A3B6-74D0A9603D43}</b:Guid>
    <b:Title>Keynesian Economic Theory</b:Title>
    <b:Author>
      <b:Author>
        <b:NameList>
          <b:Person>
            <b:Last>Balance</b:Last>
            <b:First>The</b:First>
          </b:Person>
        </b:NameList>
      </b:Author>
    </b:Author>
    <b:YearAccessed>2019</b:YearAccessed>
    <b:MonthAccessed>November</b:MonthAccessed>
    <b:DayAccessed>23</b:DayAccessed>
    <b:URL>https://www.thebalance.com/keynesian-economics-theory-definition-4159776#new-keynesian-theory</b:URL>
    <b:RefOrder>1</b:RefOrder>
  </b:Source>
  <b:Source>
    <b:Tag>Inv19</b:Tag>
    <b:SourceType>InternetSite</b:SourceType>
    <b:Guid>{2A7D1163-C85A-455B-B92B-C2CF2BD5C156}</b:Guid>
    <b:Author>
      <b:Author>
        <b:NameList>
          <b:Person>
            <b:Last>Investopedia</b:Last>
          </b:Person>
        </b:NameList>
      </b:Author>
    </b:Author>
    <b:Title>Chicago School of Economics</b:Title>
    <b:YearAccessed>2019</b:YearAccessed>
    <b:MonthAccessed>November</b:MonthAccessed>
    <b:DayAccessed>23</b:DayAccessed>
    <b:URL>https://www.investopedia.com/terms/c/chicago_school.asp</b:URL>
    <b:RefOrder>2</b:RefOrder>
  </b:Source>
  <b:Source>
    <b:Tag>Inv191</b:Tag>
    <b:SourceType>InternetSite</b:SourceType>
    <b:Guid>{343A8DB4-6FD5-45E4-996E-FF99365D65AE}</b:Guid>
    <b:Author>
      <b:Author>
        <b:NameList>
          <b:Person>
            <b:Last>Investopedia</b:Last>
          </b:Person>
        </b:NameList>
      </b:Author>
    </b:Author>
    <b:Title>Keynesian vs. Neo-Keynesian Economics: What's the Difference?</b:Title>
    <b:YearAccessed>2019</b:YearAccessed>
    <b:MonthAccessed>November</b:MonthAccessed>
    <b:DayAccessed>23</b:DayAccessed>
    <b:URL>https://www.investopedia.com/ask/answers/012615/what-difference-between-keynesian-and-neokeynesian-economics.asp</b:URL>
    <b:RefOrder>3</b:RefOrder>
  </b:Source>
  <b:Source>
    <b:Tag>ITI19</b:Tag>
    <b:SourceType>InternetSite</b:SourceType>
    <b:Guid>{04451FC8-03B1-421C-BD74-62F33DACC8CA}</b:Guid>
    <b:Author>
      <b:Author>
        <b:NameList>
          <b:Person>
            <b:Last>ITIF</b:Last>
          </b:Person>
        </b:NameList>
      </b:Author>
    </b:Author>
    <b:Title>Innovation Economics: The Economic Doctrine for the 21st Century</b:Title>
    <b:YearAccessed>2019</b:YearAccessed>
    <b:MonthAccessed>November </b:MonthAccessed>
    <b:DayAccessed>23</b:DayAccessed>
    <b:URL>https://itif.org/innovation-economics-economic-doctrine-21st-century</b:URL>
    <b:RefOrder>4</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4EB10BDA3117D04FAA88CCE7BEBD4E99" ma:contentTypeVersion="4" ma:contentTypeDescription="Create a new document." ma:contentTypeScope="" ma:versionID="c94eaa99a089b95703628c60f1c8c90c">
  <xsd:schema xmlns:xsd="http://www.w3.org/2001/XMLSchema" xmlns:xs="http://www.w3.org/2001/XMLSchema" xmlns:p="http://schemas.microsoft.com/office/2006/metadata/properties" xmlns:ns3="1787bddc-d7ba-4790-bff9-f3c701814ed6" targetNamespace="http://schemas.microsoft.com/office/2006/metadata/properties" ma:root="true" ma:fieldsID="b14b72f96b8f06b2ca8aef96d71b123a" ns3:_="">
    <xsd:import namespace="1787bddc-d7ba-4790-bff9-f3c701814ed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87bddc-d7ba-4790-bff9-f3c701814e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B958066-D4FD-42C0-9700-C434D0EDF49A}">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D01ABDBE-9618-4AFE-8A44-F52AA7AA7E83}">
  <ds:schemaRefs>
    <ds:schemaRef ds:uri="http://schemas.microsoft.com/office/2006/metadata/contentType"/>
    <ds:schemaRef ds:uri="http://schemas.microsoft.com/office/2006/metadata/properties/metaAttributes"/>
    <ds:schemaRef ds:uri="http://www.w3.org/2000/xmlns/"/>
    <ds:schemaRef ds:uri="http://www.w3.org/2001/XMLSchema"/>
    <ds:schemaRef ds:uri="1787bddc-d7ba-4790-bff9-f3c701814ed6"/>
  </ds:schemaRefs>
</ds:datastoreItem>
</file>

<file path=customXml/itemProps3.xml><?xml version="1.0" encoding="utf-8"?>
<ds:datastoreItem xmlns:ds="http://schemas.openxmlformats.org/officeDocument/2006/customXml" ds:itemID="{6C5905C0-6FE2-4A23-8D5B-BA776E7AD3DF}">
  <ds:schemaRefs>
    <ds:schemaRef ds:uri="http://schemas.microsoft.com/office/2006/metadata/properties"/>
    <ds:schemaRef ds:uri="http://www.w3.org/2000/xmlns/"/>
  </ds:schemaRefs>
</ds:datastoreItem>
</file>

<file path=customXml/itemProps4.xml><?xml version="1.0" encoding="utf-8"?>
<ds:datastoreItem xmlns:ds="http://schemas.openxmlformats.org/officeDocument/2006/customXml" ds:itemID="{4C18D9BC-5EBD-45C6-96D3-5EB8E779E8E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3079</Words>
  <Characters>22409</Characters>
  <Application>Microsoft Office Word</Application>
  <DocSecurity>0</DocSecurity>
  <Lines>186</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FLORINA MARIA</cp:lastModifiedBy>
  <cp:revision>2</cp:revision>
  <dcterms:created xsi:type="dcterms:W3CDTF">2026-10-09T11:43:00Z</dcterms:created>
  <dcterms:modified xsi:type="dcterms:W3CDTF">2026-10-09T11:43:00Z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0x0101004EB10BDA3117D04FAA88CCE7BEBD4E99</vt:lpwstr>
  </property>
  <property fmtid="{D5CDD505-2E9C-101B-9397-08002B2CF9AE}" pid="3" name="GrammarlyDocumentId">
    <vt:lpwstr>3cfe5858-1dfb-405f-87d5-2780f1eee74e</vt:lpwstr>
  </property>
  <property fmtid="{D5CDD505-2E9C-101B-9397-08002B2CF9AE}" pid="4" name="ICV">
    <vt:lpwstr>9084622ef6d5484d9205bb6fde01c4c9</vt:lpwstr>
  </property>
</Properties>
</file>