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65DA2CBC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B75B1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>
        <w:br/>
      </w:r>
      <w:r>
        <w:br/>
      </w:r>
      <w:r w:rsidR="00E02B70">
        <w:rPr>
          <w:lang w:eastAsia="en-GB"/>
        </w:rPr>
        <w:t>C</w:t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7DF324AD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E02B70">
        <w:t>B</w:t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7CDFEBB4" w14:textId="77777777" w:rsidR="00E02B70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E02B7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</w:p>
    <w:p w14:paraId="2AFEDF57" w14:textId="35624137" w:rsidR="004A02F4" w:rsidRDefault="00E02B70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</w:t>
      </w:r>
      <w:r w:rsidR="004A02F4">
        <w:br/>
      </w:r>
      <w:r w:rsidR="004A02F4"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738A9DE2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E02B70">
        <w:t xml:space="preserve">Smith, J. (2022) </w:t>
      </w:r>
      <w:r w:rsidR="00E02B70">
        <w:rPr>
          <w:i/>
          <w:iCs/>
        </w:rPr>
        <w:t xml:space="preserve">Understanding Care. </w:t>
      </w:r>
      <w:r w:rsidR="00E02B70">
        <w:t xml:space="preserve"> London: Sage</w:t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59FA5042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E02B70">
        <w:t xml:space="preserve"> Social Care institute for Excellence (2024). </w:t>
      </w:r>
      <w:r w:rsidR="00E02B70">
        <w:rPr>
          <w:i/>
          <w:iCs/>
        </w:rPr>
        <w:t xml:space="preserve">Safeguarding adults Sharing Information. </w:t>
      </w:r>
      <w:r w:rsidR="00E02B70">
        <w:t xml:space="preserve"> Available at: </w:t>
      </w:r>
      <w:hyperlink r:id="rId7" w:history="1">
        <w:r w:rsidR="00E02B70" w:rsidRPr="001E3BFC">
          <w:rPr>
            <w:rStyle w:val="Hyperlink"/>
            <w:rFonts w:ascii="Cambria" w:hAnsi="Cambria"/>
            <w:sz w:val="24"/>
            <w:szCs w:val="24"/>
          </w:rPr>
          <w:t>www.scie.org.uk/safeguarding/adults/practice/sharing-information</w:t>
        </w:r>
      </w:hyperlink>
      <w:r w:rsidR="00E02B70">
        <w:rPr>
          <w:rFonts w:ascii="Cambria" w:hAnsi="Cambria"/>
          <w:sz w:val="24"/>
          <w:szCs w:val="24"/>
        </w:rPr>
        <w:t xml:space="preserve"> (Accessed at: 10</w:t>
      </w:r>
      <w:r w:rsidR="00E02B70" w:rsidRPr="00E02B70">
        <w:rPr>
          <w:rFonts w:ascii="Cambria" w:hAnsi="Cambria"/>
          <w:sz w:val="24"/>
          <w:szCs w:val="24"/>
          <w:vertAlign w:val="superscript"/>
        </w:rPr>
        <w:t>th</w:t>
      </w:r>
      <w:r w:rsidR="00E02B70">
        <w:rPr>
          <w:rFonts w:ascii="Cambria" w:hAnsi="Cambria"/>
          <w:sz w:val="24"/>
          <w:szCs w:val="24"/>
        </w:rPr>
        <w:t xml:space="preserve"> October 2025).</w:t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 xmlns:w16cei="http://schemas.microsoft.com/office/word/2026/wordml/cei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512090FB" w:rsidR="008E070C" w:rsidRPr="00E02B70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E02B7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E02B70">
        <w:rPr>
          <w:rFonts w:ascii="Cambria" w:hAnsi="Cambria"/>
          <w:b/>
          <w:bCs/>
          <w:i/>
          <w:iCs/>
          <w:color w:val="404040"/>
          <w:sz w:val="24"/>
          <w:szCs w:val="24"/>
        </w:rPr>
        <w:t xml:space="preserve">Book </w:t>
      </w:r>
    </w:p>
    <w:p w14:paraId="361BB3D4" w14:textId="61CB8BDD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proofErr w:type="gramStart"/>
      <w:r w:rsidR="00E02B7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 </w:t>
      </w:r>
      <w:r w:rsidR="00E02B70">
        <w:rPr>
          <w:rFonts w:ascii="Cambria" w:hAnsi="Cambria"/>
          <w:b/>
          <w:bCs/>
          <w:i/>
          <w:iCs/>
          <w:color w:val="404040"/>
          <w:sz w:val="24"/>
          <w:szCs w:val="24"/>
        </w:rPr>
        <w:t>(</w:t>
      </w:r>
      <w:proofErr w:type="gramEnd"/>
      <w:r w:rsidR="00E02B70">
        <w:rPr>
          <w:rFonts w:ascii="Cambria" w:hAnsi="Cambria"/>
          <w:b/>
          <w:bCs/>
          <w:color w:val="404040"/>
          <w:sz w:val="24"/>
          <w:szCs w:val="24"/>
        </w:rPr>
        <w:t xml:space="preserve">Connelly and Forsyth, 2011) </w:t>
      </w:r>
    </w:p>
    <w:p w14:paraId="5FCE8BA1" w14:textId="1303CDB6" w:rsidR="008E070C" w:rsidRPr="00E02B70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E02B7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E02B70">
        <w:rPr>
          <w:rFonts w:ascii="Cambria" w:hAnsi="Cambria"/>
          <w:b/>
          <w:bCs/>
          <w:i/>
          <w:iCs/>
          <w:color w:val="404040"/>
          <w:sz w:val="24"/>
          <w:szCs w:val="24"/>
        </w:rPr>
        <w:t xml:space="preserve"> according to Connelly and Forsyth (2011)</w:t>
      </w:r>
    </w:p>
    <w:p w14:paraId="60A7AF17" w14:textId="1D6A2AEF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E02B70">
        <w:rPr>
          <w:rFonts w:ascii="Cambria" w:hAnsi="Cambria"/>
          <w:color w:val="404040"/>
          <w:sz w:val="24"/>
          <w:szCs w:val="24"/>
        </w:rPr>
        <w:t xml:space="preserve">  Connelly, J. and Forsyth, P. (20211).  </w:t>
      </w:r>
      <w:r w:rsidR="00E02B70">
        <w:rPr>
          <w:rFonts w:ascii="Cambria" w:hAnsi="Cambria"/>
          <w:i/>
          <w:iCs/>
          <w:color w:val="404040"/>
          <w:sz w:val="24"/>
          <w:szCs w:val="24"/>
        </w:rPr>
        <w:t xml:space="preserve">Writing Skills: Essential Techniques to Gain Top Marks. </w:t>
      </w:r>
      <w:r w:rsidR="00E02B70">
        <w:rPr>
          <w:rFonts w:ascii="Cambria" w:hAnsi="Cambria"/>
          <w:color w:val="404040"/>
          <w:sz w:val="24"/>
          <w:szCs w:val="24"/>
        </w:rPr>
        <w:t xml:space="preserve"> </w:t>
      </w:r>
      <w:r w:rsidR="00D56A86">
        <w:rPr>
          <w:rFonts w:ascii="Cambria" w:hAnsi="Cambria"/>
          <w:color w:val="404040"/>
          <w:sz w:val="24"/>
          <w:szCs w:val="24"/>
        </w:rPr>
        <w:t>Great Britain and USA: Kogan Page Limited.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25BAA5E5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B75B1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</w:p>
    <w:p w14:paraId="37C401F1" w14:textId="1857C1F3" w:rsidR="00F02448" w:rsidRPr="00B75B16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B75B1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B75B16">
        <w:rPr>
          <w:rFonts w:ascii="Cambria" w:hAnsi="Cambria"/>
          <w:b/>
          <w:bCs/>
          <w:i/>
          <w:iCs/>
          <w:color w:val="404040"/>
          <w:sz w:val="24"/>
          <w:szCs w:val="24"/>
        </w:rPr>
        <w:t xml:space="preserve">Journal </w:t>
      </w:r>
    </w:p>
    <w:p w14:paraId="758B4806" w14:textId="25CDEE01" w:rsidR="00F02448" w:rsidRPr="00B84A6D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</w:t>
      </w:r>
      <w:r w:rsidRPr="00B84A6D">
        <w:rPr>
          <w:rFonts w:ascii="Cambria" w:hAnsi="Cambria"/>
          <w:b/>
          <w:bCs/>
          <w:color w:val="404040"/>
          <w:sz w:val="24"/>
          <w:szCs w:val="24"/>
          <w:u w:val="single"/>
        </w:rPr>
        <w:t>:</w:t>
      </w:r>
      <w:r w:rsidR="00B75B16" w:rsidRPr="00B84A6D">
        <w:rPr>
          <w:rFonts w:ascii="Cambria" w:hAnsi="Cambria"/>
          <w:b/>
          <w:bCs/>
          <w:color w:val="404040"/>
          <w:sz w:val="24"/>
          <w:szCs w:val="24"/>
          <w:u w:val="single"/>
        </w:rPr>
        <w:t xml:space="preserve"> </w:t>
      </w:r>
      <w:r w:rsidR="00B84A6D" w:rsidRPr="00B84A6D">
        <w:rPr>
          <w:rFonts w:ascii="Cambria" w:hAnsi="Cambria"/>
          <w:color w:val="404040"/>
          <w:sz w:val="24"/>
          <w:szCs w:val="24"/>
        </w:rPr>
        <w:t>(Callinan, Van der zee and Wilson, 2016)</w:t>
      </w:r>
    </w:p>
    <w:p w14:paraId="7B570756" w14:textId="0D560C72" w:rsidR="00F02448" w:rsidRPr="00B84A6D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 w:rsidRPr="00B84A6D">
        <w:rPr>
          <w:rFonts w:ascii="Cambria" w:hAnsi="Cambria"/>
          <w:b/>
          <w:bCs/>
          <w:color w:val="404040"/>
          <w:sz w:val="24"/>
          <w:szCs w:val="24"/>
          <w:u w:val="single"/>
        </w:rPr>
        <w:t>Citation variation 2:</w:t>
      </w:r>
      <w:r w:rsidR="00B84A6D" w:rsidRPr="00B84A6D">
        <w:rPr>
          <w:rFonts w:ascii="Cambria" w:hAnsi="Cambria"/>
          <w:b/>
          <w:bCs/>
          <w:color w:val="404040"/>
          <w:sz w:val="24"/>
          <w:szCs w:val="24"/>
          <w:u w:val="single"/>
        </w:rPr>
        <w:t xml:space="preserve"> </w:t>
      </w:r>
      <w:r w:rsidR="00B84A6D" w:rsidRPr="00B84A6D">
        <w:rPr>
          <w:rFonts w:ascii="Cambria" w:hAnsi="Cambria"/>
          <w:b/>
          <w:bCs/>
          <w:color w:val="404040"/>
          <w:sz w:val="24"/>
          <w:szCs w:val="24"/>
        </w:rPr>
        <w:t xml:space="preserve"> </w:t>
      </w:r>
      <w:r w:rsidR="00B84A6D" w:rsidRPr="00B84A6D">
        <w:rPr>
          <w:rFonts w:ascii="Cambria" w:hAnsi="Cambria"/>
          <w:color w:val="404040"/>
          <w:sz w:val="24"/>
          <w:szCs w:val="24"/>
        </w:rPr>
        <w:t>According to Callinan, Van der Zee and Wilson (2016).</w:t>
      </w:r>
    </w:p>
    <w:p w14:paraId="54C16381" w14:textId="0E313FDB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</w:t>
      </w:r>
      <w:r w:rsidRPr="00B84A6D">
        <w:rPr>
          <w:rFonts w:ascii="Cambria" w:hAnsi="Cambria"/>
          <w:b/>
          <w:bCs/>
          <w:color w:val="404040"/>
          <w:sz w:val="24"/>
          <w:szCs w:val="24"/>
          <w:u w:val="single"/>
        </w:rPr>
        <w:t>:</w:t>
      </w:r>
      <w:r w:rsidR="00B84A6D" w:rsidRPr="00B84A6D">
        <w:rPr>
          <w:rFonts w:ascii="Cambria" w:hAnsi="Cambria"/>
          <w:b/>
          <w:bCs/>
          <w:color w:val="404040"/>
          <w:sz w:val="24"/>
          <w:szCs w:val="24"/>
          <w:u w:val="single"/>
        </w:rPr>
        <w:t xml:space="preserve"> </w:t>
      </w:r>
      <w:r w:rsidR="00B84A6D" w:rsidRPr="00B84A6D">
        <w:rPr>
          <w:rFonts w:ascii="Cambria" w:hAnsi="Cambria"/>
          <w:b/>
          <w:bCs/>
          <w:color w:val="404040"/>
          <w:sz w:val="24"/>
          <w:szCs w:val="24"/>
        </w:rPr>
        <w:t xml:space="preserve">Callinan, </w:t>
      </w:r>
      <w:r w:rsidR="00B84A6D" w:rsidRPr="00B84A6D">
        <w:rPr>
          <w:rFonts w:ascii="Cambria" w:hAnsi="Cambria"/>
          <w:color w:val="404040"/>
          <w:sz w:val="24"/>
          <w:szCs w:val="24"/>
        </w:rPr>
        <w:t>C.J, Van der Zee, E. and Wilson, G. (2016). ‘Developing Essay writing skills: An evaluation of the modelling behaviour</w:t>
      </w:r>
      <w:r w:rsidR="00B84A6D" w:rsidRPr="00B84A6D">
        <w:rPr>
          <w:sz w:val="24"/>
          <w:szCs w:val="24"/>
        </w:rPr>
        <w:t xml:space="preserve"> method and the influence of student self-efficacy’</w:t>
      </w:r>
      <w:r w:rsidR="00B84A6D">
        <w:rPr>
          <w:b/>
          <w:bCs/>
          <w:sz w:val="24"/>
          <w:szCs w:val="24"/>
        </w:rPr>
        <w:t xml:space="preserve">. </w:t>
      </w:r>
      <w:r w:rsidR="00B84A6D">
        <w:rPr>
          <w:b/>
          <w:bCs/>
          <w:i/>
          <w:iCs/>
          <w:sz w:val="24"/>
          <w:szCs w:val="24"/>
        </w:rPr>
        <w:t xml:space="preserve"> </w:t>
      </w:r>
      <w:r w:rsidR="00B84A6D">
        <w:rPr>
          <w:i/>
          <w:iCs/>
          <w:sz w:val="24"/>
          <w:szCs w:val="24"/>
        </w:rPr>
        <w:t xml:space="preserve">Journal of Further and Higher  Education  </w:t>
      </w:r>
      <w:r w:rsidR="00B84A6D" w:rsidRPr="00B84A6D">
        <w:rPr>
          <w:sz w:val="24"/>
          <w:szCs w:val="24"/>
        </w:rPr>
        <w:t>42 (5</w:t>
      </w:r>
      <w:r w:rsidR="00F64D2B" w:rsidRPr="00B84A6D">
        <w:rPr>
          <w:sz w:val="24"/>
          <w:szCs w:val="24"/>
        </w:rPr>
        <w:t xml:space="preserve">) </w:t>
      </w:r>
      <w:r w:rsidR="00F64D2B">
        <w:rPr>
          <w:sz w:val="24"/>
          <w:szCs w:val="24"/>
        </w:rPr>
        <w:t xml:space="preserve">pp: </w:t>
      </w:r>
      <w:r w:rsidR="00B84A6D" w:rsidRPr="00B84A6D">
        <w:rPr>
          <w:sz w:val="24"/>
          <w:szCs w:val="24"/>
        </w:rPr>
        <w:t>608-622</w:t>
      </w:r>
      <w:r w:rsidR="00B84A6D">
        <w:rPr>
          <w:sz w:val="24"/>
          <w:szCs w:val="24"/>
        </w:rPr>
        <w:t>. Available at:</w:t>
      </w:r>
      <w:r w:rsidR="00E02B70">
        <w:rPr>
          <w:sz w:val="24"/>
          <w:szCs w:val="24"/>
        </w:rPr>
        <w:t xml:space="preserve"> https//doi.org/10.1080/0309877x2017.1302564.</w:t>
      </w:r>
      <w:r w:rsidRPr="00B84A6D">
        <w:rPr>
          <w:sz w:val="24"/>
          <w:szCs w:val="24"/>
        </w:rPr>
        <w:br/>
      </w:r>
      <w:r w:rsidRPr="00B84A6D">
        <w:rPr>
          <w:sz w:val="24"/>
          <w:szCs w:val="24"/>
        </w:rP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0CFDD07E" w:rsidR="00216CC6" w:rsidRDefault="00D56A8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280FDEAF" w:rsidR="00216CC6" w:rsidRDefault="00D56A8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03DEA722" w:rsidR="00216CC6" w:rsidRDefault="00D56A8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535BD241" w:rsidR="00216CC6" w:rsidRPr="00D56A86" w:rsidRDefault="00D56A8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b/>
          <w:bCs/>
          <w:u w:val="single"/>
          <w:lang w:eastAsia="en-GB"/>
        </w:rPr>
      </w:pPr>
      <w:r>
        <w:rPr>
          <w:rFonts w:ascii="Cambria" w:hAnsi="Cambria"/>
          <w:sz w:val="24"/>
          <w:szCs w:val="24"/>
        </w:rPr>
        <w:t xml:space="preserve"> </w:t>
      </w:r>
      <w:r>
        <w:rPr>
          <w:rFonts w:ascii="Cambria" w:hAnsi="Cambria"/>
          <w:b/>
          <w:bCs/>
          <w:sz w:val="24"/>
          <w:szCs w:val="24"/>
        </w:rPr>
        <w:t xml:space="preserve"> According to Smith (2022). </w:t>
      </w:r>
      <w:r w:rsidR="00216CC6">
        <w:rPr>
          <w:rFonts w:ascii="Cambria" w:hAnsi="Cambria"/>
          <w:sz w:val="24"/>
          <w:szCs w:val="24"/>
        </w:rPr>
        <w:t xml:space="preserve">Person-centred care improves patient satisfaction and health outcomes. Communication between professionals is essential for safe care. </w:t>
      </w:r>
      <w:r>
        <w:rPr>
          <w:rFonts w:ascii="Cambria" w:hAnsi="Cambria"/>
          <w:sz w:val="24"/>
          <w:szCs w:val="24"/>
        </w:rPr>
        <w:t xml:space="preserve"> </w:t>
      </w:r>
      <w:r>
        <w:rPr>
          <w:rFonts w:ascii="Cambria" w:hAnsi="Cambria"/>
          <w:b/>
          <w:bCs/>
          <w:sz w:val="24"/>
          <w:szCs w:val="24"/>
        </w:rPr>
        <w:t xml:space="preserve"> (NHS England, 2023) </w:t>
      </w:r>
      <w:r w:rsidR="00216CC6">
        <w:rPr>
          <w:rFonts w:ascii="Cambria" w:hAnsi="Cambria"/>
          <w:sz w:val="24"/>
          <w:szCs w:val="24"/>
        </w:rPr>
        <w:t>Reflective practice supports lifelong learning.</w:t>
      </w:r>
      <w:r>
        <w:rPr>
          <w:rFonts w:ascii="Cambria" w:hAnsi="Cambria"/>
          <w:sz w:val="24"/>
          <w:szCs w:val="24"/>
        </w:rPr>
        <w:t xml:space="preserve"> </w:t>
      </w:r>
      <w:r>
        <w:rPr>
          <w:rFonts w:ascii="Cambria" w:hAnsi="Cambria"/>
          <w:b/>
          <w:bCs/>
          <w:sz w:val="24"/>
          <w:szCs w:val="24"/>
          <w:u w:val="single"/>
        </w:rPr>
        <w:t>(Brown, 2021)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3724193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D56A86">
        <w:t>B</w:t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3A2894C4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 w:rsidR="00D56A86">
        <w:t>A and C</w:t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4851C84C" w14:textId="77777777" w:rsidR="00D56A86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67239432" w14:textId="047DF1F7" w:rsidR="004A02F4" w:rsidRDefault="00D56A86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B</w:t>
      </w:r>
      <w:r w:rsidR="004A02F4">
        <w:br/>
      </w:r>
      <w:r w:rsidR="004A02F4"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lastRenderedPageBreak/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6EB848D9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D56A86">
        <w:t>D</w:t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7075E0B5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D56A86">
        <w:t xml:space="preserve"> C</w:t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63F22C" w14:textId="77777777" w:rsidR="0077340E" w:rsidRDefault="0077340E" w:rsidP="001E7F7E">
      <w:pPr>
        <w:spacing w:after="0" w:line="240" w:lineRule="auto"/>
      </w:pPr>
      <w:r>
        <w:separator/>
      </w:r>
    </w:p>
  </w:endnote>
  <w:endnote w:type="continuationSeparator" w:id="0">
    <w:p w14:paraId="5E2938BE" w14:textId="77777777" w:rsidR="0077340E" w:rsidRDefault="0077340E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1F6597" w14:textId="77777777" w:rsidR="0077340E" w:rsidRDefault="0077340E" w:rsidP="001E7F7E">
      <w:pPr>
        <w:spacing w:after="0" w:line="240" w:lineRule="auto"/>
      </w:pPr>
      <w:r>
        <w:separator/>
      </w:r>
    </w:p>
  </w:footnote>
  <w:footnote w:type="continuationSeparator" w:id="0">
    <w:p w14:paraId="3D7E3E72" w14:textId="77777777" w:rsidR="0077340E" w:rsidRDefault="0077340E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0D6528"/>
    <w:rsid w:val="00123D64"/>
    <w:rsid w:val="00132123"/>
    <w:rsid w:val="001641F9"/>
    <w:rsid w:val="00193859"/>
    <w:rsid w:val="001A1E41"/>
    <w:rsid w:val="001B4133"/>
    <w:rsid w:val="001B5724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54153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7340E"/>
    <w:rsid w:val="007A50D8"/>
    <w:rsid w:val="007C769C"/>
    <w:rsid w:val="007E0792"/>
    <w:rsid w:val="007E7971"/>
    <w:rsid w:val="008104AB"/>
    <w:rsid w:val="00836F1D"/>
    <w:rsid w:val="008470DD"/>
    <w:rsid w:val="00871029"/>
    <w:rsid w:val="008A2527"/>
    <w:rsid w:val="008C2BE9"/>
    <w:rsid w:val="008E070C"/>
    <w:rsid w:val="008F4DA3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75B16"/>
    <w:rsid w:val="00B841B5"/>
    <w:rsid w:val="00B84A6D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56A86"/>
    <w:rsid w:val="00D749CB"/>
    <w:rsid w:val="00D96DE6"/>
    <w:rsid w:val="00DA3EC9"/>
    <w:rsid w:val="00E025FB"/>
    <w:rsid w:val="00E02B70"/>
    <w:rsid w:val="00E279D7"/>
    <w:rsid w:val="00E61336"/>
    <w:rsid w:val="00E7000E"/>
    <w:rsid w:val="00EA39DF"/>
    <w:rsid w:val="00EA4404"/>
    <w:rsid w:val="00EC53CC"/>
    <w:rsid w:val="00ED2A72"/>
    <w:rsid w:val="00F02448"/>
    <w:rsid w:val="00F06C89"/>
    <w:rsid w:val="00F60146"/>
    <w:rsid w:val="00F64D2B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scie.org.uk/safeguarding/adults/practice/sharing-information" TargetMode="External"/><Relationship Id="rId12" Type="http://schemas.openxmlformats.org/officeDocument/2006/relationships/header" Target="head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11</Pages>
  <Words>729</Words>
  <Characters>4157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Shanaya Kareem (2436365)</cp:lastModifiedBy>
  <cp:revision>4</cp:revision>
  <dcterms:created xsi:type="dcterms:W3CDTF">2026-10-02T09:00:00Z</dcterms:created>
  <dcterms:modified xsi:type="dcterms:W3CDTF">2026-10-02T09:40:00Z</dcterms:modified>
</cp:coreProperties>
</file>