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9465C16" wp14:paraId="6CE53158" wp14:textId="526D0D35">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9465C16" w:rsidR="13226A06">
        <w:rPr>
          <w:rFonts w:ascii="Arial Nova" w:hAnsi="Arial Nova" w:eastAsia="Arial Nova" w:cs="Arial Nova"/>
          <w:b w:val="1"/>
          <w:bCs w:val="1"/>
          <w:i w:val="0"/>
          <w:iCs w:val="0"/>
          <w:caps w:val="0"/>
          <w:smallCaps w:val="0"/>
          <w:noProof w:val="0"/>
          <w:color w:val="000000" w:themeColor="text1" w:themeTint="FF" w:themeShade="FF"/>
          <w:sz w:val="24"/>
          <w:szCs w:val="24"/>
          <w:lang w:val="en-US"/>
        </w:rPr>
        <w:t>Task One: Maslow’s Hierarchy - Infographic</w:t>
      </w:r>
    </w:p>
    <w:p xmlns:wp14="http://schemas.microsoft.com/office/word/2010/wordml" w:rsidP="59465C16" wp14:paraId="634651EB" wp14:textId="4D736130">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Physiological Needs:</w:t>
      </w:r>
    </w:p>
    <w:p xmlns:wp14="http://schemas.microsoft.com/office/word/2010/wordml" w:rsidP="59465C16" wp14:paraId="6A82CF05" wp14:textId="353E0647">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According to Maslow (Stoyanov, 2017) one of the most fundamental aspects of human development is physiological needs. This is where human beings strive for survival, warmth, comfort, shelter, sleep and nutrition, to satisfy their personal needs and requirements. For Maslow, humans have an innate ability to strive for a high quality of    life and to further sustain oneself.</w:t>
      </w:r>
    </w:p>
    <w:p xmlns:wp14="http://schemas.microsoft.com/office/word/2010/wordml" w:rsidP="59465C16" wp14:paraId="421E405F" wp14:textId="4017B20F">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Maslow’s Hierarchy of Needs plays a crucial role in public life and policy. Governments strive for the physiological needs of their citizens, through a variety of programmes; such as social welfare, NHS healthcare, and in the education system. For example, the Welsh Government has proposed a “Free School Meals Scheme”, whereby all pupils from primary schools receive different food options at lunchtime.</w:t>
      </w:r>
    </w:p>
    <w:p xmlns:wp14="http://schemas.microsoft.com/office/word/2010/wordml" w:rsidP="59465C16" wp14:paraId="75540D5A" wp14:textId="0F4C765F">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Aldridge </w:t>
      </w:r>
      <w:r w:rsidRPr="59465C16" w:rsidR="13226A06">
        <w:rPr>
          <w:rFonts w:ascii="Arial Nova" w:hAnsi="Arial Nova" w:eastAsia="Arial Nova" w:cs="Arial Nova"/>
          <w:b w:val="0"/>
          <w:bCs w:val="0"/>
          <w:i w:val="1"/>
          <w:iCs w:val="1"/>
          <w:caps w:val="0"/>
          <w:smallCaps w:val="0"/>
          <w:noProof w:val="0"/>
          <w:color w:val="000000" w:themeColor="text1" w:themeTint="FF" w:themeShade="FF"/>
          <w:sz w:val="24"/>
          <w:szCs w:val="24"/>
          <w:lang w:val="en-US"/>
        </w:rPr>
        <w:t>et al</w:t>
      </w: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 (2012) emphasised upon the responsibility that the practitioner has in providing physiological support for families who are living below the poverty line. Practitioners might give school uniform to some students, who are not as fortunate as others. They can support families by claiming extra entitlements, and to assess the socio-economic situation, for which the child is living in.</w:t>
      </w:r>
    </w:p>
    <w:p xmlns:wp14="http://schemas.microsoft.com/office/word/2010/wordml" w:rsidP="59465C16" wp14:paraId="7FAC1351" wp14:textId="6B711E49">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spiritual and ecological experiences display a strong effect on the physiological needs of children. Barnes </w:t>
      </w:r>
      <w:r w:rsidRPr="59465C16" w:rsidR="13226A06">
        <w:rPr>
          <w:rFonts w:ascii="Arial Nova" w:hAnsi="Arial Nova" w:eastAsia="Arial Nova" w:cs="Arial Nova"/>
          <w:b w:val="0"/>
          <w:bCs w:val="0"/>
          <w:i w:val="1"/>
          <w:iCs w:val="1"/>
          <w:caps w:val="0"/>
          <w:smallCaps w:val="0"/>
          <w:noProof w:val="0"/>
          <w:color w:val="000000" w:themeColor="text1" w:themeTint="FF" w:themeShade="FF"/>
          <w:sz w:val="24"/>
          <w:szCs w:val="24"/>
          <w:lang w:val="en-US"/>
        </w:rPr>
        <w:t>et al.</w:t>
      </w: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(2000), suggested that spirituality eliminates any psychosocial problems, and it also positively changes the perception of themselves. However, Bronfenbrenner (Sadownik, 2023) has proposed that children are directly influenced by different social interactions, through its ‘microsystem.’</w:t>
      </w:r>
    </w:p>
    <w:p xmlns:wp14="http://schemas.microsoft.com/office/word/2010/wordml" w:rsidP="59465C16" wp14:paraId="34A349B7" wp14:textId="7CB1A0B4">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Safety and Security Needs:</w:t>
      </w:r>
    </w:p>
    <w:p xmlns:wp14="http://schemas.microsoft.com/office/word/2010/wordml" w:rsidP="59465C16" wp14:paraId="4371F0DE" wp14:textId="18DBEBD3">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In “Maslow’s Hierarchy of Needs”, he argues that the other important categories are safety and security needs. Maslow (Stoyanov, 2017), highlights that safety is key to promoting a learning environment that is conducive to success. He points out that children must work in a safe and sustainable world, and that parents co-operate with practitioners, to ensure that children are protected from danger.</w:t>
      </w:r>
    </w:p>
    <w:p xmlns:wp14="http://schemas.microsoft.com/office/word/2010/wordml" w:rsidP="59465C16" wp14:paraId="7AD4353C" wp14:textId="6FBF896F">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However, some scholars believe that young children who are exposed to a relationship with nonmaternal caregivers are at a greater risk of disruption than the child-mother connections (Belsky, 1986, 1988, 1990). It is the parents that lay the foundations for “children’s emerging competence and development” (Howes and Ritchie, 2022).        Such relationships attribute to the child’s social-emotional growth. </w:t>
      </w:r>
    </w:p>
    <w:p xmlns:wp14="http://schemas.microsoft.com/office/word/2010/wordml" w:rsidP="59465C16" wp14:paraId="31064BA4" wp14:textId="6B806226">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From the practitioner’s experience, children who live in a safe environment at home, thrive academically, socially and culturally in school. However, some pupils are economically disadvantaged, and so they are not provided with “high-quality early education” (Ofsted, 2014). It is important for practitioners to work in areas of multiple deprivation, to ensure that children excel in their own academic spheres (Siraj-Blatchford </w:t>
      </w:r>
      <w:r w:rsidRPr="59465C16" w:rsidR="13226A06">
        <w:rPr>
          <w:rFonts w:ascii="Arial Nova" w:hAnsi="Arial Nova" w:eastAsia="Arial Nova" w:cs="Arial Nova"/>
          <w:b w:val="0"/>
          <w:bCs w:val="0"/>
          <w:i w:val="1"/>
          <w:iCs w:val="1"/>
          <w:caps w:val="0"/>
          <w:smallCaps w:val="0"/>
          <w:noProof w:val="0"/>
          <w:color w:val="000000" w:themeColor="text1" w:themeTint="FF" w:themeShade="FF"/>
          <w:sz w:val="24"/>
          <w:szCs w:val="24"/>
          <w:lang w:val="en-US"/>
        </w:rPr>
        <w:t>et al.</w:t>
      </w: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 2002).</w:t>
      </w:r>
    </w:p>
    <w:p xmlns:wp14="http://schemas.microsoft.com/office/word/2010/wordml" w:rsidP="59465C16" wp14:paraId="0D4340D3" wp14:textId="36A5497B">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Arnold </w:t>
      </w:r>
      <w:r w:rsidRPr="59465C16" w:rsidR="13226A06">
        <w:rPr>
          <w:rFonts w:ascii="Arial Nova" w:hAnsi="Arial Nova" w:eastAsia="Arial Nova" w:cs="Arial Nova"/>
          <w:b w:val="0"/>
          <w:bCs w:val="0"/>
          <w:i w:val="1"/>
          <w:iCs w:val="1"/>
          <w:caps w:val="0"/>
          <w:smallCaps w:val="0"/>
          <w:noProof w:val="0"/>
          <w:color w:val="000000" w:themeColor="text1" w:themeTint="FF" w:themeShade="FF"/>
          <w:sz w:val="24"/>
          <w:szCs w:val="24"/>
          <w:lang w:val="en-US"/>
        </w:rPr>
        <w:t>et al.</w:t>
      </w: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(2006) insinuates that the key qualities required for the children’s high-quality of education are: emotional well-being, cognitive knowledge, physical development and fine motor skills. In more developing countries, the opportunity for safety, growth and security takes precedence over the other set of features. It is achieved without the need for intervention in Western countries.</w:t>
      </w:r>
    </w:p>
    <w:p xmlns:wp14="http://schemas.microsoft.com/office/word/2010/wordml" w:rsidP="59465C16" wp14:paraId="4C944F42" wp14:textId="0E4B9AEF">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Social Needs:</w:t>
      </w:r>
    </w:p>
    <w:p xmlns:wp14="http://schemas.microsoft.com/office/word/2010/wordml" w:rsidP="59465C16" wp14:paraId="30573FC0" wp14:textId="3B3750C8">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Central to Maslow’s framework is the desire to be fulfilled with our social needs, exemplified with love and belonging. Bronfenbrenner (Sadownik, 2023) argues that social interactions (linkages) are an apt representation of the microsystem. It is imperative that the parents and Early Years Professionals collectively work together        to ensure that children thrive academically. This makes the child’s transitions in microsystems much more efficient.</w:t>
      </w:r>
    </w:p>
    <w:p xmlns:wp14="http://schemas.microsoft.com/office/word/2010/wordml" w:rsidP="59465C16" wp14:paraId="3264DC66" wp14:textId="030059F1">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Children display their own thoughts and feelings in different ways, right before the acquisition of language. One compelling example is the research supported by  Alderson </w:t>
      </w:r>
      <w:r w:rsidRPr="59465C16" w:rsidR="13226A06">
        <w:rPr>
          <w:rFonts w:ascii="Arial Nova" w:hAnsi="Arial Nova" w:eastAsia="Arial Nova" w:cs="Arial Nova"/>
          <w:b w:val="0"/>
          <w:bCs w:val="0"/>
          <w:i w:val="1"/>
          <w:iCs w:val="1"/>
          <w:caps w:val="0"/>
          <w:smallCaps w:val="0"/>
          <w:noProof w:val="0"/>
          <w:color w:val="000000" w:themeColor="text1" w:themeTint="FF" w:themeShade="FF"/>
          <w:sz w:val="24"/>
          <w:szCs w:val="24"/>
          <w:lang w:val="en-US"/>
        </w:rPr>
        <w:t>et al</w:t>
      </w: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 (2005), whereby premature babies in their early days of life reveals ‘signs’ of observation and preferences for the types of professional caregivers.             Prior to their maturation, the newborn babies were able to demonstrate their self-awareness, and of the “levels of light, noise and activity around them.”</w:t>
      </w:r>
    </w:p>
    <w:p xmlns:wp14="http://schemas.microsoft.com/office/word/2010/wordml" w:rsidP="59465C16" wp14:paraId="372138B4" wp14:textId="50767EAD">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For Sander (2016), one of the key determinants of friendships is propinquity. This is    the belief that children have a tendency to play with others in the same physical environment. There is a perception that the children’s peer preferences are often impacted by the ethnic classroom compositions (Juvonen </w:t>
      </w:r>
      <w:r w:rsidRPr="59465C16" w:rsidR="13226A06">
        <w:rPr>
          <w:rFonts w:ascii="Arial Nova" w:hAnsi="Arial Nova" w:eastAsia="Arial Nova" w:cs="Arial Nova"/>
          <w:b w:val="0"/>
          <w:bCs w:val="0"/>
          <w:i w:val="1"/>
          <w:iCs w:val="1"/>
          <w:caps w:val="0"/>
          <w:smallCaps w:val="0"/>
          <w:noProof w:val="0"/>
          <w:color w:val="000000" w:themeColor="text1" w:themeTint="FF" w:themeShade="FF"/>
          <w:sz w:val="24"/>
          <w:szCs w:val="24"/>
          <w:lang w:val="en-US"/>
        </w:rPr>
        <w:t>et al.</w:t>
      </w: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 2004). Children who attend diverse schools will be exposed to different racial interactions and forge friendships between cross-ethnic peers (Howes and Wu, 1990).</w:t>
      </w:r>
    </w:p>
    <w:p xmlns:wp14="http://schemas.microsoft.com/office/word/2010/wordml" w:rsidP="59465C16" wp14:paraId="04B57D67" wp14:textId="55C228BF">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The Welsh Government (2022) has proposed that one of the purposes of the “New Curriculum for Wales,” is for individuals to grow as “enterprising and creative contributors”, who will take risks and make a huge difference in the world. It is the responsibility of the practitioner to ensure that students work in a learning-led environment that is conducive to productivity (Sroufe, 1983).</w:t>
      </w:r>
    </w:p>
    <w:p xmlns:wp14="http://schemas.microsoft.com/office/word/2010/wordml" w:rsidP="59465C16" wp14:paraId="14F03B7C" wp14:textId="3D989769">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Self-Esteem Needs:</w:t>
      </w:r>
    </w:p>
    <w:p xmlns:wp14="http://schemas.microsoft.com/office/word/2010/wordml" w:rsidP="59465C16" wp14:paraId="502B9221" wp14:textId="09D92A78">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One of the other fundamental aspects of “Maslow’s Hierarchy of Needs” (Stoyanov, 2017) is self-esteem. Maslow argues that self-esteem promotes self-confidence, resilience, and a strong sense of belief in ourselves. However, the thwarting of self-esteem leads itself to feelings of powerlessness, inferiority and insecurity. Humans      want to be respected and not alienated from a group. </w:t>
      </w:r>
    </w:p>
    <w:p xmlns:wp14="http://schemas.microsoft.com/office/word/2010/wordml" w:rsidP="59465C16" wp14:paraId="7A10EB7A" wp14:textId="260D797D">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Recent studies proposed by New Zealand (Dalli, 2002), have shown that children who actively engage in different learning activities are able to construct meaningful and pleasurable experiences. They maintain social interactions between other learners, teachers, staff members and other objects. It also fully contributes to the holistic development of learning, and it engenders a sense of belonging. </w:t>
      </w:r>
    </w:p>
    <w:p xmlns:wp14="http://schemas.microsoft.com/office/word/2010/wordml" w:rsidP="59465C16" wp14:paraId="5EF71456" wp14:textId="74650FAC">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There are a wide range of programmes that focus on the learners' social-emotional development. One example is the “Tools of the Mind - Play” (Bodrova and Leong,  2007), where the main objective was to explore learning and social outcomes from learners. Children experiencing this programme have displayed better social competence skills and less behaviour issues (Morris et al, 2014). </w:t>
      </w:r>
    </w:p>
    <w:p xmlns:wp14="http://schemas.microsoft.com/office/word/2010/wordml" w:rsidP="59465C16" wp14:paraId="09DEA2BD" wp14:textId="3E7F9AAE">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Self-Actualisation Needs:</w:t>
      </w:r>
    </w:p>
    <w:p xmlns:wp14="http://schemas.microsoft.com/office/word/2010/wordml" w:rsidP="59465C16" wp14:paraId="3110BEB9" wp14:textId="12D20AD5">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One of the highest priorities in “Maslow’s Hierarchy of Needs” is self-actualisation needs. In Montessori’s “Education and Peace” book, she argued that: “An extremely important task lies before us: actuating man’s values, thus allowing him to attain the maximum development of his energies” (1972, p. xiv). It is at this point that a small proportion of the population achieve this objective. </w:t>
      </w:r>
    </w:p>
    <w:p xmlns:wp14="http://schemas.microsoft.com/office/word/2010/wordml" w:rsidP="59465C16" wp14:paraId="636C792C" wp14:textId="0E8BDB2A">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Froebel (Tovey, 2020) draws upon similar parallels between Maslow’s theory, by suggesting that children should have the ability to think for themselves, act creatively, and use problem-solving skills. For Froebel, freedom can only work successfully if      there is an element of responsibility, respect for others, the use of natural resources, and a supportive teaching environment. </w:t>
      </w:r>
    </w:p>
    <w:p xmlns:wp14="http://schemas.microsoft.com/office/word/2010/wordml" w:rsidP="59465C16" wp14:paraId="24C4E19E" wp14:textId="37F813C0">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rights of children are further emphasised in Article 12 of the “United Nations Convention on the rights of the child” (Brooker, 2008). It is the responsibility of the government to ensure that children can confidently express their own opinions, in a   free and democratic society. In the same way, a Froebelian would encourage      children to promote self-discipline and make strategic decisions. </w:t>
      </w:r>
    </w:p>
    <w:p xmlns:wp14="http://schemas.microsoft.com/office/word/2010/wordml" w:rsidP="59465C16" wp14:paraId="05974EB9" wp14:textId="2CB6DD4B">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Conclusion:</w:t>
      </w:r>
    </w:p>
    <w:p xmlns:wp14="http://schemas.microsoft.com/office/word/2010/wordml" w:rsidP="59465C16" wp14:paraId="541AB8D8" wp14:textId="26C35457">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9465C16" w:rsidR="13226A06">
        <w:rPr>
          <w:rFonts w:ascii="Arial Nova" w:hAnsi="Arial Nova" w:eastAsia="Arial Nova" w:cs="Arial Nova"/>
          <w:b w:val="0"/>
          <w:bCs w:val="0"/>
          <w:i w:val="0"/>
          <w:iCs w:val="0"/>
          <w:caps w:val="0"/>
          <w:smallCaps w:val="0"/>
          <w:noProof w:val="0"/>
          <w:color w:val="000000" w:themeColor="text1" w:themeTint="FF" w:themeShade="FF"/>
          <w:sz w:val="24"/>
          <w:szCs w:val="24"/>
          <w:lang w:val="en-US"/>
        </w:rPr>
        <w:t>In Summary, Maslow’s Hierarchy of Needs has a wide range of applications in Early Years Professionalism, and it plays a crucial role in the holistic development of      children respectively.</w:t>
      </w:r>
    </w:p>
    <w:p xmlns:wp14="http://schemas.microsoft.com/office/word/2010/wordml" wp14:paraId="2C078E63" wp14:textId="130E18D1"/>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8647F8"/>
    <w:rsid w:val="13226A06"/>
    <w:rsid w:val="59465C16"/>
    <w:rsid w:val="6E8647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39AB1"/>
  <w15:chartTrackingRefBased/>
  <w15:docId w15:val="{14ED6C76-029E-4157-A7FF-D78FF2A1880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2024-12-01T17:39:20.2535881Z</dcterms:created>
  <dcterms:modified xsi:type="dcterms:W3CDTF">2024-12-01T17:40:01.9424365Z</dcterms:modified>
  <dc:creator>Barbara Sliwinska (2406598)</dc:creator>
  <lastModifiedBy>Barbara Sliwinska (2406598)</lastModifiedBy>
</coreProperties>
</file>