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4CB544" w14:textId="77777777" w:rsidR="00980B9E" w:rsidRPr="00867B18" w:rsidRDefault="00980B9E" w:rsidP="006F47F7">
      <w:pPr>
        <w:jc w:val="center"/>
        <w:rPr>
          <w:rFonts w:ascii="Times New Roman" w:hAnsi="Times New Roman" w:cs="Times New Roman"/>
          <w:b/>
          <w:bCs/>
          <w:sz w:val="40"/>
          <w:szCs w:val="40"/>
        </w:rPr>
      </w:pPr>
      <w:r w:rsidRPr="00867B18">
        <w:rPr>
          <w:rFonts w:ascii="Times New Roman" w:hAnsi="Times New Roman" w:cs="Times New Roman"/>
          <w:b/>
          <w:bCs/>
          <w:sz w:val="40"/>
          <w:szCs w:val="40"/>
        </w:rPr>
        <w:t>Support Paper: Professional Development as a Meal Assistant in Health and Social Care</w:t>
      </w:r>
    </w:p>
    <w:p w14:paraId="33F5F7C8" w14:textId="77777777" w:rsidR="002F4815" w:rsidRPr="00867B18" w:rsidRDefault="002F4815" w:rsidP="006F47F7">
      <w:pPr>
        <w:jc w:val="both"/>
        <w:rPr>
          <w:rFonts w:ascii="Times New Roman" w:hAnsi="Times New Roman" w:cs="Times New Roman"/>
          <w:sz w:val="28"/>
          <w:szCs w:val="28"/>
        </w:rPr>
      </w:pPr>
    </w:p>
    <w:p w14:paraId="663401BE" w14:textId="77777777" w:rsidR="00980B9E" w:rsidRPr="00867B18" w:rsidRDefault="00980B9E" w:rsidP="006F47F7">
      <w:pPr>
        <w:jc w:val="both"/>
        <w:rPr>
          <w:rFonts w:ascii="Times New Roman" w:hAnsi="Times New Roman" w:cs="Times New Roman"/>
          <w:b/>
          <w:bCs/>
          <w:sz w:val="28"/>
          <w:szCs w:val="28"/>
        </w:rPr>
      </w:pPr>
      <w:r w:rsidRPr="00867B18">
        <w:rPr>
          <w:rFonts w:ascii="Times New Roman" w:hAnsi="Times New Roman" w:cs="Times New Roman"/>
          <w:b/>
          <w:bCs/>
          <w:sz w:val="28"/>
          <w:szCs w:val="28"/>
        </w:rPr>
        <w:t>Introduction</w:t>
      </w:r>
    </w:p>
    <w:p w14:paraId="29EF28AE" w14:textId="77777777" w:rsidR="00474830" w:rsidRPr="00867B18" w:rsidRDefault="00474830" w:rsidP="006F47F7">
      <w:pPr>
        <w:jc w:val="both"/>
        <w:rPr>
          <w:rFonts w:ascii="Times New Roman" w:hAnsi="Times New Roman" w:cs="Times New Roman"/>
          <w:sz w:val="28"/>
          <w:szCs w:val="28"/>
        </w:rPr>
      </w:pPr>
      <w:r w:rsidRPr="00867B18">
        <w:rPr>
          <w:rFonts w:ascii="Times New Roman" w:hAnsi="Times New Roman" w:cs="Times New Roman"/>
          <w:sz w:val="28"/>
          <w:szCs w:val="28"/>
        </w:rPr>
        <w:t>In the field of health and social care, my role as a Meal Assistant is crucial for meeting the nutritional needs of patients, which directly affects their recovery and overall quality of life. Good nutrition is key to many aspects of patient care, such as speeding up recovery, supporting resilience, and enhancing the effectiveness of treatments. Beyond preparing meals, I am involved in developing dietary programs that help with medical treatments and improve patient wellbeing.</w:t>
      </w:r>
    </w:p>
    <w:p w14:paraId="24E616DD" w14:textId="5806A57E" w:rsidR="00474830" w:rsidRPr="00867B18" w:rsidRDefault="00474830" w:rsidP="006F47F7">
      <w:pPr>
        <w:jc w:val="both"/>
        <w:rPr>
          <w:rFonts w:ascii="Times New Roman" w:hAnsi="Times New Roman" w:cs="Times New Roman"/>
          <w:sz w:val="28"/>
          <w:szCs w:val="28"/>
        </w:rPr>
      </w:pPr>
      <w:r w:rsidRPr="00867B18">
        <w:rPr>
          <w:rFonts w:ascii="Times New Roman" w:hAnsi="Times New Roman" w:cs="Times New Roman"/>
          <w:sz w:val="28"/>
          <w:szCs w:val="28"/>
        </w:rPr>
        <w:t>In this paper, I will share my personal experiences in this role, using a SWOT analysis to better understand my strengths, weaknesses, opportunities, and threats. This analysis will help me explore the important role of nutrition in healthcare settings and its connection to larger healthcare goals. I will also discuss academic literature that offers strategies for my personal and professional growth, emphasizing how important good dietary management is in patient care and recovery.</w:t>
      </w:r>
    </w:p>
    <w:p w14:paraId="7E16C125" w14:textId="1A3DCF75" w:rsidR="00980B9E" w:rsidRPr="00867B18" w:rsidRDefault="00980B9E" w:rsidP="006F47F7">
      <w:pPr>
        <w:jc w:val="both"/>
        <w:rPr>
          <w:rFonts w:ascii="Times New Roman" w:hAnsi="Times New Roman" w:cs="Times New Roman"/>
          <w:b/>
          <w:bCs/>
          <w:sz w:val="28"/>
          <w:szCs w:val="28"/>
        </w:rPr>
      </w:pPr>
      <w:r w:rsidRPr="00867B18">
        <w:rPr>
          <w:rFonts w:ascii="Times New Roman" w:hAnsi="Times New Roman" w:cs="Times New Roman"/>
          <w:b/>
          <w:bCs/>
          <w:sz w:val="28"/>
          <w:szCs w:val="28"/>
        </w:rPr>
        <w:t>Strengths: Empathy, Communication and Team Collaboration</w:t>
      </w:r>
    </w:p>
    <w:p w14:paraId="3EC7F3B1" w14:textId="73DC32BC" w:rsidR="00474830" w:rsidRPr="00867B18" w:rsidRDefault="00474830" w:rsidP="006F47F7">
      <w:pPr>
        <w:jc w:val="both"/>
        <w:rPr>
          <w:rFonts w:ascii="Times New Roman" w:hAnsi="Times New Roman" w:cs="Times New Roman"/>
          <w:sz w:val="28"/>
          <w:szCs w:val="28"/>
        </w:rPr>
      </w:pPr>
      <w:r w:rsidRPr="00867B18">
        <w:rPr>
          <w:rFonts w:ascii="Times New Roman" w:hAnsi="Times New Roman" w:cs="Times New Roman"/>
          <w:sz w:val="28"/>
          <w:szCs w:val="28"/>
        </w:rPr>
        <w:t>Empathy in patient care, especially within the realm of nutrition, is fundamental in building trust and ensuring patients adhere to their nutritional plans, which are critical for their recovery. The research by K. Eddy et al emphasizes the necessity of effective teamwork and communication in healthcare settings as essential components for delivering high-quality care. In my role, my commitment to actively listening to patients' concerns and preferences has not only enhanced my advocacy for their needs within the care team but also ensured that dietary interventions are precisely tailored to each patient.</w:t>
      </w:r>
    </w:p>
    <w:p w14:paraId="17DC9CF4" w14:textId="3F666966" w:rsidR="00474830" w:rsidRPr="00867B18" w:rsidRDefault="00474830" w:rsidP="006F47F7">
      <w:pPr>
        <w:jc w:val="both"/>
        <w:rPr>
          <w:rFonts w:ascii="Times New Roman" w:hAnsi="Times New Roman" w:cs="Times New Roman"/>
          <w:sz w:val="28"/>
          <w:szCs w:val="28"/>
        </w:rPr>
      </w:pPr>
      <w:r w:rsidRPr="00867B18">
        <w:rPr>
          <w:rFonts w:ascii="Times New Roman" w:hAnsi="Times New Roman" w:cs="Times New Roman"/>
          <w:sz w:val="28"/>
          <w:szCs w:val="28"/>
        </w:rPr>
        <w:t xml:space="preserve">Furthermore, my ability to adapt communication styles to meet the diverse needs of patients is critical, especially when managing complex cases that involve multidisciplinary teams. The study by C. </w:t>
      </w:r>
      <w:proofErr w:type="spellStart"/>
      <w:r w:rsidRPr="00867B18">
        <w:rPr>
          <w:rFonts w:ascii="Times New Roman" w:hAnsi="Times New Roman" w:cs="Times New Roman"/>
          <w:sz w:val="28"/>
          <w:szCs w:val="28"/>
        </w:rPr>
        <w:t>Sangaleti</w:t>
      </w:r>
      <w:proofErr w:type="spellEnd"/>
      <w:r w:rsidRPr="00867B18">
        <w:rPr>
          <w:rFonts w:ascii="Times New Roman" w:hAnsi="Times New Roman" w:cs="Times New Roman"/>
          <w:sz w:val="28"/>
          <w:szCs w:val="28"/>
        </w:rPr>
        <w:t xml:space="preserve"> et al highlights how effective teamwork in healthcare is not just about individual skills but also about the collective capability of various healthcare professionals to collaborate towards common patient goals. This inclusive approach to communication has enabled me to work effectively with dietitians, nurses, and caregivers, ensuring comprehensive and cohesive care.</w:t>
      </w:r>
    </w:p>
    <w:p w14:paraId="057DF358" w14:textId="56E64FAF" w:rsidR="00474830" w:rsidRPr="00867B18" w:rsidRDefault="00474830" w:rsidP="006F47F7">
      <w:pPr>
        <w:jc w:val="both"/>
        <w:rPr>
          <w:rFonts w:ascii="Times New Roman" w:hAnsi="Times New Roman" w:cs="Times New Roman"/>
          <w:sz w:val="28"/>
          <w:szCs w:val="28"/>
        </w:rPr>
      </w:pPr>
      <w:r w:rsidRPr="00867B18">
        <w:rPr>
          <w:rFonts w:ascii="Times New Roman" w:hAnsi="Times New Roman" w:cs="Times New Roman"/>
          <w:sz w:val="28"/>
          <w:szCs w:val="28"/>
        </w:rPr>
        <w:lastRenderedPageBreak/>
        <w:t xml:space="preserve">To enhance our team's effectiveness, we can always use feedback mechanisms that encourage open communication and continuous improvement. According to D. </w:t>
      </w:r>
      <w:proofErr w:type="spellStart"/>
      <w:r w:rsidRPr="00867B18">
        <w:rPr>
          <w:rFonts w:ascii="Times New Roman" w:hAnsi="Times New Roman" w:cs="Times New Roman"/>
          <w:sz w:val="28"/>
          <w:szCs w:val="28"/>
        </w:rPr>
        <w:t>Vashdi</w:t>
      </w:r>
      <w:proofErr w:type="spellEnd"/>
      <w:r w:rsidRPr="00867B18">
        <w:rPr>
          <w:rFonts w:ascii="Times New Roman" w:hAnsi="Times New Roman" w:cs="Times New Roman"/>
          <w:sz w:val="28"/>
          <w:szCs w:val="28"/>
        </w:rPr>
        <w:t xml:space="preserve"> et al, guided team reflexivity, which includes structured feedback, is linked to improved team performance, attention to detail, and psychological safety in healthcare settings. This practice has proven vital in efforts to adapt and refine teamwork strategies, ultimately leading to better patient care outcomes.</w:t>
      </w:r>
    </w:p>
    <w:p w14:paraId="79E7B5D4" w14:textId="620DF9C8" w:rsidR="00980B9E" w:rsidRPr="00867B18" w:rsidRDefault="00980B9E" w:rsidP="006F47F7">
      <w:pPr>
        <w:jc w:val="both"/>
        <w:rPr>
          <w:rFonts w:ascii="Times New Roman" w:hAnsi="Times New Roman" w:cs="Times New Roman"/>
          <w:b/>
          <w:bCs/>
          <w:sz w:val="28"/>
          <w:szCs w:val="28"/>
        </w:rPr>
      </w:pPr>
      <w:r w:rsidRPr="00867B18">
        <w:rPr>
          <w:rFonts w:ascii="Times New Roman" w:hAnsi="Times New Roman" w:cs="Times New Roman"/>
          <w:b/>
          <w:bCs/>
          <w:sz w:val="28"/>
          <w:szCs w:val="28"/>
        </w:rPr>
        <w:t>Weaknesses: Time Management and Technical Knowledge and Resource Utilization</w:t>
      </w:r>
    </w:p>
    <w:p w14:paraId="49377429" w14:textId="67294F66" w:rsidR="00980B9E" w:rsidRPr="00867B18" w:rsidRDefault="00980B9E" w:rsidP="006F47F7">
      <w:pPr>
        <w:jc w:val="both"/>
        <w:rPr>
          <w:rFonts w:ascii="Times New Roman" w:hAnsi="Times New Roman" w:cs="Times New Roman"/>
          <w:sz w:val="28"/>
          <w:szCs w:val="28"/>
        </w:rPr>
      </w:pPr>
      <w:r w:rsidRPr="00867B18">
        <w:rPr>
          <w:rFonts w:ascii="Times New Roman" w:hAnsi="Times New Roman" w:cs="Times New Roman"/>
          <w:sz w:val="28"/>
          <w:szCs w:val="28"/>
        </w:rPr>
        <w:t xml:space="preserve">Time management emerges as a recurrent challenge, especially during peak </w:t>
      </w:r>
      <w:proofErr w:type="gramStart"/>
      <w:r w:rsidRPr="00867B18">
        <w:rPr>
          <w:rFonts w:ascii="Times New Roman" w:hAnsi="Times New Roman" w:cs="Times New Roman"/>
          <w:sz w:val="28"/>
          <w:szCs w:val="28"/>
        </w:rPr>
        <w:t>meal times</w:t>
      </w:r>
      <w:proofErr w:type="gramEnd"/>
      <w:r w:rsidRPr="00867B18">
        <w:rPr>
          <w:rFonts w:ascii="Times New Roman" w:hAnsi="Times New Roman" w:cs="Times New Roman"/>
          <w:sz w:val="28"/>
          <w:szCs w:val="28"/>
        </w:rPr>
        <w:t xml:space="preserve">. The literature suggests that effective time management strategies are critical in healthcare settings to enhance service delivery and patient satisfaction </w:t>
      </w:r>
      <w:hyperlink r:id="rId7" w:tgtFrame="_new" w:history="1">
        <w:r w:rsidRPr="002028E1">
          <w:rPr>
            <w:rStyle w:val="Hyperlink"/>
            <w:rFonts w:ascii="Times New Roman" w:hAnsi="Times New Roman" w:cs="Times New Roman"/>
            <w:color w:val="auto"/>
            <w:sz w:val="28"/>
            <w:szCs w:val="28"/>
            <w:u w:val="none"/>
          </w:rPr>
          <w:t>B. Maher et al.</w:t>
        </w:r>
      </w:hyperlink>
      <w:r w:rsidRPr="00867B18">
        <w:rPr>
          <w:rFonts w:ascii="Times New Roman" w:hAnsi="Times New Roman" w:cs="Times New Roman"/>
          <w:sz w:val="28"/>
          <w:szCs w:val="28"/>
        </w:rPr>
        <w:t xml:space="preserve"> Addressing this weakness involves structured training and adopting best practices in workflow management. Additionally, expanding my knowledge on specific dietary requirements is essential. The implementation of evidence-based nutritional management as discussed by </w:t>
      </w:r>
      <w:hyperlink r:id="rId8" w:tgtFrame="_new" w:history="1">
        <w:r w:rsidRPr="002028E1">
          <w:rPr>
            <w:rStyle w:val="Hyperlink"/>
            <w:rFonts w:ascii="Times New Roman" w:hAnsi="Times New Roman" w:cs="Times New Roman"/>
            <w:color w:val="auto"/>
            <w:sz w:val="28"/>
            <w:szCs w:val="28"/>
            <w:u w:val="none"/>
          </w:rPr>
          <w:t>Nara Letícia Zandonadi de Oliveira et al</w:t>
        </w:r>
      </w:hyperlink>
      <w:r w:rsidRPr="00867B18">
        <w:rPr>
          <w:rFonts w:ascii="Times New Roman" w:hAnsi="Times New Roman" w:cs="Times New Roman"/>
          <w:sz w:val="28"/>
          <w:szCs w:val="28"/>
        </w:rPr>
        <w:t xml:space="preserve"> can provide a framework for deepening technical expertise in dietetics. Alongside the previously discussed weaknesses, another area for improvement is resource utilization. Efficient use of resources, such as dietary supplies and staff allocation, directly impacts service delivery and patient satisfaction. A study by </w:t>
      </w:r>
      <w:hyperlink r:id="rId9" w:tgtFrame="_new" w:history="1">
        <w:r w:rsidRPr="002028E1">
          <w:rPr>
            <w:rStyle w:val="Hyperlink"/>
            <w:rFonts w:ascii="Times New Roman" w:hAnsi="Times New Roman" w:cs="Times New Roman"/>
            <w:color w:val="auto"/>
            <w:sz w:val="28"/>
            <w:szCs w:val="28"/>
            <w:u w:val="none"/>
          </w:rPr>
          <w:t>A. Cueto-Manzano et al</w:t>
        </w:r>
      </w:hyperlink>
      <w:r w:rsidRPr="00867B18">
        <w:rPr>
          <w:rFonts w:ascii="Times New Roman" w:hAnsi="Times New Roman" w:cs="Times New Roman"/>
          <w:sz w:val="28"/>
          <w:szCs w:val="28"/>
        </w:rPr>
        <w:t xml:space="preserve"> illustrates the importance of multidisciplinary care in chronic kidney disease, highlighting that effective resource management can significantly enhance patient outcomes by ensuring timely interventions.</w:t>
      </w:r>
    </w:p>
    <w:p w14:paraId="6F702355" w14:textId="7671BA47" w:rsidR="00980B9E" w:rsidRPr="00867B18" w:rsidRDefault="00980B9E" w:rsidP="006F47F7">
      <w:pPr>
        <w:jc w:val="both"/>
        <w:rPr>
          <w:rFonts w:ascii="Times New Roman" w:hAnsi="Times New Roman" w:cs="Times New Roman"/>
          <w:b/>
          <w:bCs/>
          <w:sz w:val="28"/>
          <w:szCs w:val="28"/>
        </w:rPr>
      </w:pPr>
      <w:r w:rsidRPr="00867B18">
        <w:rPr>
          <w:rFonts w:ascii="Times New Roman" w:hAnsi="Times New Roman" w:cs="Times New Roman"/>
          <w:b/>
          <w:bCs/>
          <w:sz w:val="28"/>
          <w:szCs w:val="28"/>
        </w:rPr>
        <w:t>Opportunities: Training and Career Advancement and Leadership Development</w:t>
      </w:r>
    </w:p>
    <w:p w14:paraId="3C0856EF" w14:textId="044B5A01" w:rsidR="00980B9E" w:rsidRPr="00867B18" w:rsidRDefault="00980B9E" w:rsidP="006F47F7">
      <w:pPr>
        <w:jc w:val="both"/>
        <w:rPr>
          <w:rFonts w:ascii="Times New Roman" w:hAnsi="Times New Roman" w:cs="Times New Roman"/>
          <w:sz w:val="28"/>
          <w:szCs w:val="28"/>
        </w:rPr>
      </w:pPr>
      <w:r w:rsidRPr="00867B18">
        <w:rPr>
          <w:rFonts w:ascii="Times New Roman" w:hAnsi="Times New Roman" w:cs="Times New Roman"/>
          <w:sz w:val="28"/>
          <w:szCs w:val="28"/>
        </w:rPr>
        <w:t xml:space="preserve">The role presents substantial opportunities for professional development through specialized training in nutrition and dietary management, which can enhance my practical skills and theoretical understanding. Engaging in continuing education, as outlined by </w:t>
      </w:r>
      <w:hyperlink r:id="rId10" w:tgtFrame="_new" w:history="1">
        <w:r w:rsidRPr="002028E1">
          <w:rPr>
            <w:rStyle w:val="Hyperlink"/>
            <w:rFonts w:ascii="Times New Roman" w:hAnsi="Times New Roman" w:cs="Times New Roman"/>
            <w:color w:val="auto"/>
            <w:sz w:val="28"/>
            <w:szCs w:val="28"/>
            <w:u w:val="none"/>
          </w:rPr>
          <w:t>G. Pinar</w:t>
        </w:r>
      </w:hyperlink>
      <w:r w:rsidRPr="00867B18">
        <w:rPr>
          <w:rFonts w:ascii="Times New Roman" w:hAnsi="Times New Roman" w:cs="Times New Roman"/>
          <w:sz w:val="28"/>
          <w:szCs w:val="28"/>
        </w:rPr>
        <w:t xml:space="preserve">, will equip me with advanced competencies that can lead to career advancement opportunities within healthcare, potentially transitioning into roles that influence dietary planning and patient nutrition management on a larger scale. To capitalize on the opportunities for professional growth, pursuing leadership roles within the dietary team could further enhance my career trajectory. Engaging in leadership training can provide the skills necessary to lead and inspire a team, as discussed by </w:t>
      </w:r>
      <w:r w:rsidR="00A80D46" w:rsidRPr="0025062F">
        <w:rPr>
          <w:rFonts w:ascii="Times New Roman" w:hAnsi="Times New Roman" w:cs="Times New Roman"/>
          <w:color w:val="0D0D0D"/>
          <w:sz w:val="28"/>
          <w:szCs w:val="28"/>
          <w:shd w:val="clear" w:color="auto" w:fill="FFFFFF"/>
        </w:rPr>
        <w:t>Laurel A. Despins</w:t>
      </w:r>
      <w:r w:rsidRPr="00867B18">
        <w:rPr>
          <w:rFonts w:ascii="Times New Roman" w:hAnsi="Times New Roman" w:cs="Times New Roman"/>
          <w:sz w:val="28"/>
          <w:szCs w:val="28"/>
        </w:rPr>
        <w:t xml:space="preserve"> on the necessity of interprofessional collaboration in intensive care settings, which can be adapted to dietary management in healthcare.</w:t>
      </w:r>
    </w:p>
    <w:p w14:paraId="26FBEDC3" w14:textId="1EB6BD77" w:rsidR="00980B9E" w:rsidRPr="00867B18" w:rsidRDefault="00980B9E" w:rsidP="006F47F7">
      <w:pPr>
        <w:jc w:val="both"/>
        <w:rPr>
          <w:rFonts w:ascii="Times New Roman" w:hAnsi="Times New Roman" w:cs="Times New Roman"/>
          <w:b/>
          <w:bCs/>
          <w:sz w:val="28"/>
          <w:szCs w:val="28"/>
        </w:rPr>
      </w:pPr>
      <w:r w:rsidRPr="00867B18">
        <w:rPr>
          <w:rFonts w:ascii="Times New Roman" w:hAnsi="Times New Roman" w:cs="Times New Roman"/>
          <w:b/>
          <w:bCs/>
          <w:sz w:val="28"/>
          <w:szCs w:val="28"/>
        </w:rPr>
        <w:lastRenderedPageBreak/>
        <w:t>Threats: Staffing Shortages and Regulatory Changes and Economic Constraints</w:t>
      </w:r>
    </w:p>
    <w:p w14:paraId="29DD0AA3" w14:textId="36D7FAE9" w:rsidR="00980B9E" w:rsidRPr="00867B18" w:rsidRDefault="00980B9E" w:rsidP="006F47F7">
      <w:pPr>
        <w:jc w:val="both"/>
        <w:rPr>
          <w:rFonts w:ascii="Times New Roman" w:hAnsi="Times New Roman" w:cs="Times New Roman"/>
          <w:sz w:val="28"/>
          <w:szCs w:val="28"/>
        </w:rPr>
      </w:pPr>
      <w:r w:rsidRPr="00867B18">
        <w:rPr>
          <w:rFonts w:ascii="Times New Roman" w:hAnsi="Times New Roman" w:cs="Times New Roman"/>
          <w:sz w:val="28"/>
          <w:szCs w:val="28"/>
        </w:rPr>
        <w:t xml:space="preserve">Staffing shortages pose a significant threat, often leading to increased workload and potential compromises in patient care quality. Strategically, fostering a resilient and adaptable work environment can mitigate these effects. Furthermore, staying abreast of regulatory changes in health care, as discussed by </w:t>
      </w:r>
      <w:hyperlink r:id="rId11" w:tgtFrame="_new" w:history="1">
        <w:proofErr w:type="spellStart"/>
        <w:r w:rsidRPr="002028E1">
          <w:rPr>
            <w:rStyle w:val="Hyperlink"/>
            <w:rFonts w:ascii="Times New Roman" w:hAnsi="Times New Roman" w:cs="Times New Roman"/>
            <w:color w:val="auto"/>
            <w:sz w:val="28"/>
            <w:szCs w:val="28"/>
            <w:u w:val="none"/>
          </w:rPr>
          <w:t>Sheiladen</w:t>
        </w:r>
        <w:proofErr w:type="spellEnd"/>
        <w:r w:rsidRPr="002028E1">
          <w:rPr>
            <w:rStyle w:val="Hyperlink"/>
            <w:rFonts w:ascii="Times New Roman" w:hAnsi="Times New Roman" w:cs="Times New Roman"/>
            <w:color w:val="auto"/>
            <w:sz w:val="28"/>
            <w:szCs w:val="28"/>
            <w:u w:val="none"/>
          </w:rPr>
          <w:t xml:space="preserve"> Aquino et al</w:t>
        </w:r>
      </w:hyperlink>
      <w:r w:rsidRPr="00867B18">
        <w:rPr>
          <w:rFonts w:ascii="Times New Roman" w:hAnsi="Times New Roman" w:cs="Times New Roman"/>
          <w:sz w:val="28"/>
          <w:szCs w:val="28"/>
        </w:rPr>
        <w:t xml:space="preserve">, is crucial for maintaining compliance and adapting to new dietary guidelines and safety protocols efficiently. Expanding on the threats, economic constraints pose a significant risk, impacting resource availability and the ability to implement necessary dietary interventions. The importance of adapting to economic fluctuations while maintaining care quality is crucial, as described in the study by </w:t>
      </w:r>
      <w:hyperlink r:id="rId12" w:tgtFrame="_new" w:history="1">
        <w:r w:rsidRPr="002028E1">
          <w:rPr>
            <w:rStyle w:val="Hyperlink"/>
            <w:rFonts w:ascii="Times New Roman" w:hAnsi="Times New Roman" w:cs="Times New Roman"/>
            <w:color w:val="auto"/>
            <w:sz w:val="28"/>
            <w:szCs w:val="28"/>
            <w:u w:val="none"/>
          </w:rPr>
          <w:t>G. Pinar</w:t>
        </w:r>
      </w:hyperlink>
      <w:r w:rsidRPr="00867B18">
        <w:rPr>
          <w:rFonts w:ascii="Times New Roman" w:hAnsi="Times New Roman" w:cs="Times New Roman"/>
          <w:sz w:val="28"/>
          <w:szCs w:val="28"/>
        </w:rPr>
        <w:t>, which highlights how simulation-enhanced interprofessional education can prepare healthcare teams for effective operation under various constraints.</w:t>
      </w:r>
    </w:p>
    <w:p w14:paraId="1FEDDCEB" w14:textId="77777777" w:rsidR="00980B9E" w:rsidRPr="00867B18" w:rsidRDefault="00980B9E" w:rsidP="006F47F7">
      <w:pPr>
        <w:jc w:val="both"/>
        <w:rPr>
          <w:rFonts w:ascii="Times New Roman" w:hAnsi="Times New Roman" w:cs="Times New Roman"/>
          <w:b/>
          <w:bCs/>
          <w:sz w:val="28"/>
          <w:szCs w:val="28"/>
        </w:rPr>
      </w:pPr>
      <w:r w:rsidRPr="00867B18">
        <w:rPr>
          <w:rFonts w:ascii="Times New Roman" w:hAnsi="Times New Roman" w:cs="Times New Roman"/>
          <w:b/>
          <w:bCs/>
          <w:sz w:val="28"/>
          <w:szCs w:val="28"/>
        </w:rPr>
        <w:t>Conclusion</w:t>
      </w:r>
    </w:p>
    <w:p w14:paraId="2C90B674" w14:textId="0F2AA42A" w:rsidR="00980B9E" w:rsidRPr="00867B18" w:rsidRDefault="00474830" w:rsidP="006F47F7">
      <w:pPr>
        <w:jc w:val="both"/>
        <w:rPr>
          <w:rFonts w:ascii="Times New Roman" w:hAnsi="Times New Roman" w:cs="Times New Roman"/>
          <w:sz w:val="28"/>
          <w:szCs w:val="28"/>
        </w:rPr>
      </w:pPr>
      <w:r w:rsidRPr="00867B18">
        <w:rPr>
          <w:rFonts w:ascii="Times New Roman" w:hAnsi="Times New Roman" w:cs="Times New Roman"/>
          <w:sz w:val="28"/>
          <w:szCs w:val="28"/>
        </w:rPr>
        <w:t>Reflecting on my role as a Meal Assistant has significantly deepened my understanding of how critical nutrition is to patient care and recovery. By leveraging my strengths in empathy, communication, and teamwork, I have been able to make a tangible difference in the lives of those I serve. Furthermore, I recognize the importance of addressing my areas of weakness, such as time management and technical knowledge, which are crucial for delivering efficient and effective care.</w:t>
      </w:r>
    </w:p>
    <w:p w14:paraId="5B091A42" w14:textId="5F18E100" w:rsidR="00474830" w:rsidRPr="00867B18" w:rsidRDefault="00474830" w:rsidP="006F47F7">
      <w:pPr>
        <w:jc w:val="both"/>
        <w:rPr>
          <w:rFonts w:ascii="Times New Roman" w:hAnsi="Times New Roman" w:cs="Times New Roman"/>
          <w:sz w:val="28"/>
          <w:szCs w:val="28"/>
        </w:rPr>
      </w:pPr>
      <w:r w:rsidRPr="00867B18">
        <w:rPr>
          <w:rFonts w:ascii="Times New Roman" w:hAnsi="Times New Roman" w:cs="Times New Roman"/>
          <w:sz w:val="28"/>
          <w:szCs w:val="28"/>
        </w:rPr>
        <w:t>My journey underscores the importance of continuous professional development in adapting to the ever-changing healthcare landscape. Engaging in ongoing education is not just beneficial</w:t>
      </w:r>
      <w:r w:rsidR="00B75AAB">
        <w:rPr>
          <w:rFonts w:ascii="Times New Roman" w:hAnsi="Times New Roman" w:cs="Times New Roman"/>
          <w:sz w:val="28"/>
          <w:szCs w:val="28"/>
        </w:rPr>
        <w:t xml:space="preserve">, </w:t>
      </w:r>
      <w:r w:rsidRPr="00867B18">
        <w:rPr>
          <w:rFonts w:ascii="Times New Roman" w:hAnsi="Times New Roman" w:cs="Times New Roman"/>
          <w:sz w:val="28"/>
          <w:szCs w:val="28"/>
        </w:rPr>
        <w:t>it's essential for staying current with the latest healthcare practices and improving patient outcomes. According to M. Fletcher, investing in healthcare professionals' education significantly improves patient care quality and justifies ongoing support for educational initiatives in healthcare settings (</w:t>
      </w:r>
      <w:hyperlink r:id="rId13" w:tgtFrame="_new" w:history="1">
        <w:r w:rsidRPr="00B75AAB">
          <w:rPr>
            <w:rStyle w:val="Hyperlink"/>
            <w:rFonts w:ascii="Times New Roman" w:hAnsi="Times New Roman" w:cs="Times New Roman"/>
            <w:color w:val="auto"/>
            <w:sz w:val="28"/>
            <w:szCs w:val="28"/>
            <w:u w:val="none"/>
          </w:rPr>
          <w:t>Fletcher, 2007</w:t>
        </w:r>
      </w:hyperlink>
      <w:r w:rsidRPr="00867B18">
        <w:rPr>
          <w:rFonts w:ascii="Times New Roman" w:hAnsi="Times New Roman" w:cs="Times New Roman"/>
          <w:sz w:val="28"/>
          <w:szCs w:val="28"/>
        </w:rPr>
        <w:t>).</w:t>
      </w:r>
    </w:p>
    <w:p w14:paraId="7EA1969E" w14:textId="2B92A99B" w:rsidR="0030753D" w:rsidRPr="00867B18" w:rsidRDefault="0030753D" w:rsidP="006F47F7">
      <w:pPr>
        <w:jc w:val="both"/>
        <w:rPr>
          <w:rFonts w:ascii="Times New Roman" w:hAnsi="Times New Roman" w:cs="Times New Roman"/>
          <w:sz w:val="28"/>
          <w:szCs w:val="28"/>
        </w:rPr>
      </w:pPr>
      <w:r w:rsidRPr="00867B18">
        <w:rPr>
          <w:rFonts w:ascii="Times New Roman" w:hAnsi="Times New Roman" w:cs="Times New Roman"/>
          <w:sz w:val="28"/>
          <w:szCs w:val="28"/>
        </w:rPr>
        <w:t>As I continue to grow professionally, I am committed to pursuing further education and training that aligns with my career goals and the needs of my patients. This commitment will enable me to not only meet but exceed the standards of care expected in today's healthcare environment.</w:t>
      </w:r>
    </w:p>
    <w:p w14:paraId="68F31EF8" w14:textId="77777777" w:rsidR="0030753D" w:rsidRDefault="0030753D" w:rsidP="006F47F7">
      <w:pPr>
        <w:jc w:val="both"/>
        <w:rPr>
          <w:rFonts w:ascii="Times New Roman" w:hAnsi="Times New Roman" w:cs="Times New Roman"/>
          <w:sz w:val="28"/>
          <w:szCs w:val="28"/>
        </w:rPr>
      </w:pPr>
    </w:p>
    <w:p w14:paraId="3E408CF3" w14:textId="77777777" w:rsidR="00B75AAB" w:rsidRDefault="00B75AAB" w:rsidP="006F47F7">
      <w:pPr>
        <w:jc w:val="both"/>
        <w:rPr>
          <w:rFonts w:ascii="Times New Roman" w:hAnsi="Times New Roman" w:cs="Times New Roman"/>
          <w:sz w:val="28"/>
          <w:szCs w:val="28"/>
        </w:rPr>
      </w:pPr>
    </w:p>
    <w:p w14:paraId="49BC9DB0" w14:textId="77777777" w:rsidR="00B75AAB" w:rsidRPr="00867B18" w:rsidRDefault="00B75AAB" w:rsidP="006F47F7">
      <w:pPr>
        <w:jc w:val="both"/>
        <w:rPr>
          <w:rFonts w:ascii="Times New Roman" w:hAnsi="Times New Roman" w:cs="Times New Roman"/>
          <w:sz w:val="28"/>
          <w:szCs w:val="28"/>
        </w:rPr>
      </w:pPr>
    </w:p>
    <w:p w14:paraId="389DF6AB" w14:textId="77777777" w:rsidR="00796803" w:rsidRPr="00D52E40" w:rsidRDefault="00796803" w:rsidP="00796803">
      <w:pPr>
        <w:widowControl w:val="0"/>
        <w:autoSpaceDE w:val="0"/>
        <w:autoSpaceDN w:val="0"/>
        <w:adjustRightInd w:val="0"/>
        <w:spacing w:after="240" w:line="360" w:lineRule="auto"/>
        <w:jc w:val="both"/>
        <w:rPr>
          <w:rFonts w:ascii="Times New Roman" w:hAnsi="Times New Roman" w:cs="Times New Roman"/>
          <w:kern w:val="0"/>
          <w:sz w:val="28"/>
          <w:szCs w:val="28"/>
        </w:rPr>
      </w:pPr>
      <w:r w:rsidRPr="00D52E40">
        <w:rPr>
          <w:rFonts w:ascii="Times New Roman" w:hAnsi="Times New Roman" w:cs="Times New Roman"/>
          <w:kern w:val="0"/>
          <w:sz w:val="28"/>
          <w:szCs w:val="28"/>
        </w:rPr>
        <w:t>Reference list</w:t>
      </w:r>
    </w:p>
    <w:p w14:paraId="1F0CCCE0" w14:textId="77777777" w:rsidR="00796803" w:rsidRPr="00D52E40" w:rsidRDefault="00796803" w:rsidP="00796803">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sz w:val="28"/>
          <w:szCs w:val="28"/>
        </w:rPr>
      </w:pPr>
      <w:r w:rsidRPr="00D52E40">
        <w:rPr>
          <w:rFonts w:ascii="Times New Roman" w:hAnsi="Times New Roman" w:cs="Times New Roman"/>
          <w:kern w:val="0"/>
          <w:sz w:val="28"/>
          <w:szCs w:val="28"/>
        </w:rPr>
        <w:t xml:space="preserve">Aquino, S., Sauter, T., Marland, L. and McCollum, A. (2023), ‘Integrated Swallowing, Nutrition and Medication Management in Care Homes using Telehealth’, </w:t>
      </w:r>
      <w:r w:rsidRPr="00D52E40">
        <w:rPr>
          <w:rFonts w:ascii="Times New Roman" w:hAnsi="Times New Roman" w:cs="Times New Roman"/>
          <w:i/>
          <w:iCs/>
          <w:kern w:val="0"/>
          <w:sz w:val="28"/>
          <w:szCs w:val="28"/>
        </w:rPr>
        <w:t>International journal of integrated care</w:t>
      </w:r>
      <w:r w:rsidRPr="00D52E40">
        <w:rPr>
          <w:rFonts w:ascii="Times New Roman" w:hAnsi="Times New Roman" w:cs="Times New Roman"/>
          <w:kern w:val="0"/>
          <w:sz w:val="28"/>
          <w:szCs w:val="28"/>
        </w:rPr>
        <w:t>, 23(S1), pp</w:t>
      </w:r>
      <w:r>
        <w:rPr>
          <w:rFonts w:ascii="Times New Roman" w:hAnsi="Times New Roman" w:cs="Times New Roman"/>
          <w:kern w:val="0"/>
          <w:sz w:val="28"/>
          <w:szCs w:val="28"/>
        </w:rPr>
        <w:t xml:space="preserve"> </w:t>
      </w:r>
      <w:r w:rsidRPr="00D52E40">
        <w:rPr>
          <w:rFonts w:ascii="Times New Roman" w:hAnsi="Times New Roman" w:cs="Times New Roman"/>
          <w:kern w:val="0"/>
          <w:sz w:val="28"/>
          <w:szCs w:val="28"/>
        </w:rPr>
        <w:t xml:space="preserve">491–491. </w:t>
      </w:r>
      <w:r>
        <w:rPr>
          <w:rFonts w:ascii="Times New Roman" w:hAnsi="Times New Roman" w:cs="Times New Roman"/>
          <w:kern w:val="0"/>
          <w:sz w:val="28"/>
          <w:szCs w:val="28"/>
        </w:rPr>
        <w:t>Available at</w:t>
      </w:r>
      <w:r w:rsidRPr="00D52E40">
        <w:rPr>
          <w:rFonts w:ascii="Times New Roman" w:hAnsi="Times New Roman" w:cs="Times New Roman"/>
          <w:kern w:val="0"/>
          <w:sz w:val="28"/>
          <w:szCs w:val="28"/>
        </w:rPr>
        <w:t>:</w:t>
      </w:r>
      <w:r>
        <w:rPr>
          <w:rFonts w:ascii="Times New Roman" w:hAnsi="Times New Roman" w:cs="Times New Roman"/>
          <w:kern w:val="0"/>
          <w:sz w:val="28"/>
          <w:szCs w:val="28"/>
        </w:rPr>
        <w:t xml:space="preserve"> </w:t>
      </w:r>
      <w:hyperlink r:id="rId14" w:history="1">
        <w:r w:rsidRPr="00002B3E">
          <w:rPr>
            <w:rStyle w:val="Hyperlink"/>
            <w:rFonts w:ascii="Times New Roman" w:hAnsi="Times New Roman" w:cs="Times New Roman"/>
            <w:color w:val="auto"/>
            <w:kern w:val="0"/>
            <w:sz w:val="28"/>
            <w:szCs w:val="28"/>
            <w:u w:val="none"/>
          </w:rPr>
          <w:t>https://doi.org/10.5334/ijic.icic23526</w:t>
        </w:r>
      </w:hyperlink>
      <w:r w:rsidRPr="00D52E40">
        <w:rPr>
          <w:rFonts w:ascii="Times New Roman" w:hAnsi="Times New Roman" w:cs="Times New Roman"/>
          <w:kern w:val="0"/>
          <w:sz w:val="28"/>
          <w:szCs w:val="28"/>
        </w:rPr>
        <w:t>.</w:t>
      </w:r>
    </w:p>
    <w:p w14:paraId="491C5D2E" w14:textId="77777777" w:rsidR="00796803" w:rsidRPr="00D52E40" w:rsidRDefault="00796803" w:rsidP="00796803">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sz w:val="28"/>
          <w:szCs w:val="28"/>
        </w:rPr>
      </w:pPr>
      <w:r w:rsidRPr="00D52E40">
        <w:rPr>
          <w:rFonts w:ascii="Times New Roman" w:hAnsi="Times New Roman" w:cs="Times New Roman"/>
          <w:kern w:val="0"/>
          <w:sz w:val="28"/>
          <w:szCs w:val="28"/>
        </w:rPr>
        <w:t>Cueto-Manzano, A.M., Cortés-Sanabria, L., Martínez-Ramírez, H.R., Márquez-Herrera, R.M., Solórzano-Rodríguez, E.C. and Rojas-Campos, E. (2017).</w:t>
      </w:r>
      <w:r>
        <w:rPr>
          <w:rFonts w:ascii="Times New Roman" w:hAnsi="Times New Roman" w:cs="Times New Roman"/>
          <w:kern w:val="0"/>
          <w:sz w:val="28"/>
          <w:szCs w:val="28"/>
        </w:rPr>
        <w:t>, ‘</w:t>
      </w:r>
      <w:r w:rsidRPr="00D52E40">
        <w:rPr>
          <w:rFonts w:ascii="Times New Roman" w:hAnsi="Times New Roman" w:cs="Times New Roman"/>
          <w:kern w:val="0"/>
          <w:sz w:val="28"/>
          <w:szCs w:val="28"/>
        </w:rPr>
        <w:t>Model of chronic kidney disease care in primary health care</w:t>
      </w:r>
      <w:r>
        <w:rPr>
          <w:rFonts w:ascii="Times New Roman" w:hAnsi="Times New Roman" w:cs="Times New Roman"/>
          <w:kern w:val="0"/>
          <w:sz w:val="28"/>
          <w:szCs w:val="28"/>
        </w:rPr>
        <w:t xml:space="preserve">’, </w:t>
      </w:r>
      <w:proofErr w:type="spellStart"/>
      <w:r w:rsidRPr="00D52E40">
        <w:rPr>
          <w:rFonts w:ascii="Times New Roman" w:hAnsi="Times New Roman" w:cs="Times New Roman"/>
          <w:i/>
          <w:iCs/>
          <w:kern w:val="0"/>
          <w:sz w:val="28"/>
          <w:szCs w:val="28"/>
        </w:rPr>
        <w:t>Revista</w:t>
      </w:r>
      <w:proofErr w:type="spellEnd"/>
      <w:r w:rsidRPr="00D52E40">
        <w:rPr>
          <w:rFonts w:ascii="Times New Roman" w:hAnsi="Times New Roman" w:cs="Times New Roman"/>
          <w:i/>
          <w:iCs/>
          <w:kern w:val="0"/>
          <w:sz w:val="28"/>
          <w:szCs w:val="28"/>
        </w:rPr>
        <w:t xml:space="preserve"> Medica Del Instituto Mexicano Del Seguro Social</w:t>
      </w:r>
      <w:r w:rsidRPr="00D52E40">
        <w:rPr>
          <w:rFonts w:ascii="Times New Roman" w:hAnsi="Times New Roman" w:cs="Times New Roman"/>
          <w:kern w:val="0"/>
          <w:sz w:val="28"/>
          <w:szCs w:val="28"/>
        </w:rPr>
        <w:t>, 55(</w:t>
      </w:r>
      <w:proofErr w:type="spellStart"/>
      <w:r w:rsidRPr="00D52E40">
        <w:rPr>
          <w:rFonts w:ascii="Times New Roman" w:hAnsi="Times New Roman" w:cs="Times New Roman"/>
          <w:kern w:val="0"/>
          <w:sz w:val="28"/>
          <w:szCs w:val="28"/>
        </w:rPr>
        <w:t>Suppl</w:t>
      </w:r>
      <w:proofErr w:type="spellEnd"/>
      <w:r w:rsidRPr="00D52E40">
        <w:rPr>
          <w:rFonts w:ascii="Times New Roman" w:hAnsi="Times New Roman" w:cs="Times New Roman"/>
          <w:kern w:val="0"/>
          <w:sz w:val="28"/>
          <w:szCs w:val="28"/>
        </w:rPr>
        <w:t xml:space="preserve"> 2), pp</w:t>
      </w:r>
      <w:r>
        <w:rPr>
          <w:rFonts w:ascii="Times New Roman" w:hAnsi="Times New Roman" w:cs="Times New Roman"/>
          <w:kern w:val="0"/>
          <w:sz w:val="28"/>
          <w:szCs w:val="28"/>
        </w:rPr>
        <w:t xml:space="preserve"> </w:t>
      </w:r>
      <w:r w:rsidRPr="00D52E40">
        <w:rPr>
          <w:rFonts w:ascii="Times New Roman" w:hAnsi="Times New Roman" w:cs="Times New Roman"/>
          <w:kern w:val="0"/>
          <w:sz w:val="28"/>
          <w:szCs w:val="28"/>
        </w:rPr>
        <w:t xml:space="preserve">S134-142. Available at: </w:t>
      </w:r>
      <w:hyperlink r:id="rId15" w:history="1">
        <w:r w:rsidRPr="00D52E40">
          <w:rPr>
            <w:rFonts w:ascii="Times New Roman" w:hAnsi="Times New Roman" w:cs="Times New Roman"/>
            <w:kern w:val="0"/>
            <w:sz w:val="28"/>
            <w:szCs w:val="28"/>
          </w:rPr>
          <w:t>https://pubmed.ncbi.nlm.nih.gov/29697223/</w:t>
        </w:r>
      </w:hyperlink>
      <w:r w:rsidRPr="00D52E40">
        <w:rPr>
          <w:rFonts w:ascii="Times New Roman" w:hAnsi="Times New Roman" w:cs="Times New Roman"/>
          <w:kern w:val="0"/>
          <w:sz w:val="28"/>
          <w:szCs w:val="28"/>
        </w:rPr>
        <w:t>.</w:t>
      </w:r>
    </w:p>
    <w:p w14:paraId="602F8334" w14:textId="77777777" w:rsidR="00796803" w:rsidRPr="00D52E40" w:rsidRDefault="00796803" w:rsidP="00796803">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sz w:val="28"/>
          <w:szCs w:val="28"/>
        </w:rPr>
      </w:pPr>
      <w:r>
        <w:rPr>
          <w:rFonts w:ascii="Times New Roman" w:hAnsi="Times New Roman" w:cs="Times New Roman"/>
          <w:kern w:val="0"/>
          <w:sz w:val="28"/>
          <w:szCs w:val="28"/>
        </w:rPr>
        <w:t>D</w:t>
      </w:r>
      <w:r w:rsidRPr="00D52E40">
        <w:rPr>
          <w:rFonts w:ascii="Times New Roman" w:hAnsi="Times New Roman" w:cs="Times New Roman"/>
          <w:kern w:val="0"/>
          <w:sz w:val="28"/>
          <w:szCs w:val="28"/>
        </w:rPr>
        <w:t xml:space="preserve">e Oliveira, N.L.Z., Peduzzi, M., </w:t>
      </w:r>
      <w:proofErr w:type="spellStart"/>
      <w:r w:rsidRPr="00D52E40">
        <w:rPr>
          <w:rFonts w:ascii="Times New Roman" w:hAnsi="Times New Roman" w:cs="Times New Roman"/>
          <w:kern w:val="0"/>
          <w:sz w:val="28"/>
          <w:szCs w:val="28"/>
        </w:rPr>
        <w:t>Agreli</w:t>
      </w:r>
      <w:proofErr w:type="spellEnd"/>
      <w:r w:rsidRPr="00D52E40">
        <w:rPr>
          <w:rFonts w:ascii="Times New Roman" w:hAnsi="Times New Roman" w:cs="Times New Roman"/>
          <w:kern w:val="0"/>
          <w:sz w:val="28"/>
          <w:szCs w:val="28"/>
        </w:rPr>
        <w:t>, H.L.F. and dos Santos Matsumoto, K. (2021)</w:t>
      </w:r>
      <w:r>
        <w:rPr>
          <w:rFonts w:ascii="Times New Roman" w:hAnsi="Times New Roman" w:cs="Times New Roman"/>
          <w:kern w:val="0"/>
          <w:sz w:val="28"/>
          <w:szCs w:val="28"/>
        </w:rPr>
        <w:t>,</w:t>
      </w:r>
      <w:r w:rsidRPr="00D52E40">
        <w:rPr>
          <w:rFonts w:ascii="Times New Roman" w:hAnsi="Times New Roman" w:cs="Times New Roman"/>
          <w:kern w:val="0"/>
          <w:sz w:val="28"/>
          <w:szCs w:val="28"/>
        </w:rPr>
        <w:t xml:space="preserve"> </w:t>
      </w:r>
      <w:r>
        <w:rPr>
          <w:rFonts w:ascii="Times New Roman" w:hAnsi="Times New Roman" w:cs="Times New Roman"/>
          <w:kern w:val="0"/>
          <w:sz w:val="28"/>
          <w:szCs w:val="28"/>
        </w:rPr>
        <w:t>‘</w:t>
      </w:r>
      <w:r w:rsidRPr="00D52E40">
        <w:rPr>
          <w:rFonts w:ascii="Times New Roman" w:hAnsi="Times New Roman" w:cs="Times New Roman"/>
          <w:kern w:val="0"/>
          <w:sz w:val="28"/>
          <w:szCs w:val="28"/>
        </w:rPr>
        <w:t>Implementation of evidence-based nutritional management in primary health care settings: a systematic scoping review</w:t>
      </w:r>
      <w:r>
        <w:rPr>
          <w:rFonts w:ascii="Times New Roman" w:hAnsi="Times New Roman" w:cs="Times New Roman"/>
          <w:kern w:val="0"/>
          <w:sz w:val="28"/>
          <w:szCs w:val="28"/>
        </w:rPr>
        <w:t xml:space="preserve">’, </w:t>
      </w:r>
      <w:r w:rsidRPr="00D52E40">
        <w:rPr>
          <w:rFonts w:ascii="Times New Roman" w:hAnsi="Times New Roman" w:cs="Times New Roman"/>
          <w:i/>
          <w:iCs/>
          <w:kern w:val="0"/>
          <w:sz w:val="28"/>
          <w:szCs w:val="28"/>
        </w:rPr>
        <w:t>Australian Journal of Primary Health</w:t>
      </w:r>
      <w:r w:rsidRPr="00D52E40">
        <w:rPr>
          <w:rFonts w:ascii="Times New Roman" w:hAnsi="Times New Roman" w:cs="Times New Roman"/>
          <w:kern w:val="0"/>
          <w:sz w:val="28"/>
          <w:szCs w:val="28"/>
        </w:rPr>
        <w:t xml:space="preserve">. </w:t>
      </w:r>
      <w:r>
        <w:rPr>
          <w:rFonts w:ascii="Times New Roman" w:hAnsi="Times New Roman" w:cs="Times New Roman"/>
          <w:kern w:val="0"/>
          <w:sz w:val="28"/>
          <w:szCs w:val="28"/>
        </w:rPr>
        <w:t>Available at</w:t>
      </w:r>
      <w:r w:rsidRPr="00D52E40">
        <w:rPr>
          <w:rFonts w:ascii="Times New Roman" w:hAnsi="Times New Roman" w:cs="Times New Roman"/>
          <w:kern w:val="0"/>
          <w:sz w:val="28"/>
          <w:szCs w:val="28"/>
        </w:rPr>
        <w:t>:</w:t>
      </w:r>
      <w:r>
        <w:rPr>
          <w:rFonts w:ascii="Times New Roman" w:hAnsi="Times New Roman" w:cs="Times New Roman"/>
          <w:kern w:val="0"/>
          <w:sz w:val="28"/>
          <w:szCs w:val="28"/>
        </w:rPr>
        <w:t xml:space="preserve"> </w:t>
      </w:r>
      <w:hyperlink r:id="rId16" w:history="1">
        <w:r w:rsidRPr="009923FA">
          <w:rPr>
            <w:rStyle w:val="Hyperlink"/>
            <w:rFonts w:ascii="Times New Roman" w:hAnsi="Times New Roman" w:cs="Times New Roman"/>
            <w:color w:val="auto"/>
            <w:kern w:val="0"/>
            <w:sz w:val="28"/>
            <w:szCs w:val="28"/>
            <w:u w:val="none"/>
          </w:rPr>
          <w:t>https://doi.org/10.1071/py20280</w:t>
        </w:r>
      </w:hyperlink>
      <w:r w:rsidRPr="00D52E40">
        <w:rPr>
          <w:rFonts w:ascii="Times New Roman" w:hAnsi="Times New Roman" w:cs="Times New Roman"/>
          <w:kern w:val="0"/>
          <w:sz w:val="28"/>
          <w:szCs w:val="28"/>
        </w:rPr>
        <w:t>.</w:t>
      </w:r>
    </w:p>
    <w:p w14:paraId="19C94566" w14:textId="77777777" w:rsidR="00796803" w:rsidRPr="00D52E40" w:rsidRDefault="00796803" w:rsidP="00796803">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sz w:val="28"/>
          <w:szCs w:val="28"/>
        </w:rPr>
      </w:pPr>
      <w:r w:rsidRPr="00D52E40">
        <w:rPr>
          <w:rFonts w:ascii="Times New Roman" w:hAnsi="Times New Roman" w:cs="Times New Roman"/>
          <w:kern w:val="0"/>
          <w:sz w:val="28"/>
          <w:szCs w:val="28"/>
        </w:rPr>
        <w:t>Despins, L.A. (2009)</w:t>
      </w:r>
      <w:r>
        <w:rPr>
          <w:rFonts w:ascii="Times New Roman" w:hAnsi="Times New Roman" w:cs="Times New Roman"/>
          <w:kern w:val="0"/>
          <w:sz w:val="28"/>
          <w:szCs w:val="28"/>
        </w:rPr>
        <w:t>, ‘</w:t>
      </w:r>
      <w:r w:rsidRPr="00D52E40">
        <w:rPr>
          <w:rFonts w:ascii="Times New Roman" w:hAnsi="Times New Roman" w:cs="Times New Roman"/>
          <w:kern w:val="0"/>
          <w:sz w:val="28"/>
          <w:szCs w:val="28"/>
        </w:rPr>
        <w:t>Patient Safety and Collaboration of the Intensive Care Unit Team</w:t>
      </w:r>
      <w:r>
        <w:rPr>
          <w:rFonts w:ascii="Times New Roman" w:hAnsi="Times New Roman" w:cs="Times New Roman"/>
          <w:kern w:val="0"/>
          <w:sz w:val="28"/>
          <w:szCs w:val="28"/>
        </w:rPr>
        <w:t>’,</w:t>
      </w:r>
      <w:r w:rsidRPr="00D52E40">
        <w:rPr>
          <w:rFonts w:ascii="Times New Roman" w:hAnsi="Times New Roman" w:cs="Times New Roman"/>
          <w:kern w:val="0"/>
          <w:sz w:val="28"/>
          <w:szCs w:val="28"/>
        </w:rPr>
        <w:t xml:space="preserve"> </w:t>
      </w:r>
      <w:r w:rsidRPr="00D52E40">
        <w:rPr>
          <w:rFonts w:ascii="Times New Roman" w:hAnsi="Times New Roman" w:cs="Times New Roman"/>
          <w:i/>
          <w:iCs/>
          <w:kern w:val="0"/>
          <w:sz w:val="28"/>
          <w:szCs w:val="28"/>
        </w:rPr>
        <w:t>Critical Care Nurse</w:t>
      </w:r>
      <w:r w:rsidRPr="00D52E40">
        <w:rPr>
          <w:rFonts w:ascii="Times New Roman" w:hAnsi="Times New Roman" w:cs="Times New Roman"/>
          <w:kern w:val="0"/>
          <w:sz w:val="28"/>
          <w:szCs w:val="28"/>
        </w:rPr>
        <w:t>, 29(2), pp</w:t>
      </w:r>
      <w:r>
        <w:rPr>
          <w:rFonts w:ascii="Times New Roman" w:hAnsi="Times New Roman" w:cs="Times New Roman"/>
          <w:kern w:val="0"/>
          <w:sz w:val="28"/>
          <w:szCs w:val="28"/>
        </w:rPr>
        <w:t xml:space="preserve"> </w:t>
      </w:r>
      <w:r w:rsidRPr="00D52E40">
        <w:rPr>
          <w:rFonts w:ascii="Times New Roman" w:hAnsi="Times New Roman" w:cs="Times New Roman"/>
          <w:kern w:val="0"/>
          <w:sz w:val="28"/>
          <w:szCs w:val="28"/>
        </w:rPr>
        <w:t xml:space="preserve">85–91. </w:t>
      </w:r>
      <w:r>
        <w:rPr>
          <w:rFonts w:ascii="Times New Roman" w:hAnsi="Times New Roman" w:cs="Times New Roman"/>
          <w:kern w:val="0"/>
          <w:sz w:val="28"/>
          <w:szCs w:val="28"/>
        </w:rPr>
        <w:t>Available at</w:t>
      </w:r>
      <w:r w:rsidRPr="00D52E40">
        <w:rPr>
          <w:rFonts w:ascii="Times New Roman" w:hAnsi="Times New Roman" w:cs="Times New Roman"/>
          <w:kern w:val="0"/>
          <w:sz w:val="28"/>
          <w:szCs w:val="28"/>
        </w:rPr>
        <w:t>:</w:t>
      </w:r>
      <w:r>
        <w:rPr>
          <w:rFonts w:ascii="Times New Roman" w:hAnsi="Times New Roman" w:cs="Times New Roman"/>
          <w:kern w:val="0"/>
          <w:sz w:val="28"/>
          <w:szCs w:val="28"/>
        </w:rPr>
        <w:t xml:space="preserve"> </w:t>
      </w:r>
      <w:hyperlink r:id="rId17" w:history="1">
        <w:r w:rsidRPr="009923FA">
          <w:rPr>
            <w:rStyle w:val="Hyperlink"/>
            <w:rFonts w:ascii="Times New Roman" w:hAnsi="Times New Roman" w:cs="Times New Roman"/>
            <w:color w:val="auto"/>
            <w:kern w:val="0"/>
            <w:sz w:val="28"/>
            <w:szCs w:val="28"/>
            <w:u w:val="none"/>
          </w:rPr>
          <w:t>https://doi.org/10.4037/ccn2009281</w:t>
        </w:r>
      </w:hyperlink>
      <w:r w:rsidRPr="00D52E40">
        <w:rPr>
          <w:rFonts w:ascii="Times New Roman" w:hAnsi="Times New Roman" w:cs="Times New Roman"/>
          <w:kern w:val="0"/>
          <w:sz w:val="28"/>
          <w:szCs w:val="28"/>
        </w:rPr>
        <w:t>.</w:t>
      </w:r>
    </w:p>
    <w:p w14:paraId="597815EC" w14:textId="77777777" w:rsidR="00796803" w:rsidRPr="00D52E40" w:rsidRDefault="00796803" w:rsidP="00796803">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sz w:val="28"/>
          <w:szCs w:val="28"/>
        </w:rPr>
      </w:pPr>
      <w:r w:rsidRPr="00D52E40">
        <w:rPr>
          <w:rFonts w:ascii="Times New Roman" w:hAnsi="Times New Roman" w:cs="Times New Roman"/>
          <w:kern w:val="0"/>
          <w:sz w:val="28"/>
          <w:szCs w:val="28"/>
        </w:rPr>
        <w:t>Eddy, K., Jordan, Z. and Stephenson, M. (2016)</w:t>
      </w:r>
      <w:r>
        <w:rPr>
          <w:rFonts w:ascii="Times New Roman" w:hAnsi="Times New Roman" w:cs="Times New Roman"/>
          <w:kern w:val="0"/>
          <w:sz w:val="28"/>
          <w:szCs w:val="28"/>
        </w:rPr>
        <w:t>, ‘</w:t>
      </w:r>
      <w:r w:rsidRPr="00D52E40">
        <w:rPr>
          <w:rFonts w:ascii="Times New Roman" w:hAnsi="Times New Roman" w:cs="Times New Roman"/>
          <w:kern w:val="0"/>
          <w:sz w:val="28"/>
          <w:szCs w:val="28"/>
        </w:rPr>
        <w:t>Health professionals’ experience of teamwork education in acute hospital settings</w:t>
      </w:r>
      <w:r>
        <w:rPr>
          <w:rFonts w:ascii="Times New Roman" w:hAnsi="Times New Roman" w:cs="Times New Roman"/>
          <w:kern w:val="0"/>
          <w:sz w:val="28"/>
          <w:szCs w:val="28"/>
        </w:rPr>
        <w:t>’,</w:t>
      </w:r>
      <w:r w:rsidRPr="00D52E40">
        <w:rPr>
          <w:rFonts w:ascii="Times New Roman" w:hAnsi="Times New Roman" w:cs="Times New Roman"/>
          <w:kern w:val="0"/>
          <w:sz w:val="28"/>
          <w:szCs w:val="28"/>
        </w:rPr>
        <w:t xml:space="preserve"> </w:t>
      </w:r>
      <w:r w:rsidRPr="00D52E40">
        <w:rPr>
          <w:rFonts w:ascii="Times New Roman" w:hAnsi="Times New Roman" w:cs="Times New Roman"/>
          <w:i/>
          <w:iCs/>
          <w:kern w:val="0"/>
          <w:sz w:val="28"/>
          <w:szCs w:val="28"/>
        </w:rPr>
        <w:t>JBI Database of Systematic Reviews and Implementation Reports</w:t>
      </w:r>
      <w:r w:rsidRPr="00D52E40">
        <w:rPr>
          <w:rFonts w:ascii="Times New Roman" w:hAnsi="Times New Roman" w:cs="Times New Roman"/>
          <w:kern w:val="0"/>
          <w:sz w:val="28"/>
          <w:szCs w:val="28"/>
        </w:rPr>
        <w:t>, 14(4), pp</w:t>
      </w:r>
      <w:r>
        <w:rPr>
          <w:rFonts w:ascii="Times New Roman" w:hAnsi="Times New Roman" w:cs="Times New Roman"/>
          <w:kern w:val="0"/>
          <w:sz w:val="28"/>
          <w:szCs w:val="28"/>
        </w:rPr>
        <w:t xml:space="preserve"> </w:t>
      </w:r>
      <w:r w:rsidRPr="00D52E40">
        <w:rPr>
          <w:rFonts w:ascii="Times New Roman" w:hAnsi="Times New Roman" w:cs="Times New Roman"/>
          <w:kern w:val="0"/>
          <w:sz w:val="28"/>
          <w:szCs w:val="28"/>
        </w:rPr>
        <w:t xml:space="preserve">96–137. </w:t>
      </w:r>
      <w:r>
        <w:rPr>
          <w:rFonts w:ascii="Times New Roman" w:hAnsi="Times New Roman" w:cs="Times New Roman"/>
          <w:kern w:val="0"/>
          <w:sz w:val="28"/>
          <w:szCs w:val="28"/>
        </w:rPr>
        <w:t>Available at</w:t>
      </w:r>
      <w:r w:rsidRPr="00D52E40">
        <w:rPr>
          <w:rFonts w:ascii="Times New Roman" w:hAnsi="Times New Roman" w:cs="Times New Roman"/>
          <w:kern w:val="0"/>
          <w:sz w:val="28"/>
          <w:szCs w:val="28"/>
        </w:rPr>
        <w:t>:</w:t>
      </w:r>
      <w:r>
        <w:rPr>
          <w:rFonts w:ascii="Times New Roman" w:hAnsi="Times New Roman" w:cs="Times New Roman"/>
          <w:kern w:val="0"/>
          <w:sz w:val="28"/>
          <w:szCs w:val="28"/>
        </w:rPr>
        <w:t xml:space="preserve"> </w:t>
      </w:r>
      <w:hyperlink r:id="rId18" w:history="1">
        <w:r w:rsidRPr="00A46EF8">
          <w:rPr>
            <w:rStyle w:val="Hyperlink"/>
            <w:rFonts w:ascii="Times New Roman" w:hAnsi="Times New Roman" w:cs="Times New Roman"/>
            <w:color w:val="auto"/>
            <w:kern w:val="0"/>
            <w:sz w:val="28"/>
            <w:szCs w:val="28"/>
            <w:u w:val="none"/>
          </w:rPr>
          <w:t>https://doi.org/10.11124/jbisrir-2016-1843</w:t>
        </w:r>
      </w:hyperlink>
      <w:r w:rsidRPr="00D52E40">
        <w:rPr>
          <w:rFonts w:ascii="Times New Roman" w:hAnsi="Times New Roman" w:cs="Times New Roman"/>
          <w:kern w:val="0"/>
          <w:sz w:val="28"/>
          <w:szCs w:val="28"/>
        </w:rPr>
        <w:t>.</w:t>
      </w:r>
    </w:p>
    <w:p w14:paraId="6EEDDD97" w14:textId="77777777" w:rsidR="00796803" w:rsidRPr="00D52E40" w:rsidRDefault="00796803" w:rsidP="00796803">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sz w:val="28"/>
          <w:szCs w:val="28"/>
        </w:rPr>
      </w:pPr>
      <w:r w:rsidRPr="00D52E40">
        <w:rPr>
          <w:rFonts w:ascii="Times New Roman" w:hAnsi="Times New Roman" w:cs="Times New Roman"/>
          <w:kern w:val="0"/>
          <w:sz w:val="28"/>
          <w:szCs w:val="28"/>
        </w:rPr>
        <w:t>Fletcher, M. (2007)</w:t>
      </w:r>
      <w:r>
        <w:rPr>
          <w:rFonts w:ascii="Times New Roman" w:hAnsi="Times New Roman" w:cs="Times New Roman"/>
          <w:kern w:val="0"/>
          <w:sz w:val="28"/>
          <w:szCs w:val="28"/>
        </w:rPr>
        <w:t>,</w:t>
      </w:r>
      <w:r w:rsidRPr="00D52E40">
        <w:rPr>
          <w:rFonts w:ascii="Times New Roman" w:hAnsi="Times New Roman" w:cs="Times New Roman"/>
          <w:kern w:val="0"/>
          <w:sz w:val="28"/>
          <w:szCs w:val="28"/>
        </w:rPr>
        <w:t xml:space="preserve"> </w:t>
      </w:r>
      <w:r>
        <w:rPr>
          <w:rFonts w:ascii="Times New Roman" w:hAnsi="Times New Roman" w:cs="Times New Roman"/>
          <w:kern w:val="0"/>
          <w:sz w:val="28"/>
          <w:szCs w:val="28"/>
        </w:rPr>
        <w:t>‘</w:t>
      </w:r>
      <w:r w:rsidRPr="00D52E40">
        <w:rPr>
          <w:rFonts w:ascii="Times New Roman" w:hAnsi="Times New Roman" w:cs="Times New Roman"/>
          <w:kern w:val="0"/>
          <w:sz w:val="28"/>
          <w:szCs w:val="28"/>
        </w:rPr>
        <w:t>Continuing education for healthcare professionals: time to prove its worth</w:t>
      </w:r>
      <w:r>
        <w:rPr>
          <w:rFonts w:ascii="Times New Roman" w:hAnsi="Times New Roman" w:cs="Times New Roman"/>
          <w:kern w:val="0"/>
          <w:sz w:val="28"/>
          <w:szCs w:val="28"/>
        </w:rPr>
        <w:t xml:space="preserve">’, </w:t>
      </w:r>
      <w:r w:rsidRPr="00D52E40">
        <w:rPr>
          <w:rFonts w:ascii="Times New Roman" w:hAnsi="Times New Roman" w:cs="Times New Roman"/>
          <w:i/>
          <w:iCs/>
          <w:kern w:val="0"/>
          <w:sz w:val="28"/>
          <w:szCs w:val="28"/>
        </w:rPr>
        <w:t>Primary Care Respiratory Journal</w:t>
      </w:r>
      <w:r w:rsidRPr="00D52E40">
        <w:rPr>
          <w:rFonts w:ascii="Times New Roman" w:hAnsi="Times New Roman" w:cs="Times New Roman"/>
          <w:kern w:val="0"/>
          <w:sz w:val="28"/>
          <w:szCs w:val="28"/>
        </w:rPr>
        <w:t>, 16(3), pp</w:t>
      </w:r>
      <w:r>
        <w:rPr>
          <w:rFonts w:ascii="Times New Roman" w:hAnsi="Times New Roman" w:cs="Times New Roman"/>
          <w:kern w:val="0"/>
          <w:sz w:val="28"/>
          <w:szCs w:val="28"/>
        </w:rPr>
        <w:t xml:space="preserve"> </w:t>
      </w:r>
      <w:r w:rsidRPr="00D52E40">
        <w:rPr>
          <w:rFonts w:ascii="Times New Roman" w:hAnsi="Times New Roman" w:cs="Times New Roman"/>
          <w:kern w:val="0"/>
          <w:sz w:val="28"/>
          <w:szCs w:val="28"/>
        </w:rPr>
        <w:t xml:space="preserve">188–190. </w:t>
      </w:r>
      <w:r>
        <w:rPr>
          <w:rFonts w:ascii="Times New Roman" w:hAnsi="Times New Roman" w:cs="Times New Roman"/>
          <w:kern w:val="0"/>
          <w:sz w:val="28"/>
          <w:szCs w:val="28"/>
        </w:rPr>
        <w:t>Available at</w:t>
      </w:r>
      <w:r w:rsidRPr="00D52E40">
        <w:rPr>
          <w:rFonts w:ascii="Times New Roman" w:hAnsi="Times New Roman" w:cs="Times New Roman"/>
          <w:kern w:val="0"/>
          <w:sz w:val="28"/>
          <w:szCs w:val="28"/>
        </w:rPr>
        <w:t>:</w:t>
      </w:r>
      <w:r>
        <w:rPr>
          <w:rFonts w:ascii="Times New Roman" w:hAnsi="Times New Roman" w:cs="Times New Roman"/>
          <w:kern w:val="0"/>
          <w:sz w:val="28"/>
          <w:szCs w:val="28"/>
        </w:rPr>
        <w:t xml:space="preserve"> </w:t>
      </w:r>
      <w:hyperlink r:id="rId19" w:history="1">
        <w:r w:rsidRPr="00A46EF8">
          <w:rPr>
            <w:rStyle w:val="Hyperlink"/>
            <w:rFonts w:ascii="Times New Roman" w:hAnsi="Times New Roman" w:cs="Times New Roman"/>
            <w:color w:val="auto"/>
            <w:kern w:val="0"/>
            <w:sz w:val="28"/>
            <w:szCs w:val="28"/>
            <w:u w:val="none"/>
          </w:rPr>
          <w:t>https://doi.org/10.3132/pcrj.2007.00041</w:t>
        </w:r>
      </w:hyperlink>
      <w:r w:rsidRPr="00D52E40">
        <w:rPr>
          <w:rFonts w:ascii="Times New Roman" w:hAnsi="Times New Roman" w:cs="Times New Roman"/>
          <w:kern w:val="0"/>
          <w:sz w:val="28"/>
          <w:szCs w:val="28"/>
        </w:rPr>
        <w:t>.</w:t>
      </w:r>
    </w:p>
    <w:p w14:paraId="365AE869" w14:textId="77777777" w:rsidR="00796803" w:rsidRPr="00D52E40" w:rsidRDefault="00796803" w:rsidP="00796803">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sz w:val="28"/>
          <w:szCs w:val="28"/>
        </w:rPr>
      </w:pPr>
      <w:r w:rsidRPr="00D52E40">
        <w:rPr>
          <w:rFonts w:ascii="Times New Roman" w:hAnsi="Times New Roman" w:cs="Times New Roman"/>
          <w:kern w:val="0"/>
          <w:sz w:val="28"/>
          <w:szCs w:val="28"/>
        </w:rPr>
        <w:t xml:space="preserve">Maher, B., O’Neill, R., Faruqui, A., Bergin, C., Horgan, M., Bennett, D. and </w:t>
      </w:r>
      <w:proofErr w:type="spellStart"/>
      <w:r w:rsidRPr="00D52E40">
        <w:rPr>
          <w:rFonts w:ascii="Times New Roman" w:hAnsi="Times New Roman" w:cs="Times New Roman"/>
          <w:kern w:val="0"/>
          <w:sz w:val="28"/>
          <w:szCs w:val="28"/>
        </w:rPr>
        <w:lastRenderedPageBreak/>
        <w:t>O’Tuathaigh</w:t>
      </w:r>
      <w:proofErr w:type="spellEnd"/>
      <w:r w:rsidRPr="00D52E40">
        <w:rPr>
          <w:rFonts w:ascii="Times New Roman" w:hAnsi="Times New Roman" w:cs="Times New Roman"/>
          <w:kern w:val="0"/>
          <w:sz w:val="28"/>
          <w:szCs w:val="28"/>
        </w:rPr>
        <w:t>, C.M.P. (2017)</w:t>
      </w:r>
      <w:r>
        <w:rPr>
          <w:rFonts w:ascii="Times New Roman" w:hAnsi="Times New Roman" w:cs="Times New Roman"/>
          <w:kern w:val="0"/>
          <w:sz w:val="28"/>
          <w:szCs w:val="28"/>
        </w:rPr>
        <w:t>,</w:t>
      </w:r>
      <w:r w:rsidRPr="00D52E40">
        <w:rPr>
          <w:rFonts w:ascii="Times New Roman" w:hAnsi="Times New Roman" w:cs="Times New Roman"/>
          <w:kern w:val="0"/>
          <w:sz w:val="28"/>
          <w:szCs w:val="28"/>
        </w:rPr>
        <w:t xml:space="preserve"> </w:t>
      </w:r>
      <w:r>
        <w:rPr>
          <w:rFonts w:ascii="Times New Roman" w:hAnsi="Times New Roman" w:cs="Times New Roman"/>
          <w:kern w:val="0"/>
          <w:sz w:val="28"/>
          <w:szCs w:val="28"/>
        </w:rPr>
        <w:t>‘</w:t>
      </w:r>
      <w:r w:rsidRPr="00D52E40">
        <w:rPr>
          <w:rFonts w:ascii="Times New Roman" w:hAnsi="Times New Roman" w:cs="Times New Roman"/>
          <w:kern w:val="0"/>
          <w:sz w:val="28"/>
          <w:szCs w:val="28"/>
        </w:rPr>
        <w:t>Survey of Irish general practitioners’ preferences for continuing professional development</w:t>
      </w:r>
      <w:r>
        <w:rPr>
          <w:rFonts w:ascii="Times New Roman" w:hAnsi="Times New Roman" w:cs="Times New Roman"/>
          <w:kern w:val="0"/>
          <w:sz w:val="28"/>
          <w:szCs w:val="28"/>
        </w:rPr>
        <w:t xml:space="preserve">’, </w:t>
      </w:r>
      <w:r w:rsidRPr="00D52E40">
        <w:rPr>
          <w:rFonts w:ascii="Times New Roman" w:hAnsi="Times New Roman" w:cs="Times New Roman"/>
          <w:i/>
          <w:iCs/>
          <w:kern w:val="0"/>
          <w:sz w:val="28"/>
          <w:szCs w:val="28"/>
        </w:rPr>
        <w:t>Education for Primary Care</w:t>
      </w:r>
      <w:r w:rsidRPr="00D52E40">
        <w:rPr>
          <w:rFonts w:ascii="Times New Roman" w:hAnsi="Times New Roman" w:cs="Times New Roman"/>
          <w:kern w:val="0"/>
          <w:sz w:val="28"/>
          <w:szCs w:val="28"/>
        </w:rPr>
        <w:t>, 29(1), pp</w:t>
      </w:r>
      <w:r>
        <w:rPr>
          <w:rFonts w:ascii="Times New Roman" w:hAnsi="Times New Roman" w:cs="Times New Roman"/>
          <w:kern w:val="0"/>
          <w:sz w:val="28"/>
          <w:szCs w:val="28"/>
        </w:rPr>
        <w:t xml:space="preserve"> </w:t>
      </w:r>
      <w:r w:rsidRPr="00D52E40">
        <w:rPr>
          <w:rFonts w:ascii="Times New Roman" w:hAnsi="Times New Roman" w:cs="Times New Roman"/>
          <w:kern w:val="0"/>
          <w:sz w:val="28"/>
          <w:szCs w:val="28"/>
        </w:rPr>
        <w:t xml:space="preserve">13–21. </w:t>
      </w:r>
      <w:r>
        <w:rPr>
          <w:rFonts w:ascii="Times New Roman" w:hAnsi="Times New Roman" w:cs="Times New Roman"/>
          <w:kern w:val="0"/>
          <w:sz w:val="28"/>
          <w:szCs w:val="28"/>
        </w:rPr>
        <w:t>Available at</w:t>
      </w:r>
      <w:r w:rsidRPr="00D52E40">
        <w:rPr>
          <w:rFonts w:ascii="Times New Roman" w:hAnsi="Times New Roman" w:cs="Times New Roman"/>
          <w:kern w:val="0"/>
          <w:sz w:val="28"/>
          <w:szCs w:val="28"/>
        </w:rPr>
        <w:t>:</w:t>
      </w:r>
      <w:r>
        <w:rPr>
          <w:rFonts w:ascii="Times New Roman" w:hAnsi="Times New Roman" w:cs="Times New Roman"/>
          <w:kern w:val="0"/>
          <w:sz w:val="28"/>
          <w:szCs w:val="28"/>
        </w:rPr>
        <w:t xml:space="preserve"> </w:t>
      </w:r>
      <w:hyperlink r:id="rId20" w:history="1">
        <w:r w:rsidRPr="008354CC">
          <w:rPr>
            <w:rStyle w:val="Hyperlink"/>
            <w:rFonts w:ascii="Times New Roman" w:hAnsi="Times New Roman" w:cs="Times New Roman"/>
            <w:color w:val="auto"/>
            <w:kern w:val="0"/>
            <w:sz w:val="28"/>
            <w:szCs w:val="28"/>
            <w:u w:val="none"/>
          </w:rPr>
          <w:t>https://doi.org/10.1080/14739879.2017.1338536</w:t>
        </w:r>
      </w:hyperlink>
      <w:r w:rsidRPr="00D52E40">
        <w:rPr>
          <w:rFonts w:ascii="Times New Roman" w:hAnsi="Times New Roman" w:cs="Times New Roman"/>
          <w:kern w:val="0"/>
          <w:sz w:val="28"/>
          <w:szCs w:val="28"/>
        </w:rPr>
        <w:t>.</w:t>
      </w:r>
    </w:p>
    <w:p w14:paraId="5892D60A" w14:textId="77777777" w:rsidR="00796803" w:rsidRPr="00D52E40" w:rsidRDefault="00796803" w:rsidP="00796803">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sz w:val="28"/>
          <w:szCs w:val="28"/>
        </w:rPr>
      </w:pPr>
      <w:r w:rsidRPr="00D52E40">
        <w:rPr>
          <w:rFonts w:ascii="Times New Roman" w:hAnsi="Times New Roman" w:cs="Times New Roman"/>
          <w:kern w:val="0"/>
          <w:sz w:val="28"/>
          <w:szCs w:val="28"/>
        </w:rPr>
        <w:t>Pinar, G. (2015)</w:t>
      </w:r>
      <w:r>
        <w:rPr>
          <w:rFonts w:ascii="Times New Roman" w:hAnsi="Times New Roman" w:cs="Times New Roman"/>
          <w:kern w:val="0"/>
          <w:sz w:val="28"/>
          <w:szCs w:val="28"/>
        </w:rPr>
        <w:t>,</w:t>
      </w:r>
      <w:r w:rsidRPr="00D52E40">
        <w:rPr>
          <w:rFonts w:ascii="Times New Roman" w:hAnsi="Times New Roman" w:cs="Times New Roman"/>
          <w:kern w:val="0"/>
          <w:sz w:val="28"/>
          <w:szCs w:val="28"/>
        </w:rPr>
        <w:t xml:space="preserve"> </w:t>
      </w:r>
      <w:r>
        <w:rPr>
          <w:rFonts w:ascii="Times New Roman" w:hAnsi="Times New Roman" w:cs="Times New Roman"/>
          <w:kern w:val="0"/>
          <w:sz w:val="28"/>
          <w:szCs w:val="28"/>
        </w:rPr>
        <w:t>‘</w:t>
      </w:r>
      <w:r w:rsidRPr="00D52E40">
        <w:rPr>
          <w:rFonts w:ascii="Times New Roman" w:hAnsi="Times New Roman" w:cs="Times New Roman"/>
          <w:kern w:val="0"/>
          <w:sz w:val="28"/>
          <w:szCs w:val="28"/>
        </w:rPr>
        <w:t>Simulation-Enhanced Interprofessional Education in Health Care</w:t>
      </w:r>
      <w:r>
        <w:rPr>
          <w:rFonts w:ascii="Times New Roman" w:hAnsi="Times New Roman" w:cs="Times New Roman"/>
          <w:kern w:val="0"/>
          <w:sz w:val="28"/>
          <w:szCs w:val="28"/>
        </w:rPr>
        <w:t xml:space="preserve">’, </w:t>
      </w:r>
      <w:r w:rsidRPr="00D52E40">
        <w:rPr>
          <w:rFonts w:ascii="Times New Roman" w:hAnsi="Times New Roman" w:cs="Times New Roman"/>
          <w:i/>
          <w:iCs/>
          <w:kern w:val="0"/>
          <w:sz w:val="28"/>
          <w:szCs w:val="28"/>
        </w:rPr>
        <w:t>Creative Education</w:t>
      </w:r>
      <w:r w:rsidRPr="00D52E40">
        <w:rPr>
          <w:rFonts w:ascii="Times New Roman" w:hAnsi="Times New Roman" w:cs="Times New Roman"/>
          <w:kern w:val="0"/>
          <w:sz w:val="28"/>
          <w:szCs w:val="28"/>
        </w:rPr>
        <w:t>, 06(17), pp</w:t>
      </w:r>
      <w:r>
        <w:rPr>
          <w:rFonts w:ascii="Times New Roman" w:hAnsi="Times New Roman" w:cs="Times New Roman"/>
          <w:kern w:val="0"/>
          <w:sz w:val="28"/>
          <w:szCs w:val="28"/>
        </w:rPr>
        <w:t xml:space="preserve"> </w:t>
      </w:r>
      <w:r w:rsidRPr="00D52E40">
        <w:rPr>
          <w:rFonts w:ascii="Times New Roman" w:hAnsi="Times New Roman" w:cs="Times New Roman"/>
          <w:kern w:val="0"/>
          <w:sz w:val="28"/>
          <w:szCs w:val="28"/>
        </w:rPr>
        <w:t xml:space="preserve">1852–1859. </w:t>
      </w:r>
      <w:r>
        <w:rPr>
          <w:rFonts w:ascii="Times New Roman" w:hAnsi="Times New Roman" w:cs="Times New Roman"/>
          <w:kern w:val="0"/>
          <w:sz w:val="28"/>
          <w:szCs w:val="28"/>
        </w:rPr>
        <w:t>Available at</w:t>
      </w:r>
      <w:r w:rsidRPr="00D52E40">
        <w:rPr>
          <w:rFonts w:ascii="Times New Roman" w:hAnsi="Times New Roman" w:cs="Times New Roman"/>
          <w:kern w:val="0"/>
          <w:sz w:val="28"/>
          <w:szCs w:val="28"/>
        </w:rPr>
        <w:t>:</w:t>
      </w:r>
      <w:r>
        <w:rPr>
          <w:rFonts w:ascii="Times New Roman" w:hAnsi="Times New Roman" w:cs="Times New Roman"/>
          <w:kern w:val="0"/>
          <w:sz w:val="28"/>
          <w:szCs w:val="28"/>
        </w:rPr>
        <w:t xml:space="preserve"> </w:t>
      </w:r>
      <w:hyperlink r:id="rId21" w:history="1">
        <w:r w:rsidRPr="008354CC">
          <w:rPr>
            <w:rStyle w:val="Hyperlink"/>
            <w:rFonts w:ascii="Times New Roman" w:hAnsi="Times New Roman" w:cs="Times New Roman"/>
            <w:color w:val="auto"/>
            <w:kern w:val="0"/>
            <w:sz w:val="28"/>
            <w:szCs w:val="28"/>
            <w:u w:val="none"/>
          </w:rPr>
          <w:t>https://doi.org/10.4236/ce.2015.617189</w:t>
        </w:r>
      </w:hyperlink>
      <w:r w:rsidRPr="00D52E40">
        <w:rPr>
          <w:rFonts w:ascii="Times New Roman" w:hAnsi="Times New Roman" w:cs="Times New Roman"/>
          <w:kern w:val="0"/>
          <w:sz w:val="28"/>
          <w:szCs w:val="28"/>
        </w:rPr>
        <w:t>.</w:t>
      </w:r>
    </w:p>
    <w:p w14:paraId="142A2BEE" w14:textId="77777777" w:rsidR="00796803" w:rsidRPr="00D52E40" w:rsidRDefault="00796803" w:rsidP="00796803">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sz w:val="28"/>
          <w:szCs w:val="28"/>
        </w:rPr>
      </w:pPr>
      <w:proofErr w:type="spellStart"/>
      <w:r w:rsidRPr="00D52E40">
        <w:rPr>
          <w:rFonts w:ascii="Times New Roman" w:hAnsi="Times New Roman" w:cs="Times New Roman"/>
          <w:kern w:val="0"/>
          <w:sz w:val="28"/>
          <w:szCs w:val="28"/>
        </w:rPr>
        <w:t>Sangaleti</w:t>
      </w:r>
      <w:proofErr w:type="spellEnd"/>
      <w:r w:rsidRPr="00D52E40">
        <w:rPr>
          <w:rFonts w:ascii="Times New Roman" w:hAnsi="Times New Roman" w:cs="Times New Roman"/>
          <w:kern w:val="0"/>
          <w:sz w:val="28"/>
          <w:szCs w:val="28"/>
        </w:rPr>
        <w:t xml:space="preserve">, C., </w:t>
      </w:r>
      <w:proofErr w:type="spellStart"/>
      <w:r w:rsidRPr="00D52E40">
        <w:rPr>
          <w:rFonts w:ascii="Times New Roman" w:hAnsi="Times New Roman" w:cs="Times New Roman"/>
          <w:kern w:val="0"/>
          <w:sz w:val="28"/>
          <w:szCs w:val="28"/>
        </w:rPr>
        <w:t>Schveitzer</w:t>
      </w:r>
      <w:proofErr w:type="spellEnd"/>
      <w:r w:rsidRPr="00D52E40">
        <w:rPr>
          <w:rFonts w:ascii="Times New Roman" w:hAnsi="Times New Roman" w:cs="Times New Roman"/>
          <w:kern w:val="0"/>
          <w:sz w:val="28"/>
          <w:szCs w:val="28"/>
        </w:rPr>
        <w:t xml:space="preserve">, M.C., Peduzzi, M., </w:t>
      </w:r>
      <w:proofErr w:type="spellStart"/>
      <w:r w:rsidRPr="00D52E40">
        <w:rPr>
          <w:rFonts w:ascii="Times New Roman" w:hAnsi="Times New Roman" w:cs="Times New Roman"/>
          <w:kern w:val="0"/>
          <w:sz w:val="28"/>
          <w:szCs w:val="28"/>
        </w:rPr>
        <w:t>Zoboli</w:t>
      </w:r>
      <w:proofErr w:type="spellEnd"/>
      <w:r w:rsidRPr="00D52E40">
        <w:rPr>
          <w:rFonts w:ascii="Times New Roman" w:hAnsi="Times New Roman" w:cs="Times New Roman"/>
          <w:kern w:val="0"/>
          <w:sz w:val="28"/>
          <w:szCs w:val="28"/>
        </w:rPr>
        <w:t>, E.L.C.P. and Soares, C.B. (2017)</w:t>
      </w:r>
      <w:r>
        <w:rPr>
          <w:rFonts w:ascii="Times New Roman" w:hAnsi="Times New Roman" w:cs="Times New Roman"/>
          <w:kern w:val="0"/>
          <w:sz w:val="28"/>
          <w:szCs w:val="28"/>
        </w:rPr>
        <w:t>,</w:t>
      </w:r>
      <w:r w:rsidRPr="00D52E40">
        <w:rPr>
          <w:rFonts w:ascii="Times New Roman" w:hAnsi="Times New Roman" w:cs="Times New Roman"/>
          <w:kern w:val="0"/>
          <w:sz w:val="28"/>
          <w:szCs w:val="28"/>
        </w:rPr>
        <w:t xml:space="preserve"> </w:t>
      </w:r>
      <w:r>
        <w:rPr>
          <w:rFonts w:ascii="Times New Roman" w:hAnsi="Times New Roman" w:cs="Times New Roman"/>
          <w:kern w:val="0"/>
          <w:sz w:val="28"/>
          <w:szCs w:val="28"/>
        </w:rPr>
        <w:t>‘</w:t>
      </w:r>
      <w:r w:rsidRPr="00D52E40">
        <w:rPr>
          <w:rFonts w:ascii="Times New Roman" w:hAnsi="Times New Roman" w:cs="Times New Roman"/>
          <w:kern w:val="0"/>
          <w:sz w:val="28"/>
          <w:szCs w:val="28"/>
        </w:rPr>
        <w:t>Experiences and shared meaning of teamwork and interprofessional collaboration among health care professionals in primary health care settings</w:t>
      </w:r>
      <w:r>
        <w:rPr>
          <w:rFonts w:ascii="Times New Roman" w:hAnsi="Times New Roman" w:cs="Times New Roman"/>
          <w:kern w:val="0"/>
          <w:sz w:val="28"/>
          <w:szCs w:val="28"/>
        </w:rPr>
        <w:t xml:space="preserve">’, </w:t>
      </w:r>
      <w:r w:rsidRPr="00D52E40">
        <w:rPr>
          <w:rFonts w:ascii="Times New Roman" w:hAnsi="Times New Roman" w:cs="Times New Roman"/>
          <w:i/>
          <w:iCs/>
          <w:kern w:val="0"/>
          <w:sz w:val="28"/>
          <w:szCs w:val="28"/>
        </w:rPr>
        <w:t>JBI Database of Systematic Reviews and Implementation Reports</w:t>
      </w:r>
      <w:r w:rsidRPr="00D52E40">
        <w:rPr>
          <w:rFonts w:ascii="Times New Roman" w:hAnsi="Times New Roman" w:cs="Times New Roman"/>
          <w:kern w:val="0"/>
          <w:sz w:val="28"/>
          <w:szCs w:val="28"/>
        </w:rPr>
        <w:t>, 15(11), pp</w:t>
      </w:r>
      <w:r>
        <w:rPr>
          <w:rFonts w:ascii="Times New Roman" w:hAnsi="Times New Roman" w:cs="Times New Roman"/>
          <w:kern w:val="0"/>
          <w:sz w:val="28"/>
          <w:szCs w:val="28"/>
        </w:rPr>
        <w:t xml:space="preserve"> </w:t>
      </w:r>
      <w:r w:rsidRPr="00D52E40">
        <w:rPr>
          <w:rFonts w:ascii="Times New Roman" w:hAnsi="Times New Roman" w:cs="Times New Roman"/>
          <w:kern w:val="0"/>
          <w:sz w:val="28"/>
          <w:szCs w:val="28"/>
        </w:rPr>
        <w:t xml:space="preserve">2723–2788. </w:t>
      </w:r>
      <w:r>
        <w:rPr>
          <w:rFonts w:ascii="Times New Roman" w:hAnsi="Times New Roman" w:cs="Times New Roman"/>
          <w:kern w:val="0"/>
          <w:sz w:val="28"/>
          <w:szCs w:val="28"/>
        </w:rPr>
        <w:t>Available at</w:t>
      </w:r>
      <w:r w:rsidRPr="00D52E40">
        <w:rPr>
          <w:rFonts w:ascii="Times New Roman" w:hAnsi="Times New Roman" w:cs="Times New Roman"/>
          <w:kern w:val="0"/>
          <w:sz w:val="28"/>
          <w:szCs w:val="28"/>
        </w:rPr>
        <w:t>:</w:t>
      </w:r>
      <w:r>
        <w:rPr>
          <w:rFonts w:ascii="Times New Roman" w:hAnsi="Times New Roman" w:cs="Times New Roman"/>
          <w:kern w:val="0"/>
          <w:sz w:val="28"/>
          <w:szCs w:val="28"/>
        </w:rPr>
        <w:t xml:space="preserve"> </w:t>
      </w:r>
      <w:hyperlink r:id="rId22" w:history="1">
        <w:r w:rsidRPr="00D62B03">
          <w:rPr>
            <w:rStyle w:val="Hyperlink"/>
            <w:rFonts w:ascii="Times New Roman" w:hAnsi="Times New Roman" w:cs="Times New Roman"/>
            <w:color w:val="auto"/>
            <w:kern w:val="0"/>
            <w:sz w:val="28"/>
            <w:szCs w:val="28"/>
            <w:u w:val="none"/>
          </w:rPr>
          <w:t>https://doi.org/10.11124/jbisrir-2016-003016</w:t>
        </w:r>
      </w:hyperlink>
      <w:r w:rsidRPr="00D52E40">
        <w:rPr>
          <w:rFonts w:ascii="Times New Roman" w:hAnsi="Times New Roman" w:cs="Times New Roman"/>
          <w:kern w:val="0"/>
          <w:sz w:val="28"/>
          <w:szCs w:val="28"/>
        </w:rPr>
        <w:t>.</w:t>
      </w:r>
    </w:p>
    <w:p w14:paraId="30E40B53" w14:textId="77777777" w:rsidR="00796803" w:rsidRPr="00D52E40" w:rsidRDefault="00796803" w:rsidP="00796803">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sz w:val="28"/>
          <w:szCs w:val="28"/>
        </w:rPr>
      </w:pPr>
      <w:proofErr w:type="spellStart"/>
      <w:r w:rsidRPr="00D52E40">
        <w:rPr>
          <w:rFonts w:ascii="Times New Roman" w:hAnsi="Times New Roman" w:cs="Times New Roman"/>
          <w:kern w:val="0"/>
          <w:sz w:val="28"/>
          <w:szCs w:val="28"/>
        </w:rPr>
        <w:t>Vashdi</w:t>
      </w:r>
      <w:proofErr w:type="spellEnd"/>
      <w:r w:rsidRPr="00D52E40">
        <w:rPr>
          <w:rFonts w:ascii="Times New Roman" w:hAnsi="Times New Roman" w:cs="Times New Roman"/>
          <w:kern w:val="0"/>
          <w:sz w:val="28"/>
          <w:szCs w:val="28"/>
        </w:rPr>
        <w:t>, D.R. (2013)</w:t>
      </w:r>
      <w:r>
        <w:rPr>
          <w:rFonts w:ascii="Times New Roman" w:hAnsi="Times New Roman" w:cs="Times New Roman"/>
          <w:kern w:val="0"/>
          <w:sz w:val="28"/>
          <w:szCs w:val="28"/>
        </w:rPr>
        <w:t>,</w:t>
      </w:r>
      <w:r w:rsidRPr="00D52E40">
        <w:rPr>
          <w:rFonts w:ascii="Times New Roman" w:hAnsi="Times New Roman" w:cs="Times New Roman"/>
          <w:kern w:val="0"/>
          <w:sz w:val="28"/>
          <w:szCs w:val="28"/>
        </w:rPr>
        <w:t xml:space="preserve"> </w:t>
      </w:r>
      <w:r>
        <w:rPr>
          <w:rFonts w:ascii="Times New Roman" w:hAnsi="Times New Roman" w:cs="Times New Roman"/>
          <w:kern w:val="0"/>
          <w:sz w:val="28"/>
          <w:szCs w:val="28"/>
        </w:rPr>
        <w:t>‘</w:t>
      </w:r>
      <w:r w:rsidRPr="00D52E40">
        <w:rPr>
          <w:rFonts w:ascii="Times New Roman" w:hAnsi="Times New Roman" w:cs="Times New Roman"/>
          <w:kern w:val="0"/>
          <w:sz w:val="28"/>
          <w:szCs w:val="28"/>
        </w:rPr>
        <w:t>Teams in Public Administration: A Field Study of Team Feedback and Effectiveness in the Israeli Public Healthcare System</w:t>
      </w:r>
      <w:r>
        <w:rPr>
          <w:rFonts w:ascii="Times New Roman" w:hAnsi="Times New Roman" w:cs="Times New Roman"/>
          <w:kern w:val="0"/>
          <w:sz w:val="28"/>
          <w:szCs w:val="28"/>
        </w:rPr>
        <w:t xml:space="preserve">’, </w:t>
      </w:r>
      <w:r w:rsidRPr="00D52E40">
        <w:rPr>
          <w:rFonts w:ascii="Times New Roman" w:hAnsi="Times New Roman" w:cs="Times New Roman"/>
          <w:i/>
          <w:iCs/>
          <w:kern w:val="0"/>
          <w:sz w:val="28"/>
          <w:szCs w:val="28"/>
        </w:rPr>
        <w:t>International Public Management Journal</w:t>
      </w:r>
      <w:r w:rsidRPr="00D52E40">
        <w:rPr>
          <w:rFonts w:ascii="Times New Roman" w:hAnsi="Times New Roman" w:cs="Times New Roman"/>
          <w:kern w:val="0"/>
          <w:sz w:val="28"/>
          <w:szCs w:val="28"/>
        </w:rPr>
        <w:t>, 16(2), pp</w:t>
      </w:r>
      <w:r>
        <w:rPr>
          <w:rFonts w:ascii="Times New Roman" w:hAnsi="Times New Roman" w:cs="Times New Roman"/>
          <w:kern w:val="0"/>
          <w:sz w:val="28"/>
          <w:szCs w:val="28"/>
        </w:rPr>
        <w:t xml:space="preserve"> </w:t>
      </w:r>
      <w:r w:rsidRPr="00D52E40">
        <w:rPr>
          <w:rFonts w:ascii="Times New Roman" w:hAnsi="Times New Roman" w:cs="Times New Roman"/>
          <w:kern w:val="0"/>
          <w:sz w:val="28"/>
          <w:szCs w:val="28"/>
        </w:rPr>
        <w:t xml:space="preserve">275–306. </w:t>
      </w:r>
      <w:r>
        <w:rPr>
          <w:rFonts w:ascii="Times New Roman" w:hAnsi="Times New Roman" w:cs="Times New Roman"/>
          <w:kern w:val="0"/>
          <w:sz w:val="28"/>
          <w:szCs w:val="28"/>
        </w:rPr>
        <w:t>Available at</w:t>
      </w:r>
      <w:r w:rsidRPr="00D52E40">
        <w:rPr>
          <w:rFonts w:ascii="Times New Roman" w:hAnsi="Times New Roman" w:cs="Times New Roman"/>
          <w:kern w:val="0"/>
          <w:sz w:val="28"/>
          <w:szCs w:val="28"/>
        </w:rPr>
        <w:t>:</w:t>
      </w:r>
      <w:r>
        <w:rPr>
          <w:rFonts w:ascii="Times New Roman" w:hAnsi="Times New Roman" w:cs="Times New Roman"/>
          <w:kern w:val="0"/>
          <w:sz w:val="28"/>
          <w:szCs w:val="28"/>
        </w:rPr>
        <w:t xml:space="preserve"> </w:t>
      </w:r>
      <w:hyperlink r:id="rId23" w:history="1">
        <w:r w:rsidRPr="00417189">
          <w:rPr>
            <w:rStyle w:val="Hyperlink"/>
            <w:rFonts w:ascii="Times New Roman" w:hAnsi="Times New Roman" w:cs="Times New Roman"/>
            <w:color w:val="auto"/>
            <w:kern w:val="0"/>
            <w:sz w:val="28"/>
            <w:szCs w:val="28"/>
            <w:u w:val="none"/>
          </w:rPr>
          <w:t>https://doi.org/10.1080/10967494.2013.817255</w:t>
        </w:r>
      </w:hyperlink>
      <w:r w:rsidRPr="00D52E40">
        <w:rPr>
          <w:rFonts w:ascii="Times New Roman" w:hAnsi="Times New Roman" w:cs="Times New Roman"/>
          <w:kern w:val="0"/>
          <w:sz w:val="28"/>
          <w:szCs w:val="28"/>
        </w:rPr>
        <w:t>.</w:t>
      </w:r>
    </w:p>
    <w:p w14:paraId="4CF6E27A" w14:textId="77777777" w:rsidR="0030753D" w:rsidRPr="00867B18" w:rsidRDefault="0030753D" w:rsidP="006F47F7">
      <w:pPr>
        <w:jc w:val="both"/>
        <w:rPr>
          <w:rFonts w:ascii="Times New Roman" w:hAnsi="Times New Roman" w:cs="Times New Roman"/>
          <w:sz w:val="28"/>
          <w:szCs w:val="28"/>
        </w:rPr>
      </w:pPr>
    </w:p>
    <w:sectPr w:rsidR="0030753D" w:rsidRPr="00867B18">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DBBF51" w14:textId="77777777" w:rsidR="00796803" w:rsidRDefault="00796803" w:rsidP="00796803">
      <w:pPr>
        <w:spacing w:after="0" w:line="240" w:lineRule="auto"/>
      </w:pPr>
      <w:r>
        <w:separator/>
      </w:r>
    </w:p>
  </w:endnote>
  <w:endnote w:type="continuationSeparator" w:id="0">
    <w:p w14:paraId="1E246B1B" w14:textId="77777777" w:rsidR="00796803" w:rsidRDefault="00796803" w:rsidP="007968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4788559"/>
      <w:docPartObj>
        <w:docPartGallery w:val="Page Numbers (Bottom of Page)"/>
        <w:docPartUnique/>
      </w:docPartObj>
    </w:sdtPr>
    <w:sdtContent>
      <w:p w14:paraId="14C95538" w14:textId="140F2E08" w:rsidR="00796803" w:rsidRDefault="00796803">
        <w:pPr>
          <w:pStyle w:val="Footer"/>
          <w:jc w:val="right"/>
        </w:pPr>
        <w:r>
          <w:fldChar w:fldCharType="begin"/>
        </w:r>
        <w:r>
          <w:instrText>PAGE   \* MERGEFORMAT</w:instrText>
        </w:r>
        <w:r>
          <w:fldChar w:fldCharType="separate"/>
        </w:r>
        <w:r>
          <w:t>2</w:t>
        </w:r>
        <w:r>
          <w:fldChar w:fldCharType="end"/>
        </w:r>
      </w:p>
    </w:sdtContent>
  </w:sdt>
  <w:p w14:paraId="3EDF4077" w14:textId="77777777" w:rsidR="00796803" w:rsidRDefault="007968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1F5492" w14:textId="77777777" w:rsidR="00796803" w:rsidRDefault="00796803" w:rsidP="00796803">
      <w:pPr>
        <w:spacing w:after="0" w:line="240" w:lineRule="auto"/>
      </w:pPr>
      <w:r>
        <w:separator/>
      </w:r>
    </w:p>
  </w:footnote>
  <w:footnote w:type="continuationSeparator" w:id="0">
    <w:p w14:paraId="48C1B027" w14:textId="77777777" w:rsidR="00796803" w:rsidRDefault="00796803" w:rsidP="007968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2210EF"/>
    <w:multiLevelType w:val="multilevel"/>
    <w:tmpl w:val="898E7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2835CEB"/>
    <w:multiLevelType w:val="hybridMultilevel"/>
    <w:tmpl w:val="891C7A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2813321">
    <w:abstractNumId w:val="0"/>
  </w:num>
  <w:num w:numId="2" w16cid:durableId="20376546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B9E"/>
    <w:rsid w:val="002028E1"/>
    <w:rsid w:val="0025062F"/>
    <w:rsid w:val="002F4815"/>
    <w:rsid w:val="0030753D"/>
    <w:rsid w:val="00345E74"/>
    <w:rsid w:val="003D70AC"/>
    <w:rsid w:val="00474830"/>
    <w:rsid w:val="006A7102"/>
    <w:rsid w:val="006F47F7"/>
    <w:rsid w:val="00796803"/>
    <w:rsid w:val="00867B18"/>
    <w:rsid w:val="00980B9E"/>
    <w:rsid w:val="00A80D46"/>
    <w:rsid w:val="00B75AAB"/>
    <w:rsid w:val="00D94305"/>
    <w:rsid w:val="00E81B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4DE44"/>
  <w15:chartTrackingRefBased/>
  <w15:docId w15:val="{A9BD8DCA-4347-40D5-B0F2-91960B624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80B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0B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0B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80B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0B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0B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0B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0B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0B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0B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0B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80B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0B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0B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0B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0B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0B9E"/>
    <w:rPr>
      <w:rFonts w:eastAsiaTheme="majorEastAsia" w:cstheme="majorBidi"/>
      <w:color w:val="272727" w:themeColor="text1" w:themeTint="D8"/>
    </w:rPr>
  </w:style>
  <w:style w:type="paragraph" w:styleId="Title">
    <w:name w:val="Title"/>
    <w:basedOn w:val="Normal"/>
    <w:next w:val="Normal"/>
    <w:link w:val="TitleChar"/>
    <w:uiPriority w:val="10"/>
    <w:qFormat/>
    <w:rsid w:val="00980B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0B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0B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0B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0B9E"/>
    <w:pPr>
      <w:spacing w:before="160"/>
      <w:jc w:val="center"/>
    </w:pPr>
    <w:rPr>
      <w:i/>
      <w:iCs/>
      <w:color w:val="404040" w:themeColor="text1" w:themeTint="BF"/>
    </w:rPr>
  </w:style>
  <w:style w:type="character" w:customStyle="1" w:styleId="QuoteChar">
    <w:name w:val="Quote Char"/>
    <w:basedOn w:val="DefaultParagraphFont"/>
    <w:link w:val="Quote"/>
    <w:uiPriority w:val="29"/>
    <w:rsid w:val="00980B9E"/>
    <w:rPr>
      <w:i/>
      <w:iCs/>
      <w:color w:val="404040" w:themeColor="text1" w:themeTint="BF"/>
    </w:rPr>
  </w:style>
  <w:style w:type="paragraph" w:styleId="ListParagraph">
    <w:name w:val="List Paragraph"/>
    <w:basedOn w:val="Normal"/>
    <w:uiPriority w:val="34"/>
    <w:qFormat/>
    <w:rsid w:val="00980B9E"/>
    <w:pPr>
      <w:ind w:left="720"/>
      <w:contextualSpacing/>
    </w:pPr>
  </w:style>
  <w:style w:type="character" w:styleId="IntenseEmphasis">
    <w:name w:val="Intense Emphasis"/>
    <w:basedOn w:val="DefaultParagraphFont"/>
    <w:uiPriority w:val="21"/>
    <w:qFormat/>
    <w:rsid w:val="00980B9E"/>
    <w:rPr>
      <w:i/>
      <w:iCs/>
      <w:color w:val="0F4761" w:themeColor="accent1" w:themeShade="BF"/>
    </w:rPr>
  </w:style>
  <w:style w:type="paragraph" w:styleId="IntenseQuote">
    <w:name w:val="Intense Quote"/>
    <w:basedOn w:val="Normal"/>
    <w:next w:val="Normal"/>
    <w:link w:val="IntenseQuoteChar"/>
    <w:uiPriority w:val="30"/>
    <w:qFormat/>
    <w:rsid w:val="00980B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0B9E"/>
    <w:rPr>
      <w:i/>
      <w:iCs/>
      <w:color w:val="0F4761" w:themeColor="accent1" w:themeShade="BF"/>
    </w:rPr>
  </w:style>
  <w:style w:type="character" w:styleId="IntenseReference">
    <w:name w:val="Intense Reference"/>
    <w:basedOn w:val="DefaultParagraphFont"/>
    <w:uiPriority w:val="32"/>
    <w:qFormat/>
    <w:rsid w:val="00980B9E"/>
    <w:rPr>
      <w:b/>
      <w:bCs/>
      <w:smallCaps/>
      <w:color w:val="0F4761" w:themeColor="accent1" w:themeShade="BF"/>
      <w:spacing w:val="5"/>
    </w:rPr>
  </w:style>
  <w:style w:type="character" w:styleId="Hyperlink">
    <w:name w:val="Hyperlink"/>
    <w:basedOn w:val="DefaultParagraphFont"/>
    <w:uiPriority w:val="99"/>
    <w:unhideWhenUsed/>
    <w:rsid w:val="00980B9E"/>
    <w:rPr>
      <w:color w:val="467886" w:themeColor="hyperlink"/>
      <w:u w:val="single"/>
    </w:rPr>
  </w:style>
  <w:style w:type="character" w:styleId="UnresolvedMention">
    <w:name w:val="Unresolved Mention"/>
    <w:basedOn w:val="DefaultParagraphFont"/>
    <w:uiPriority w:val="99"/>
    <w:semiHidden/>
    <w:unhideWhenUsed/>
    <w:rsid w:val="00980B9E"/>
    <w:rPr>
      <w:color w:val="605E5C"/>
      <w:shd w:val="clear" w:color="auto" w:fill="E1DFDD"/>
    </w:rPr>
  </w:style>
  <w:style w:type="character" w:styleId="FollowedHyperlink">
    <w:name w:val="FollowedHyperlink"/>
    <w:basedOn w:val="DefaultParagraphFont"/>
    <w:uiPriority w:val="99"/>
    <w:semiHidden/>
    <w:unhideWhenUsed/>
    <w:rsid w:val="00474830"/>
    <w:rPr>
      <w:color w:val="96607D" w:themeColor="followedHyperlink"/>
      <w:u w:val="single"/>
    </w:rPr>
  </w:style>
  <w:style w:type="paragraph" w:styleId="Header">
    <w:name w:val="header"/>
    <w:basedOn w:val="Normal"/>
    <w:link w:val="HeaderChar"/>
    <w:uiPriority w:val="99"/>
    <w:unhideWhenUsed/>
    <w:rsid w:val="007968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803"/>
    <w:rPr>
      <w:lang w:val="en-GB"/>
    </w:rPr>
  </w:style>
  <w:style w:type="paragraph" w:styleId="Footer">
    <w:name w:val="footer"/>
    <w:basedOn w:val="Normal"/>
    <w:link w:val="FooterChar"/>
    <w:uiPriority w:val="99"/>
    <w:unhideWhenUsed/>
    <w:rsid w:val="007968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80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764568">
      <w:bodyDiv w:val="1"/>
      <w:marLeft w:val="0"/>
      <w:marRight w:val="0"/>
      <w:marTop w:val="0"/>
      <w:marBottom w:val="0"/>
      <w:divBdr>
        <w:top w:val="none" w:sz="0" w:space="0" w:color="auto"/>
        <w:left w:val="none" w:sz="0" w:space="0" w:color="auto"/>
        <w:bottom w:val="none" w:sz="0" w:space="0" w:color="auto"/>
        <w:right w:val="none" w:sz="0" w:space="0" w:color="auto"/>
      </w:divBdr>
    </w:div>
    <w:div w:id="156581401">
      <w:bodyDiv w:val="1"/>
      <w:marLeft w:val="0"/>
      <w:marRight w:val="0"/>
      <w:marTop w:val="0"/>
      <w:marBottom w:val="0"/>
      <w:divBdr>
        <w:top w:val="none" w:sz="0" w:space="0" w:color="auto"/>
        <w:left w:val="none" w:sz="0" w:space="0" w:color="auto"/>
        <w:bottom w:val="none" w:sz="0" w:space="0" w:color="auto"/>
        <w:right w:val="none" w:sz="0" w:space="0" w:color="auto"/>
      </w:divBdr>
    </w:div>
    <w:div w:id="210460582">
      <w:bodyDiv w:val="1"/>
      <w:marLeft w:val="0"/>
      <w:marRight w:val="0"/>
      <w:marTop w:val="0"/>
      <w:marBottom w:val="0"/>
      <w:divBdr>
        <w:top w:val="none" w:sz="0" w:space="0" w:color="auto"/>
        <w:left w:val="none" w:sz="0" w:space="0" w:color="auto"/>
        <w:bottom w:val="none" w:sz="0" w:space="0" w:color="auto"/>
        <w:right w:val="none" w:sz="0" w:space="0" w:color="auto"/>
      </w:divBdr>
    </w:div>
    <w:div w:id="451483402">
      <w:bodyDiv w:val="1"/>
      <w:marLeft w:val="0"/>
      <w:marRight w:val="0"/>
      <w:marTop w:val="0"/>
      <w:marBottom w:val="0"/>
      <w:divBdr>
        <w:top w:val="none" w:sz="0" w:space="0" w:color="auto"/>
        <w:left w:val="none" w:sz="0" w:space="0" w:color="auto"/>
        <w:bottom w:val="none" w:sz="0" w:space="0" w:color="auto"/>
        <w:right w:val="none" w:sz="0" w:space="0" w:color="auto"/>
      </w:divBdr>
    </w:div>
    <w:div w:id="666397003">
      <w:bodyDiv w:val="1"/>
      <w:marLeft w:val="0"/>
      <w:marRight w:val="0"/>
      <w:marTop w:val="0"/>
      <w:marBottom w:val="0"/>
      <w:divBdr>
        <w:top w:val="none" w:sz="0" w:space="0" w:color="auto"/>
        <w:left w:val="none" w:sz="0" w:space="0" w:color="auto"/>
        <w:bottom w:val="none" w:sz="0" w:space="0" w:color="auto"/>
        <w:right w:val="none" w:sz="0" w:space="0" w:color="auto"/>
      </w:divBdr>
    </w:div>
    <w:div w:id="921641090">
      <w:bodyDiv w:val="1"/>
      <w:marLeft w:val="0"/>
      <w:marRight w:val="0"/>
      <w:marTop w:val="0"/>
      <w:marBottom w:val="0"/>
      <w:divBdr>
        <w:top w:val="none" w:sz="0" w:space="0" w:color="auto"/>
        <w:left w:val="none" w:sz="0" w:space="0" w:color="auto"/>
        <w:bottom w:val="none" w:sz="0" w:space="0" w:color="auto"/>
        <w:right w:val="none" w:sz="0" w:space="0" w:color="auto"/>
      </w:divBdr>
    </w:div>
    <w:div w:id="1112826334">
      <w:bodyDiv w:val="1"/>
      <w:marLeft w:val="0"/>
      <w:marRight w:val="0"/>
      <w:marTop w:val="0"/>
      <w:marBottom w:val="0"/>
      <w:divBdr>
        <w:top w:val="none" w:sz="0" w:space="0" w:color="auto"/>
        <w:left w:val="none" w:sz="0" w:space="0" w:color="auto"/>
        <w:bottom w:val="none" w:sz="0" w:space="0" w:color="auto"/>
        <w:right w:val="none" w:sz="0" w:space="0" w:color="auto"/>
      </w:divBdr>
    </w:div>
    <w:div w:id="1347250260">
      <w:bodyDiv w:val="1"/>
      <w:marLeft w:val="0"/>
      <w:marRight w:val="0"/>
      <w:marTop w:val="0"/>
      <w:marBottom w:val="0"/>
      <w:divBdr>
        <w:top w:val="none" w:sz="0" w:space="0" w:color="auto"/>
        <w:left w:val="none" w:sz="0" w:space="0" w:color="auto"/>
        <w:bottom w:val="none" w:sz="0" w:space="0" w:color="auto"/>
        <w:right w:val="none" w:sz="0" w:space="0" w:color="auto"/>
      </w:divBdr>
    </w:div>
    <w:div w:id="1353998768">
      <w:bodyDiv w:val="1"/>
      <w:marLeft w:val="0"/>
      <w:marRight w:val="0"/>
      <w:marTop w:val="0"/>
      <w:marBottom w:val="0"/>
      <w:divBdr>
        <w:top w:val="none" w:sz="0" w:space="0" w:color="auto"/>
        <w:left w:val="none" w:sz="0" w:space="0" w:color="auto"/>
        <w:bottom w:val="none" w:sz="0" w:space="0" w:color="auto"/>
        <w:right w:val="none" w:sz="0" w:space="0" w:color="auto"/>
      </w:divBdr>
    </w:div>
    <w:div w:id="1568566212">
      <w:bodyDiv w:val="1"/>
      <w:marLeft w:val="0"/>
      <w:marRight w:val="0"/>
      <w:marTop w:val="0"/>
      <w:marBottom w:val="0"/>
      <w:divBdr>
        <w:top w:val="none" w:sz="0" w:space="0" w:color="auto"/>
        <w:left w:val="none" w:sz="0" w:space="0" w:color="auto"/>
        <w:bottom w:val="none" w:sz="0" w:space="0" w:color="auto"/>
        <w:right w:val="none" w:sz="0" w:space="0" w:color="auto"/>
      </w:divBdr>
    </w:div>
    <w:div w:id="1656226496">
      <w:bodyDiv w:val="1"/>
      <w:marLeft w:val="0"/>
      <w:marRight w:val="0"/>
      <w:marTop w:val="0"/>
      <w:marBottom w:val="0"/>
      <w:divBdr>
        <w:top w:val="none" w:sz="0" w:space="0" w:color="auto"/>
        <w:left w:val="none" w:sz="0" w:space="0" w:color="auto"/>
        <w:bottom w:val="none" w:sz="0" w:space="0" w:color="auto"/>
        <w:right w:val="none" w:sz="0" w:space="0" w:color="auto"/>
      </w:divBdr>
    </w:div>
    <w:div w:id="1776753898">
      <w:bodyDiv w:val="1"/>
      <w:marLeft w:val="0"/>
      <w:marRight w:val="0"/>
      <w:marTop w:val="0"/>
      <w:marBottom w:val="0"/>
      <w:divBdr>
        <w:top w:val="none" w:sz="0" w:space="0" w:color="auto"/>
        <w:left w:val="none" w:sz="0" w:space="0" w:color="auto"/>
        <w:bottom w:val="none" w:sz="0" w:space="0" w:color="auto"/>
        <w:right w:val="none" w:sz="0" w:space="0" w:color="auto"/>
      </w:divBdr>
    </w:div>
    <w:div w:id="1855151202">
      <w:bodyDiv w:val="1"/>
      <w:marLeft w:val="0"/>
      <w:marRight w:val="0"/>
      <w:marTop w:val="0"/>
      <w:marBottom w:val="0"/>
      <w:divBdr>
        <w:top w:val="none" w:sz="0" w:space="0" w:color="auto"/>
        <w:left w:val="none" w:sz="0" w:space="0" w:color="auto"/>
        <w:bottom w:val="none" w:sz="0" w:space="0" w:color="auto"/>
        <w:right w:val="none" w:sz="0" w:space="0" w:color="auto"/>
      </w:divBdr>
    </w:div>
    <w:div w:id="2113279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x.doi.org/10.1071/PY20280" TargetMode="External"/><Relationship Id="rId13" Type="http://schemas.openxmlformats.org/officeDocument/2006/relationships/hyperlink" Target="https://dx.doi.org/10.3132/PCRJ.2007.00041" TargetMode="External"/><Relationship Id="rId18" Type="http://schemas.openxmlformats.org/officeDocument/2006/relationships/hyperlink" Target="https://doi.org/10.11124/jbisrir-2016-1843"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4236/ce.2015.617189" TargetMode="External"/><Relationship Id="rId7" Type="http://schemas.openxmlformats.org/officeDocument/2006/relationships/hyperlink" Target="https://dx.doi.org/10.1080/14739879.2017.1338536" TargetMode="External"/><Relationship Id="rId12" Type="http://schemas.openxmlformats.org/officeDocument/2006/relationships/hyperlink" Target="https://dx.doi.org/10.4236/CE.2015.617189" TargetMode="External"/><Relationship Id="rId17" Type="http://schemas.openxmlformats.org/officeDocument/2006/relationships/hyperlink" Target="https://doi.org/10.4037/ccn200928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71/py20280" TargetMode="External"/><Relationship Id="rId20" Type="http://schemas.openxmlformats.org/officeDocument/2006/relationships/hyperlink" Target="https://doi.org/10.1080/14739879.2017.133853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x.doi.org/10.5334/ijic.icic23526"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ubmed.ncbi.nlm.nih.gov/29697223/" TargetMode="External"/><Relationship Id="rId23" Type="http://schemas.openxmlformats.org/officeDocument/2006/relationships/hyperlink" Target="https://doi.org/10.1080/10967494.2013.817255" TargetMode="External"/><Relationship Id="rId10" Type="http://schemas.openxmlformats.org/officeDocument/2006/relationships/hyperlink" Target="https://dx.doi.org/10.4236/CE.2015.617189" TargetMode="External"/><Relationship Id="rId19" Type="http://schemas.openxmlformats.org/officeDocument/2006/relationships/hyperlink" Target="https://doi.org/10.3132/pcrj.2007.00041" TargetMode="External"/><Relationship Id="rId4" Type="http://schemas.openxmlformats.org/officeDocument/2006/relationships/webSettings" Target="webSettings.xml"/><Relationship Id="rId9" Type="http://schemas.openxmlformats.org/officeDocument/2006/relationships/hyperlink" Target="https://pubmed.ncbi.nlm.nih.gov/29697223" TargetMode="External"/><Relationship Id="rId14" Type="http://schemas.openxmlformats.org/officeDocument/2006/relationships/hyperlink" Target="https://doi.org/10.5334/ijic.icic23526" TargetMode="External"/><Relationship Id="rId22" Type="http://schemas.openxmlformats.org/officeDocument/2006/relationships/hyperlink" Target="https://doi.org/10.11124/jbisrir-2016-0030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5</Pages>
  <Words>1634</Words>
  <Characters>9319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 razv</dc:creator>
  <cp:keywords/>
  <dc:description/>
  <cp:lastModifiedBy>Marinel Biban</cp:lastModifiedBy>
  <cp:revision>10</cp:revision>
  <dcterms:created xsi:type="dcterms:W3CDTF">2024-04-30T20:35:00Z</dcterms:created>
  <dcterms:modified xsi:type="dcterms:W3CDTF">2024-04-30T22:12:00Z</dcterms:modified>
</cp:coreProperties>
</file>