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004D82" w14:textId="77777777" w:rsidR="00AC2DBC" w:rsidRPr="00A85BFE" w:rsidRDefault="00AC2DBC" w:rsidP="00AC2DBC">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AF456C7" wp14:editId="6AB1F61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0CAA2456" w14:textId="77777777" w:rsidR="00AC2DBC" w:rsidRPr="00A406E5" w:rsidRDefault="00AC2DBC" w:rsidP="00AC2DB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AC2DBC" w:rsidRPr="00A406E5" w14:paraId="27A90020" w14:textId="77777777" w:rsidTr="00312C3D">
        <w:tc>
          <w:tcPr>
            <w:tcW w:w="9922" w:type="dxa"/>
            <w:shd w:val="clear" w:color="auto" w:fill="C0C0C0"/>
          </w:tcPr>
          <w:p w14:paraId="76409BE1" w14:textId="77777777" w:rsidR="00AC2DBC" w:rsidRPr="00A406E5" w:rsidRDefault="00AC2DBC" w:rsidP="00312C3D">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197688FE" w14:textId="77777777" w:rsidR="00AC2DBC" w:rsidRPr="00A406E5" w:rsidRDefault="00AC2DBC" w:rsidP="00AC2DBC">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C2DBC" w:rsidRPr="00A406E5" w14:paraId="3613B89F" w14:textId="77777777" w:rsidTr="00312C3D">
        <w:tc>
          <w:tcPr>
            <w:tcW w:w="2093" w:type="dxa"/>
            <w:shd w:val="pct15" w:color="auto" w:fill="auto"/>
          </w:tcPr>
          <w:p w14:paraId="7372490B" w14:textId="77777777" w:rsidR="00AC2DBC" w:rsidRPr="00A406E5" w:rsidRDefault="00AC2DBC" w:rsidP="00312C3D">
            <w:pPr>
              <w:spacing w:before="120" w:after="120"/>
              <w:jc w:val="both"/>
              <w:rPr>
                <w:rFonts w:ascii="Arial" w:hAnsi="Arial" w:cs="Arial"/>
                <w:b/>
              </w:rPr>
            </w:pPr>
            <w:r w:rsidRPr="00A406E5">
              <w:rPr>
                <w:rFonts w:ascii="Arial" w:hAnsi="Arial" w:cs="Arial"/>
                <w:b/>
              </w:rPr>
              <w:t>Student name:</w:t>
            </w:r>
          </w:p>
        </w:tc>
        <w:tc>
          <w:tcPr>
            <w:tcW w:w="3293" w:type="dxa"/>
          </w:tcPr>
          <w:p w14:paraId="026923DC" w14:textId="77777777" w:rsidR="00AC2DBC" w:rsidRPr="00A406E5" w:rsidRDefault="00AC2DBC" w:rsidP="00312C3D">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r>
              <w:rPr>
                <w:rFonts w:ascii="Arial" w:hAnsi="Arial" w:cs="Arial"/>
                <w:b/>
              </w:rPr>
              <w:t>Gemma Williams</w:t>
            </w:r>
          </w:p>
        </w:tc>
        <w:tc>
          <w:tcPr>
            <w:tcW w:w="2268" w:type="dxa"/>
            <w:shd w:val="clear" w:color="auto" w:fill="D9D9D9"/>
          </w:tcPr>
          <w:p w14:paraId="169161F3" w14:textId="77777777" w:rsidR="00AC2DBC" w:rsidRPr="00A406E5" w:rsidRDefault="00AC2DBC" w:rsidP="00312C3D">
            <w:pPr>
              <w:spacing w:before="120" w:after="120"/>
              <w:jc w:val="both"/>
              <w:rPr>
                <w:rFonts w:ascii="Arial" w:hAnsi="Arial" w:cs="Arial"/>
                <w:b/>
              </w:rPr>
            </w:pPr>
            <w:r w:rsidRPr="00A406E5">
              <w:rPr>
                <w:rFonts w:ascii="Arial" w:hAnsi="Arial" w:cs="Arial"/>
                <w:b/>
              </w:rPr>
              <w:t>Student ID number:</w:t>
            </w:r>
          </w:p>
        </w:tc>
        <w:tc>
          <w:tcPr>
            <w:tcW w:w="2268" w:type="dxa"/>
          </w:tcPr>
          <w:p w14:paraId="62677581" w14:textId="77777777" w:rsidR="00AC2DBC" w:rsidRPr="00A406E5" w:rsidRDefault="00AC2DBC" w:rsidP="00312C3D">
            <w:pPr>
              <w:spacing w:before="120" w:after="120"/>
              <w:jc w:val="both"/>
              <w:rPr>
                <w:rFonts w:ascii="Arial" w:hAnsi="Arial" w:cs="Arial"/>
                <w:b/>
              </w:rPr>
            </w:pPr>
            <w:r>
              <w:rPr>
                <w:rFonts w:ascii="Arial" w:hAnsi="Arial" w:cs="Arial"/>
                <w:b/>
              </w:rPr>
              <w:t>1807253</w:t>
            </w:r>
          </w:p>
        </w:tc>
      </w:tr>
      <w:tr w:rsidR="00AC2DBC" w:rsidRPr="00A406E5" w14:paraId="0FA99240" w14:textId="77777777" w:rsidTr="00312C3D">
        <w:tc>
          <w:tcPr>
            <w:tcW w:w="2093" w:type="dxa"/>
            <w:shd w:val="pct15" w:color="auto" w:fill="auto"/>
          </w:tcPr>
          <w:p w14:paraId="2D9E6EAD" w14:textId="77777777" w:rsidR="00AC2DBC" w:rsidRPr="00A406E5" w:rsidRDefault="00AC2DBC" w:rsidP="00312C3D">
            <w:pPr>
              <w:spacing w:before="120" w:after="120"/>
              <w:jc w:val="both"/>
              <w:rPr>
                <w:rFonts w:ascii="Arial" w:hAnsi="Arial" w:cs="Arial"/>
                <w:b/>
              </w:rPr>
            </w:pPr>
            <w:r w:rsidRPr="00A406E5">
              <w:rPr>
                <w:rFonts w:ascii="Arial" w:hAnsi="Arial" w:cs="Arial"/>
                <w:b/>
              </w:rPr>
              <w:t>Programme:</w:t>
            </w:r>
          </w:p>
        </w:tc>
        <w:tc>
          <w:tcPr>
            <w:tcW w:w="7829" w:type="dxa"/>
            <w:gridSpan w:val="3"/>
          </w:tcPr>
          <w:p w14:paraId="32089E31" w14:textId="77777777" w:rsidR="00AC2DBC" w:rsidRPr="00A406E5" w:rsidRDefault="00AC2DBC" w:rsidP="00312C3D">
            <w:pPr>
              <w:spacing w:before="120" w:after="120"/>
              <w:jc w:val="both"/>
              <w:rPr>
                <w:rFonts w:ascii="Arial" w:hAnsi="Arial" w:cs="Arial"/>
                <w:b/>
              </w:rPr>
            </w:pPr>
            <w:r>
              <w:rPr>
                <w:rFonts w:ascii="Arial" w:hAnsi="Arial" w:cs="Arial"/>
                <w:b/>
              </w:rPr>
              <w:t>Secondary PGCE</w:t>
            </w:r>
          </w:p>
        </w:tc>
      </w:tr>
      <w:tr w:rsidR="00AC2DBC" w:rsidRPr="00A406E5" w14:paraId="6F1264E4" w14:textId="77777777" w:rsidTr="00312C3D">
        <w:tc>
          <w:tcPr>
            <w:tcW w:w="2093" w:type="dxa"/>
            <w:shd w:val="pct15" w:color="auto" w:fill="auto"/>
          </w:tcPr>
          <w:p w14:paraId="775C498F" w14:textId="77777777" w:rsidR="00AC2DBC" w:rsidRPr="00A406E5" w:rsidRDefault="00AC2DBC" w:rsidP="00312C3D">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2A7EE883" w14:textId="77777777" w:rsidR="00AC2DBC" w:rsidRPr="00F63C8B" w:rsidRDefault="00AC2DBC" w:rsidP="00312C3D">
            <w:pPr>
              <w:pStyle w:val="NormalWeb"/>
              <w:rPr>
                <w:sz w:val="22"/>
                <w:szCs w:val="22"/>
              </w:rPr>
            </w:pPr>
            <w:r w:rsidRPr="00F63C8B">
              <w:rPr>
                <w:rFonts w:ascii="Arial" w:hAnsi="Arial" w:cs="Arial"/>
                <w:b/>
                <w:bCs/>
                <w:sz w:val="22"/>
                <w:szCs w:val="22"/>
              </w:rPr>
              <w:t xml:space="preserve">Curriculum Development and Enhancement </w:t>
            </w:r>
          </w:p>
          <w:p w14:paraId="61AAC347" w14:textId="77777777" w:rsidR="00AC2DBC" w:rsidRPr="00F63C8B" w:rsidRDefault="00AC2DBC" w:rsidP="00312C3D">
            <w:pPr>
              <w:spacing w:before="120" w:after="120"/>
              <w:jc w:val="both"/>
              <w:rPr>
                <w:rFonts w:ascii="Arial" w:hAnsi="Arial" w:cs="Arial"/>
                <w:b/>
              </w:rPr>
            </w:pPr>
          </w:p>
        </w:tc>
      </w:tr>
      <w:tr w:rsidR="00AC2DBC" w:rsidRPr="00A406E5" w14:paraId="31924DF5" w14:textId="77777777" w:rsidTr="00312C3D">
        <w:tc>
          <w:tcPr>
            <w:tcW w:w="2093" w:type="dxa"/>
            <w:shd w:val="pct15" w:color="auto" w:fill="auto"/>
          </w:tcPr>
          <w:p w14:paraId="2FB56076" w14:textId="77777777" w:rsidR="00AC2DBC" w:rsidRPr="00A406E5" w:rsidRDefault="00AC2DBC" w:rsidP="00312C3D">
            <w:pPr>
              <w:spacing w:before="120" w:after="120"/>
              <w:jc w:val="both"/>
              <w:rPr>
                <w:rFonts w:ascii="Arial" w:hAnsi="Arial" w:cs="Arial"/>
                <w:b/>
              </w:rPr>
            </w:pPr>
            <w:r w:rsidRPr="00A406E5">
              <w:rPr>
                <w:rFonts w:ascii="Arial" w:hAnsi="Arial" w:cs="Arial"/>
                <w:b/>
              </w:rPr>
              <w:t>Module code:</w:t>
            </w:r>
          </w:p>
        </w:tc>
        <w:tc>
          <w:tcPr>
            <w:tcW w:w="3293" w:type="dxa"/>
          </w:tcPr>
          <w:p w14:paraId="5C425C6B" w14:textId="77777777" w:rsidR="00AC2DBC" w:rsidRPr="00A406E5" w:rsidRDefault="00AC2DBC" w:rsidP="00312C3D">
            <w:pPr>
              <w:spacing w:before="120" w:after="120"/>
              <w:jc w:val="both"/>
              <w:rPr>
                <w:rFonts w:ascii="Arial" w:hAnsi="Arial" w:cs="Arial"/>
                <w:b/>
              </w:rPr>
            </w:pPr>
            <w:r>
              <w:rPr>
                <w:rFonts w:ascii="Arial" w:hAnsi="Arial" w:cs="Arial"/>
                <w:b/>
              </w:rPr>
              <w:t>ECSP7002</w:t>
            </w:r>
          </w:p>
        </w:tc>
        <w:tc>
          <w:tcPr>
            <w:tcW w:w="2268" w:type="dxa"/>
            <w:shd w:val="clear" w:color="auto" w:fill="D9D9D9"/>
          </w:tcPr>
          <w:p w14:paraId="78E04EA2" w14:textId="77777777" w:rsidR="00AC2DBC" w:rsidRPr="004D5E9B" w:rsidRDefault="00AC2DBC" w:rsidP="00312C3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0358DEB" w14:textId="77777777" w:rsidR="00AC2DBC" w:rsidRPr="00A406E5" w:rsidRDefault="00AC2DBC" w:rsidP="00312C3D">
            <w:pPr>
              <w:spacing w:before="120" w:after="120"/>
              <w:jc w:val="both"/>
              <w:rPr>
                <w:rFonts w:ascii="Arial" w:hAnsi="Arial" w:cs="Arial"/>
                <w:b/>
              </w:rPr>
            </w:pPr>
            <w:r>
              <w:rPr>
                <w:rFonts w:ascii="Arial" w:hAnsi="Arial" w:cs="Arial"/>
                <w:b/>
              </w:rPr>
              <w:t>100%</w:t>
            </w:r>
          </w:p>
        </w:tc>
      </w:tr>
      <w:tr w:rsidR="00AC2DBC" w:rsidRPr="00A406E5" w14:paraId="7AF76264" w14:textId="77777777" w:rsidTr="00312C3D">
        <w:tc>
          <w:tcPr>
            <w:tcW w:w="2093" w:type="dxa"/>
            <w:shd w:val="pct15" w:color="auto" w:fill="auto"/>
          </w:tcPr>
          <w:p w14:paraId="54C584D2" w14:textId="77777777" w:rsidR="00AC2DBC" w:rsidRPr="00A406E5" w:rsidRDefault="00AC2DBC" w:rsidP="00312C3D">
            <w:pPr>
              <w:spacing w:before="120" w:after="120"/>
              <w:jc w:val="both"/>
              <w:rPr>
                <w:rFonts w:ascii="Arial" w:hAnsi="Arial" w:cs="Arial"/>
                <w:b/>
              </w:rPr>
            </w:pPr>
            <w:r w:rsidRPr="00A406E5">
              <w:rPr>
                <w:rFonts w:ascii="Arial" w:hAnsi="Arial" w:cs="Arial"/>
                <w:b/>
              </w:rPr>
              <w:t>Lecturer:</w:t>
            </w:r>
          </w:p>
        </w:tc>
        <w:tc>
          <w:tcPr>
            <w:tcW w:w="3293" w:type="dxa"/>
          </w:tcPr>
          <w:p w14:paraId="38855DCE" w14:textId="77777777" w:rsidR="00AC2DBC" w:rsidRPr="00A406E5" w:rsidRDefault="00AC2DBC" w:rsidP="00312C3D">
            <w:pPr>
              <w:spacing w:before="120" w:after="120"/>
              <w:jc w:val="both"/>
              <w:rPr>
                <w:rFonts w:ascii="Arial" w:hAnsi="Arial" w:cs="Arial"/>
                <w:b/>
              </w:rPr>
            </w:pPr>
            <w:r>
              <w:rPr>
                <w:rFonts w:ascii="Arial" w:hAnsi="Arial" w:cs="Arial"/>
                <w:b/>
              </w:rPr>
              <w:t>Helen Denny</w:t>
            </w:r>
          </w:p>
        </w:tc>
        <w:tc>
          <w:tcPr>
            <w:tcW w:w="2268" w:type="dxa"/>
            <w:shd w:val="clear" w:color="auto" w:fill="D9D9D9"/>
          </w:tcPr>
          <w:p w14:paraId="6F6C88CA" w14:textId="77777777" w:rsidR="00AC2DBC" w:rsidRPr="00A406E5" w:rsidRDefault="00AC2DBC" w:rsidP="00312C3D">
            <w:pPr>
              <w:spacing w:before="120" w:after="120"/>
              <w:jc w:val="both"/>
              <w:rPr>
                <w:rFonts w:ascii="Arial" w:hAnsi="Arial" w:cs="Arial"/>
                <w:b/>
              </w:rPr>
            </w:pPr>
            <w:r w:rsidRPr="00A406E5">
              <w:rPr>
                <w:rFonts w:ascii="Arial" w:hAnsi="Arial" w:cs="Arial"/>
                <w:b/>
              </w:rPr>
              <w:t>Internal Verifier:</w:t>
            </w:r>
          </w:p>
        </w:tc>
        <w:tc>
          <w:tcPr>
            <w:tcW w:w="2268" w:type="dxa"/>
          </w:tcPr>
          <w:p w14:paraId="31C8AF3C" w14:textId="77777777" w:rsidR="00AC2DBC" w:rsidRPr="00A406E5" w:rsidRDefault="00AC2DBC" w:rsidP="00312C3D">
            <w:pPr>
              <w:spacing w:before="120" w:after="120"/>
              <w:jc w:val="both"/>
              <w:rPr>
                <w:rFonts w:ascii="Arial" w:hAnsi="Arial" w:cs="Arial"/>
                <w:b/>
              </w:rPr>
            </w:pPr>
          </w:p>
        </w:tc>
      </w:tr>
      <w:tr w:rsidR="00AC2DBC" w:rsidRPr="00A406E5" w14:paraId="7C88C39A" w14:textId="77777777" w:rsidTr="00312C3D">
        <w:tc>
          <w:tcPr>
            <w:tcW w:w="2093" w:type="dxa"/>
            <w:shd w:val="pct15" w:color="auto" w:fill="auto"/>
          </w:tcPr>
          <w:p w14:paraId="7F868F1C" w14:textId="77777777" w:rsidR="00AC2DBC" w:rsidRPr="00A406E5" w:rsidRDefault="00AC2DBC" w:rsidP="00312C3D">
            <w:pPr>
              <w:spacing w:before="120" w:after="120"/>
              <w:jc w:val="both"/>
              <w:rPr>
                <w:rFonts w:ascii="Arial" w:hAnsi="Arial" w:cs="Arial"/>
                <w:b/>
              </w:rPr>
            </w:pPr>
            <w:r w:rsidRPr="00A406E5">
              <w:rPr>
                <w:rFonts w:ascii="Arial" w:hAnsi="Arial" w:cs="Arial"/>
                <w:b/>
              </w:rPr>
              <w:t>Assignment Title:</w:t>
            </w:r>
          </w:p>
        </w:tc>
        <w:tc>
          <w:tcPr>
            <w:tcW w:w="3293" w:type="dxa"/>
          </w:tcPr>
          <w:p w14:paraId="682D1DE1" w14:textId="77777777" w:rsidR="00AC2DBC" w:rsidRDefault="00AC2DBC" w:rsidP="00312C3D">
            <w:pPr>
              <w:pStyle w:val="NormalWeb"/>
            </w:pPr>
            <w:r>
              <w:rPr>
                <w:rFonts w:ascii="Arial" w:hAnsi="Arial" w:cs="Arial"/>
                <w:b/>
                <w:bCs/>
                <w:sz w:val="22"/>
                <w:szCs w:val="22"/>
              </w:rPr>
              <w:t xml:space="preserve">Research Study including Ethics Form </w:t>
            </w:r>
          </w:p>
          <w:p w14:paraId="25E0328E" w14:textId="77777777" w:rsidR="00AC2DBC" w:rsidRPr="00A406E5" w:rsidRDefault="00AC2DBC" w:rsidP="00312C3D">
            <w:pPr>
              <w:spacing w:before="120" w:after="120"/>
              <w:jc w:val="both"/>
              <w:rPr>
                <w:rFonts w:ascii="Arial" w:hAnsi="Arial" w:cs="Arial"/>
                <w:b/>
              </w:rPr>
            </w:pPr>
          </w:p>
        </w:tc>
        <w:tc>
          <w:tcPr>
            <w:tcW w:w="2268" w:type="dxa"/>
            <w:shd w:val="pct15" w:color="auto" w:fill="auto"/>
          </w:tcPr>
          <w:p w14:paraId="2500480E" w14:textId="77777777" w:rsidR="00AC2DBC" w:rsidRPr="00A406E5" w:rsidRDefault="00AC2DBC" w:rsidP="00312C3D">
            <w:pPr>
              <w:spacing w:before="120" w:after="120"/>
              <w:jc w:val="both"/>
              <w:rPr>
                <w:rFonts w:ascii="Arial" w:hAnsi="Arial" w:cs="Arial"/>
                <w:b/>
              </w:rPr>
            </w:pPr>
            <w:r>
              <w:rPr>
                <w:rFonts w:ascii="Arial" w:hAnsi="Arial" w:cs="Arial"/>
                <w:b/>
              </w:rPr>
              <w:t>Word count (or equivalent):</w:t>
            </w:r>
          </w:p>
        </w:tc>
        <w:tc>
          <w:tcPr>
            <w:tcW w:w="2268" w:type="dxa"/>
          </w:tcPr>
          <w:p w14:paraId="16D90C18" w14:textId="77777777" w:rsidR="00AC2DBC" w:rsidRDefault="00AC2DBC" w:rsidP="00312C3D">
            <w:pPr>
              <w:pStyle w:val="NormalWeb"/>
            </w:pPr>
            <w:r>
              <w:rPr>
                <w:rFonts w:ascii="Arial" w:hAnsi="Arial" w:cs="Arial"/>
                <w:b/>
                <w:bCs/>
                <w:sz w:val="22"/>
                <w:szCs w:val="22"/>
              </w:rPr>
              <w:t>10.000 words in total including an Ethics form (to be given in on January 11</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14:paraId="1FB1A161" w14:textId="77777777" w:rsidR="00AC2DBC" w:rsidRPr="00A406E5" w:rsidRDefault="00AC2DBC" w:rsidP="00312C3D">
            <w:pPr>
              <w:spacing w:before="120" w:after="120"/>
              <w:jc w:val="both"/>
              <w:rPr>
                <w:rFonts w:ascii="Arial" w:hAnsi="Arial" w:cs="Arial"/>
                <w:b/>
              </w:rPr>
            </w:pPr>
          </w:p>
        </w:tc>
      </w:tr>
      <w:tr w:rsidR="00AC2DBC" w:rsidRPr="00A406E5" w14:paraId="201EFBF9" w14:textId="77777777" w:rsidTr="00312C3D">
        <w:tc>
          <w:tcPr>
            <w:tcW w:w="2093" w:type="dxa"/>
            <w:shd w:val="pct15" w:color="auto" w:fill="auto"/>
          </w:tcPr>
          <w:p w14:paraId="25C4E215" w14:textId="77777777" w:rsidR="00AC2DBC" w:rsidRPr="00A406E5" w:rsidRDefault="00AC2DBC" w:rsidP="00312C3D">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0D221247" w14:textId="77777777" w:rsidR="00AC2DBC" w:rsidRDefault="00AC2DBC" w:rsidP="00312C3D">
            <w:pPr>
              <w:pStyle w:val="NormalWeb"/>
            </w:pPr>
            <w:r>
              <w:rPr>
                <w:rFonts w:ascii="Arial" w:hAnsi="Arial" w:cs="Arial"/>
                <w:b/>
                <w:bCs/>
                <w:sz w:val="22"/>
                <w:szCs w:val="22"/>
              </w:rPr>
              <w:t>May 13</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14:paraId="6F23EEAE" w14:textId="77777777" w:rsidR="00AC2DBC" w:rsidRPr="00A406E5" w:rsidRDefault="00AC2DBC" w:rsidP="00312C3D">
            <w:pPr>
              <w:spacing w:before="120" w:after="120"/>
              <w:jc w:val="both"/>
              <w:rPr>
                <w:rFonts w:ascii="Arial" w:hAnsi="Arial" w:cs="Arial"/>
                <w:b/>
              </w:rPr>
            </w:pPr>
          </w:p>
        </w:tc>
        <w:tc>
          <w:tcPr>
            <w:tcW w:w="2268" w:type="dxa"/>
            <w:shd w:val="pct15" w:color="auto" w:fill="auto"/>
          </w:tcPr>
          <w:p w14:paraId="50886E97" w14:textId="77777777" w:rsidR="00AC2DBC" w:rsidRPr="00A406E5" w:rsidRDefault="00AC2DBC" w:rsidP="00312C3D">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1D07678E" w14:textId="77777777" w:rsidR="00AC2DBC" w:rsidRDefault="00AC2DBC" w:rsidP="00312C3D">
            <w:pPr>
              <w:pStyle w:val="NormalWeb"/>
            </w:pPr>
            <w:r>
              <w:rPr>
                <w:rFonts w:ascii="Arial" w:hAnsi="Arial" w:cs="Arial"/>
                <w:b/>
                <w:bCs/>
                <w:sz w:val="22"/>
                <w:szCs w:val="22"/>
              </w:rPr>
              <w:t>June 10</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14:paraId="401C7E1D" w14:textId="77777777" w:rsidR="00AC2DBC" w:rsidRPr="00A406E5" w:rsidRDefault="00AC2DBC" w:rsidP="00312C3D">
            <w:pPr>
              <w:spacing w:before="120" w:after="120"/>
              <w:jc w:val="both"/>
              <w:rPr>
                <w:rFonts w:ascii="Arial" w:hAnsi="Arial" w:cs="Arial"/>
                <w:b/>
              </w:rPr>
            </w:pPr>
          </w:p>
        </w:tc>
      </w:tr>
      <w:tr w:rsidR="00AC2DBC" w:rsidRPr="00A406E5" w14:paraId="1CDAF177" w14:textId="77777777" w:rsidTr="00312C3D">
        <w:tc>
          <w:tcPr>
            <w:tcW w:w="2093" w:type="dxa"/>
            <w:shd w:val="pct15" w:color="auto" w:fill="auto"/>
          </w:tcPr>
          <w:p w14:paraId="5FB54656" w14:textId="77777777" w:rsidR="00AC2DBC" w:rsidRPr="00A406E5" w:rsidRDefault="00AC2DBC" w:rsidP="00312C3D">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48584B00" w14:textId="77777777" w:rsidR="00AC2DBC" w:rsidRPr="00A406E5" w:rsidRDefault="00AC2DBC" w:rsidP="00312C3D">
            <w:pPr>
              <w:rPr>
                <w:rFonts w:ascii="Arial" w:hAnsi="Arial" w:cs="Arial"/>
              </w:rPr>
            </w:pPr>
            <w:r w:rsidRPr="00A406E5">
              <w:rPr>
                <w:rFonts w:ascii="Arial" w:hAnsi="Arial" w:cs="Arial"/>
              </w:rPr>
              <w:t xml:space="preserve">All written assessments, where practical and possible, must be submitted via </w:t>
            </w:r>
            <w:proofErr w:type="spellStart"/>
            <w:r w:rsidRPr="00A406E5">
              <w:rPr>
                <w:rFonts w:ascii="Arial" w:hAnsi="Arial" w:cs="Arial"/>
              </w:rPr>
              <w:t>Turnitin</w:t>
            </w:r>
            <w:proofErr w:type="spellEnd"/>
            <w:r w:rsidRPr="00A406E5">
              <w:rPr>
                <w:rFonts w:ascii="Arial" w:hAnsi="Arial" w:cs="Arial"/>
              </w:rPr>
              <w:t xml:space="preserve"> unless otherwise instructed by the Lecturer. (Please DO NOT put this assessment specification into </w:t>
            </w:r>
            <w:proofErr w:type="spellStart"/>
            <w:r w:rsidRPr="00A406E5">
              <w:rPr>
                <w:rFonts w:ascii="Arial" w:hAnsi="Arial" w:cs="Arial"/>
              </w:rPr>
              <w:t>Turnitin</w:t>
            </w:r>
            <w:proofErr w:type="spellEnd"/>
            <w:r w:rsidRPr="00A406E5">
              <w:rPr>
                <w:rFonts w:ascii="Arial" w:hAnsi="Arial" w:cs="Arial"/>
              </w:rPr>
              <w:t xml:space="preserve"> or it will match many similarities with other students’ submissions.)</w:t>
            </w:r>
          </w:p>
          <w:p w14:paraId="7E421F34" w14:textId="77777777" w:rsidR="00AC2DBC" w:rsidRPr="00A406E5" w:rsidRDefault="00AC2DBC" w:rsidP="00312C3D">
            <w:pPr>
              <w:spacing w:before="120" w:after="120"/>
              <w:jc w:val="both"/>
              <w:rPr>
                <w:rFonts w:ascii="Arial" w:hAnsi="Arial" w:cs="Arial"/>
                <w:b/>
              </w:rPr>
            </w:pPr>
            <w:r w:rsidRPr="00A406E5">
              <w:rPr>
                <w:rFonts w:ascii="Arial" w:hAnsi="Arial" w:cs="Arial"/>
                <w:b/>
              </w:rPr>
              <w:t xml:space="preserve">Alternative submission method (if applicable): </w:t>
            </w:r>
          </w:p>
          <w:p w14:paraId="49B416C9" w14:textId="77777777" w:rsidR="00AC2DBC" w:rsidRPr="00A406E5" w:rsidRDefault="00AC2DBC" w:rsidP="00312C3D">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AC2DBC" w:rsidRPr="00A406E5" w14:paraId="512D5F4C" w14:textId="77777777" w:rsidTr="00312C3D">
        <w:tc>
          <w:tcPr>
            <w:tcW w:w="2093" w:type="dxa"/>
            <w:shd w:val="pct15" w:color="auto" w:fill="auto"/>
          </w:tcPr>
          <w:p w14:paraId="166E30E8" w14:textId="77777777" w:rsidR="00AC2DBC" w:rsidRPr="00A406E5" w:rsidRDefault="00AC2DBC" w:rsidP="00312C3D">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1C57037C" w14:textId="77777777" w:rsidR="00AC2DBC" w:rsidRPr="00A406E5" w:rsidRDefault="00AC2DBC" w:rsidP="00312C3D">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70650356" w14:textId="77777777" w:rsidR="00AC2DBC" w:rsidRPr="00A406E5" w:rsidRDefault="00AC2DBC" w:rsidP="00AC2DBC">
      <w:pPr>
        <w:rPr>
          <w:rFonts w:ascii="Arial" w:hAnsi="Arial" w:cs="Arial"/>
          <w:sz w:val="32"/>
        </w:rPr>
      </w:pPr>
    </w:p>
    <w:p w14:paraId="6E3DFBDE" w14:textId="77777777" w:rsidR="00AC2DBC" w:rsidRPr="00B97B03" w:rsidRDefault="00AC2DBC" w:rsidP="00AC2DBC">
      <w:pPr>
        <w:rPr>
          <w:rFonts w:ascii="Arial" w:hAnsi="Arial" w:cs="Arial"/>
          <w:sz w:val="32"/>
        </w:rPr>
      </w:pPr>
    </w:p>
    <w:p w14:paraId="4C3EB1AC" w14:textId="4BAEA0F0" w:rsidR="39DE9E8D" w:rsidRDefault="39DE9E8D">
      <w:r>
        <w:br w:type="page"/>
      </w:r>
    </w:p>
    <w:p w14:paraId="5E5787A5" w14:textId="10B9B8C6" w:rsidR="009A5644" w:rsidRDefault="24BFB336" w:rsidP="24BFB336">
      <w:pPr>
        <w:jc w:val="center"/>
        <w:rPr>
          <w:sz w:val="32"/>
          <w:szCs w:val="32"/>
          <w:u w:val="single"/>
        </w:rPr>
      </w:pPr>
      <w:r w:rsidRPr="24BFB336">
        <w:rPr>
          <w:sz w:val="28"/>
          <w:szCs w:val="28"/>
          <w:u w:val="single"/>
        </w:rPr>
        <w:lastRenderedPageBreak/>
        <w:t>The effect of dual coding on the acquisition of new vocabulary</w:t>
      </w:r>
    </w:p>
    <w:p w14:paraId="1D307850" w14:textId="34019C0F" w:rsidR="24BFB336" w:rsidRDefault="0FAE392C" w:rsidP="0FAE392C">
      <w:pPr>
        <w:rPr>
          <w:color w:val="00B0F0"/>
          <w:sz w:val="28"/>
          <w:szCs w:val="28"/>
          <w:u w:val="single"/>
        </w:rPr>
      </w:pPr>
      <w:r w:rsidRPr="0FAE392C">
        <w:rPr>
          <w:color w:val="00B0F0"/>
          <w:sz w:val="28"/>
          <w:szCs w:val="28"/>
          <w:u w:val="single"/>
        </w:rPr>
        <w:t>Introduction</w:t>
      </w:r>
    </w:p>
    <w:p w14:paraId="1CA86792" w14:textId="7A428A24" w:rsidR="0FAE392C" w:rsidRDefault="39DE9E8D" w:rsidP="39DE9E8D">
      <w:pPr>
        <w:rPr>
          <w:sz w:val="24"/>
          <w:szCs w:val="24"/>
        </w:rPr>
      </w:pPr>
      <w:r w:rsidRPr="39DE9E8D">
        <w:rPr>
          <w:sz w:val="24"/>
          <w:szCs w:val="24"/>
        </w:rPr>
        <w:t xml:space="preserve">This essay is focussed on the concept of dual coding, the combination of images alongside vocabulary, and its effect on the acquisition of this new vocabulary. The hypothesis of this study is therefore to see if dual coding has a positive effect on the acquisition of new vocabulary. In order to discover more about how this concept works, this piece of action research was undertaken. This topic was chosen in order to gain a deeper understanding into the cognitive processes involved when learning new vocabulary. Understanding this is a key to the teaching and learning of a second language (Ortega, 2008).  BERA’s ethical guidelines will be followed throughout this piece of work and in order to preserve the anonymity and rights of the school it will hereby be known as School X (BERA, 2018). School X is an 11-16 school situated in the local authority of Neath Port Talbot with 1,232 pupils currently on roll. The class which participated in this piece of action research was a GCSE year 10 class with 18 pupils. At the time of this action research, many Modern Foreign Language (MFL) classes were involved in Key Stage 3 (KS3) examinations and therefore this class was one of the few available to undertake this research. Another reason this class was chosen was their attendance; as this research was conducted over two days it was vital that a class with high attendance participated so that the results were not skewed. The sequence of lessons took place on a Monday lesson two and a Wednesday lesson 5. The new vocabulary that was to be introduced was on the topic of house and home, in particular housework and </w:t>
      </w:r>
      <w:proofErr w:type="spellStart"/>
      <w:r w:rsidRPr="39DE9E8D">
        <w:rPr>
          <w:sz w:val="24"/>
          <w:szCs w:val="24"/>
        </w:rPr>
        <w:t>wa</w:t>
      </w:r>
      <w:proofErr w:type="spellEnd"/>
      <w:r w:rsidRPr="39DE9E8D">
        <w:rPr>
          <w:sz w:val="24"/>
          <w:szCs w:val="24"/>
        </w:rPr>
        <w:t xml:space="preserve"> primarily comprised of phrases rather than individual words, which seems appropriate based on the level as this is a GCSE class. This essay will examine a variety of literature available on dual coding, the methodology used to carry out this research and also an in-depth analysis of the results, how it compares to the aforementioned literature, and potential limitations of this research. The class took part in a pre-test, I intervened with various activities and the class then undertook a post-test to discover the effect of dual coding on the acquisition of new vocabulary.</w:t>
      </w:r>
    </w:p>
    <w:p w14:paraId="06AF5E0A" w14:textId="574766D4" w:rsidR="0FAE392C" w:rsidRDefault="65BEB531" w:rsidP="65BEB531">
      <w:pPr>
        <w:rPr>
          <w:color w:val="00B0F0"/>
          <w:sz w:val="32"/>
          <w:szCs w:val="32"/>
          <w:u w:val="single"/>
        </w:rPr>
      </w:pPr>
      <w:r w:rsidRPr="65BEB531">
        <w:rPr>
          <w:color w:val="00B0F0"/>
          <w:sz w:val="28"/>
          <w:szCs w:val="28"/>
          <w:u w:val="single"/>
        </w:rPr>
        <w:t>Literature review (2500 words)</w:t>
      </w:r>
    </w:p>
    <w:p w14:paraId="2B0D6AE8" w14:textId="5B5E2B13" w:rsidR="0FAE392C" w:rsidRDefault="39DE9E8D" w:rsidP="39DE9E8D">
      <w:pPr>
        <w:rPr>
          <w:sz w:val="24"/>
          <w:szCs w:val="24"/>
        </w:rPr>
      </w:pPr>
      <w:r w:rsidRPr="39DE9E8D">
        <w:rPr>
          <w:sz w:val="24"/>
          <w:szCs w:val="24"/>
        </w:rPr>
        <w:t xml:space="preserve">Dual coding theory was initially proposed by </w:t>
      </w:r>
      <w:proofErr w:type="spellStart"/>
      <w:r w:rsidRPr="39DE9E8D">
        <w:rPr>
          <w:sz w:val="24"/>
          <w:szCs w:val="24"/>
        </w:rPr>
        <w:t>Paivio</w:t>
      </w:r>
      <w:proofErr w:type="spellEnd"/>
      <w:r w:rsidRPr="39DE9E8D">
        <w:rPr>
          <w:sz w:val="24"/>
          <w:szCs w:val="24"/>
        </w:rPr>
        <w:t xml:space="preserve"> in 1971 when he noticed the powerful mnemonic effects that imagery has on the brain (Thomas, 2014). Dual coding theory is therefore the concept that human brains have two key systems to process new information; a verbal system which is directly linked with language and verbal indications, and a non-verbal or imagery system which processes non-linguistic objects and events (</w:t>
      </w:r>
      <w:proofErr w:type="spellStart"/>
      <w:r w:rsidRPr="39DE9E8D">
        <w:rPr>
          <w:sz w:val="24"/>
          <w:szCs w:val="24"/>
        </w:rPr>
        <w:t>Paivio</w:t>
      </w:r>
      <w:proofErr w:type="spellEnd"/>
      <w:r w:rsidRPr="39DE9E8D">
        <w:rPr>
          <w:sz w:val="24"/>
          <w:szCs w:val="24"/>
        </w:rPr>
        <w:t xml:space="preserve">, 1986). This theory gives equal weight to each system in order to effectively retain new information. </w:t>
      </w:r>
      <w:proofErr w:type="spellStart"/>
      <w:r w:rsidRPr="39DE9E8D">
        <w:rPr>
          <w:sz w:val="24"/>
          <w:szCs w:val="24"/>
        </w:rPr>
        <w:t>Paivio</w:t>
      </w:r>
      <w:proofErr w:type="spellEnd"/>
      <w:r w:rsidRPr="39DE9E8D">
        <w:rPr>
          <w:sz w:val="24"/>
          <w:szCs w:val="24"/>
        </w:rPr>
        <w:t xml:space="preserve"> has since pioneered this field of research and has written numerous books on the subject, including countless case studies showing the apparent relevance of dual coding theory. </w:t>
      </w:r>
    </w:p>
    <w:p w14:paraId="1317C590" w14:textId="277473EF" w:rsidR="39DE9E8D" w:rsidRDefault="39DE9E8D" w:rsidP="39DE9E8D">
      <w:pPr>
        <w:rPr>
          <w:sz w:val="24"/>
          <w:szCs w:val="24"/>
        </w:rPr>
      </w:pPr>
      <w:r w:rsidRPr="39DE9E8D">
        <w:rPr>
          <w:sz w:val="24"/>
          <w:szCs w:val="24"/>
        </w:rPr>
        <w:t xml:space="preserve">There is evidence that these verbal and non-verbal systems and the inherent benefits when combining both systems, can increase the quality of the acquisition of new items of vocabulary and new information. The two systems and their impact on the cognitive </w:t>
      </w:r>
      <w:r w:rsidRPr="39DE9E8D">
        <w:rPr>
          <w:sz w:val="24"/>
          <w:szCs w:val="24"/>
        </w:rPr>
        <w:lastRenderedPageBreak/>
        <w:t>processes that are engaged when acquiring new information leads to interesting psychometric theories in this field (</w:t>
      </w:r>
      <w:proofErr w:type="spellStart"/>
      <w:r w:rsidRPr="39DE9E8D">
        <w:rPr>
          <w:sz w:val="24"/>
          <w:szCs w:val="24"/>
        </w:rPr>
        <w:t>Paivio</w:t>
      </w:r>
      <w:proofErr w:type="spellEnd"/>
      <w:r w:rsidRPr="39DE9E8D">
        <w:rPr>
          <w:sz w:val="24"/>
          <w:szCs w:val="24"/>
        </w:rPr>
        <w:t xml:space="preserve">, 2014). </w:t>
      </w:r>
    </w:p>
    <w:p w14:paraId="7F2E67FD" w14:textId="544822C5" w:rsidR="4FCEE000" w:rsidRDefault="080CBD48" w:rsidP="080CBD48">
      <w:pPr>
        <w:rPr>
          <w:sz w:val="24"/>
          <w:szCs w:val="24"/>
        </w:rPr>
      </w:pPr>
      <w:r w:rsidRPr="080CBD48">
        <w:rPr>
          <w:sz w:val="24"/>
          <w:szCs w:val="24"/>
        </w:rPr>
        <w:t>Studies have also shown that dual coding has a different impact on higher and lower ability students. Studies conducted by Mayer and Sims (1994) demonstrate that dual coding allows learners to make referential connections between words and the image provided and therefore improve the students’ ability to memorise the dual coded material regardless of level.</w:t>
      </w:r>
    </w:p>
    <w:p w14:paraId="632B71BC" w14:textId="44BBCB28" w:rsidR="4FCEE000" w:rsidRDefault="39DE9E8D" w:rsidP="39DE9E8D">
      <w:pPr>
        <w:rPr>
          <w:sz w:val="24"/>
          <w:szCs w:val="24"/>
        </w:rPr>
      </w:pPr>
      <w:r w:rsidRPr="39DE9E8D">
        <w:rPr>
          <w:sz w:val="24"/>
          <w:szCs w:val="24"/>
        </w:rPr>
        <w:t>What is important to note here that many of the studies and theorists working on dual coding theory are working with the idea that learning styles are a relevant and accurate way to assess the way in which a student learns. As a result, many studies make links to high- and low-spatial ability students. This idea has since been put into question as there is no evidence that it has a benefit on teaching and learning (</w:t>
      </w:r>
      <w:proofErr w:type="spellStart"/>
      <w:r w:rsidRPr="39DE9E8D">
        <w:rPr>
          <w:sz w:val="24"/>
          <w:szCs w:val="24"/>
        </w:rPr>
        <w:t>Paschler</w:t>
      </w:r>
      <w:proofErr w:type="spellEnd"/>
      <w:r w:rsidRPr="39DE9E8D">
        <w:rPr>
          <w:sz w:val="24"/>
          <w:szCs w:val="24"/>
        </w:rPr>
        <w:t xml:space="preserve"> et al., 2008). With this in mind, the studies chosen for the purpose of this essay regarding the impact of dual coding on higher and lower ability students have still made a connection between the use of images and words on language acquisition which is why it is not logical to entirely disregard the study. The lack of consistency between the learning styles also makes it difficult to find this theory credible; meaning that one student does not have one way in which they learn everything (</w:t>
      </w:r>
      <w:proofErr w:type="spellStart"/>
      <w:r w:rsidRPr="39DE9E8D">
        <w:rPr>
          <w:sz w:val="24"/>
          <w:szCs w:val="24"/>
        </w:rPr>
        <w:t>Lethaby</w:t>
      </w:r>
      <w:proofErr w:type="spellEnd"/>
      <w:r w:rsidRPr="39DE9E8D">
        <w:rPr>
          <w:sz w:val="24"/>
          <w:szCs w:val="24"/>
        </w:rPr>
        <w:t>, 2017).</w:t>
      </w:r>
    </w:p>
    <w:p w14:paraId="11A2F91F" w14:textId="5D676DCF" w:rsidR="39DE9E8D" w:rsidRDefault="39DE9E8D" w:rsidP="39DE9E8D">
      <w:pPr>
        <w:rPr>
          <w:rFonts w:ascii="Calibri" w:eastAsia="Calibri" w:hAnsi="Calibri" w:cs="Calibri"/>
          <w:sz w:val="24"/>
          <w:szCs w:val="24"/>
        </w:rPr>
      </w:pPr>
      <w:r w:rsidRPr="39DE9E8D">
        <w:rPr>
          <w:rFonts w:ascii="Calibri" w:eastAsia="Calibri" w:hAnsi="Calibri" w:cs="Calibri"/>
          <w:sz w:val="24"/>
          <w:szCs w:val="24"/>
        </w:rPr>
        <w:t xml:space="preserve">This type of test does not easily distinguish whether an answer has been written with prior knowledge and logical thinking in mind, or students have put an answer down so there are not any blanks on their sheet. There exist several advantages and disadvantages to having little or no prior knowledge. On the one hand, having little prior knowledge could arguably mean that the results of the pre- and post-tests are predetermined in the sense that, regardless of the intervention used during the research process, the results at the post-test stage are likely to show improvement as students have been exposed to the content that they will be tested on </w:t>
      </w:r>
      <w:r w:rsidRPr="39DE9E8D">
        <w:rPr>
          <w:sz w:val="24"/>
          <w:szCs w:val="24"/>
        </w:rPr>
        <w:t>(Skidmore.edu, 2019)</w:t>
      </w:r>
      <w:r w:rsidRPr="39DE9E8D">
        <w:rPr>
          <w:rFonts w:ascii="Calibri" w:eastAsia="Calibri" w:hAnsi="Calibri" w:cs="Calibri"/>
          <w:sz w:val="24"/>
          <w:szCs w:val="24"/>
        </w:rPr>
        <w:t>. Whereas on the other hand, it is possible to measure the linguistic skills at the pre-testing stage as students must use any prior knowledge and skills in order to decipher the meaning of the vocabulary.</w:t>
      </w:r>
    </w:p>
    <w:p w14:paraId="3F8C9775" w14:textId="5D8DAB5A" w:rsidR="080CBD48" w:rsidRDefault="080CBD48" w:rsidP="080CBD48">
      <w:pPr>
        <w:rPr>
          <w:sz w:val="24"/>
          <w:szCs w:val="24"/>
        </w:rPr>
      </w:pPr>
      <w:r w:rsidRPr="080CBD48">
        <w:rPr>
          <w:sz w:val="24"/>
          <w:szCs w:val="24"/>
        </w:rPr>
        <w:t>There have, however, been studies aim to specifically analyse the connection between learning styles and dual coding. This may be an important link as one of the principal styles of learning is spatial; the use of images and visual prompts to learn and process new material (scos.mccvlc.org</w:t>
      </w:r>
      <w:r w:rsidRPr="080CBD48">
        <w:rPr>
          <w:rFonts w:ascii="Calibri" w:eastAsia="Calibri" w:hAnsi="Calibri" w:cs="Calibri"/>
          <w:sz w:val="24"/>
          <w:szCs w:val="24"/>
        </w:rPr>
        <w:t xml:space="preserve">, 2019). One such study conducted with the intention of discovering whether a student’s learning style had any bearing on how they processed new information visually. This study found that regardless of their learning style, all learners reacted positively to having a visual prompt by retaining twice as much information than students who had received the information in an auditory manner; this study therefore came to the conclusion that the hypothesis of learning styles can be rejected in favour of dual coding theory (Cuevas and Dawson, 2017). </w:t>
      </w:r>
    </w:p>
    <w:p w14:paraId="11AE8908" w14:textId="0EF08571" w:rsidR="080CBD48" w:rsidRDefault="39DE9E8D" w:rsidP="39DE9E8D">
      <w:pPr>
        <w:rPr>
          <w:sz w:val="24"/>
          <w:szCs w:val="24"/>
        </w:rPr>
      </w:pPr>
      <w:r w:rsidRPr="39DE9E8D">
        <w:rPr>
          <w:sz w:val="24"/>
          <w:szCs w:val="24"/>
        </w:rPr>
        <w:t xml:space="preserve">There are however more recent studies that demonstrate the perceived relevance of dual coding and its usefulness when avoiding errors in the second language or L2, based on the idea that dual coding theory gives equal weight to the verbal and non-verbal systems in the </w:t>
      </w:r>
      <w:r w:rsidRPr="39DE9E8D">
        <w:rPr>
          <w:sz w:val="24"/>
          <w:szCs w:val="24"/>
        </w:rPr>
        <w:lastRenderedPageBreak/>
        <w:t xml:space="preserve">brain in order to improve memory and therefore the acquisition of new vocabulary. One such study noted that English as a Foreign Language (EFL) students, where a control group was given single coded vocabulary and another group was given the same vocabulary but with a visual element, showed that students with the dual coded material showed that there were significant positive effects to this method (Lee, 2017). This means that the use of dual coding improved the students’ ability to recall items of vocabulary and new information and therefore seems to support the initial hypothesis of this essay. </w:t>
      </w:r>
    </w:p>
    <w:p w14:paraId="1F71E015" w14:textId="1D9718D9" w:rsidR="080CBD48" w:rsidRDefault="39DE9E8D" w:rsidP="39DE9E8D">
      <w:pPr>
        <w:rPr>
          <w:sz w:val="24"/>
          <w:szCs w:val="24"/>
        </w:rPr>
      </w:pPr>
      <w:r w:rsidRPr="39DE9E8D">
        <w:rPr>
          <w:sz w:val="24"/>
          <w:szCs w:val="24"/>
        </w:rPr>
        <w:t>After the pre-test was completed, the intervention commenced with drilling. In this case, drilling consisted of using a PowerPoint presentation in order to present a word along with a corresponding image. The teacher then said the word in the target language (TL) with the students repeating at the appropriate pitch and rhythm. This was used in order to introduce the new vocabulary in an engaging, interesting and effective way while giving the students 3 key pieces of information about what they need to learn; the pronunciation of the word, how it is spelled and the translation based on the image provided (Tice, 2019). This was deemed a necessary and simple way to incorporate dual coding into the first aspect of the intervention for this study, allowing students to make these referential connections between image and word early on to emphasise the use of dual coding.</w:t>
      </w:r>
    </w:p>
    <w:p w14:paraId="3931518E" w14:textId="171A4CF8" w:rsidR="39DE9E8D" w:rsidRDefault="39DE9E8D" w:rsidP="39DE9E8D">
      <w:pPr>
        <w:rPr>
          <w:sz w:val="24"/>
          <w:szCs w:val="24"/>
        </w:rPr>
      </w:pPr>
      <w:r w:rsidRPr="39DE9E8D">
        <w:rPr>
          <w:sz w:val="24"/>
          <w:szCs w:val="24"/>
        </w:rPr>
        <w:t xml:space="preserve">There are numerous ways in which drilling can be carried out and ways in which it can be effective in an MFL classroom. Some examples include ‘say and swap’ in which students verbalise the word or phrase that they have and look for a person with a phrase or image that matched. Drilling is an important way in which to engage students, practise pronunciation and give students the opportunity to see new information/pieces of vocabulary in context to help them remember (Larsen, 2000). </w:t>
      </w:r>
    </w:p>
    <w:p w14:paraId="2F9B7C70" w14:textId="3CDD8A23" w:rsidR="080CBD48" w:rsidRDefault="080CBD48" w:rsidP="080CBD48">
      <w:pPr>
        <w:rPr>
          <w:sz w:val="24"/>
          <w:szCs w:val="24"/>
        </w:rPr>
      </w:pPr>
      <w:r w:rsidRPr="080CBD48">
        <w:rPr>
          <w:sz w:val="24"/>
          <w:szCs w:val="24"/>
        </w:rPr>
        <w:t>In terms of the methods used for this study, one of the activities used was Pictionary. This was used in order to reinforce the connection between the image and the word. This also improves a learner’s visual literacy and ability to retain new information (Goodman, 2003). Further studies have shown that the use of Pictionary has enabled English as an Additional Language (EAL) students to gain a better grasp of English by generating a visual database of vocabulary in order to improve their level of English (</w:t>
      </w:r>
      <w:proofErr w:type="spellStart"/>
      <w:r w:rsidRPr="080CBD48">
        <w:rPr>
          <w:sz w:val="24"/>
          <w:szCs w:val="24"/>
        </w:rPr>
        <w:t>Adamansky</w:t>
      </w:r>
      <w:proofErr w:type="spellEnd"/>
      <w:r w:rsidRPr="080CBD48">
        <w:rPr>
          <w:sz w:val="24"/>
          <w:szCs w:val="24"/>
        </w:rPr>
        <w:t xml:space="preserve">, 1992). </w:t>
      </w:r>
    </w:p>
    <w:p w14:paraId="0C1A80DC" w14:textId="5C04600D" w:rsidR="0FAE392C" w:rsidRDefault="39DE9E8D" w:rsidP="39DE9E8D">
      <w:pPr>
        <w:rPr>
          <w:sz w:val="24"/>
          <w:szCs w:val="24"/>
        </w:rPr>
      </w:pPr>
      <w:r w:rsidRPr="39DE9E8D">
        <w:rPr>
          <w:sz w:val="24"/>
          <w:szCs w:val="24"/>
        </w:rPr>
        <w:t xml:space="preserve">Other theorists acknowledge they idea that imagery is a powerful tool in understanding bilingualism and language acquisition. Cook and </w:t>
      </w:r>
      <w:proofErr w:type="spellStart"/>
      <w:r w:rsidRPr="39DE9E8D">
        <w:rPr>
          <w:sz w:val="24"/>
          <w:szCs w:val="24"/>
        </w:rPr>
        <w:t>Bassetti</w:t>
      </w:r>
      <w:proofErr w:type="spellEnd"/>
      <w:r w:rsidRPr="39DE9E8D">
        <w:rPr>
          <w:sz w:val="24"/>
          <w:szCs w:val="24"/>
        </w:rPr>
        <w:t xml:space="preserve"> notice that imagery can be used to remember words when acquiring language but are sceptical of this theory with the idea that different words and their translations may not accurately match that of the target culture (Cook and </w:t>
      </w:r>
      <w:proofErr w:type="spellStart"/>
      <w:r w:rsidRPr="39DE9E8D">
        <w:rPr>
          <w:sz w:val="24"/>
          <w:szCs w:val="24"/>
        </w:rPr>
        <w:t>Bassetti</w:t>
      </w:r>
      <w:proofErr w:type="spellEnd"/>
      <w:r w:rsidRPr="39DE9E8D">
        <w:rPr>
          <w:sz w:val="24"/>
          <w:szCs w:val="24"/>
        </w:rPr>
        <w:t xml:space="preserve">, 2011). This can provide challenges when applying dual coding to situations where an equivalent does not exist and therefore dual coding may not always be the most appropriate method to improve the acquisition of all items of vocabulary. </w:t>
      </w:r>
    </w:p>
    <w:p w14:paraId="495B11BA" w14:textId="44697ACF" w:rsidR="080CBD48" w:rsidRDefault="080CBD48" w:rsidP="080CBD48">
      <w:pPr>
        <w:rPr>
          <w:sz w:val="24"/>
          <w:szCs w:val="24"/>
        </w:rPr>
      </w:pPr>
      <w:r w:rsidRPr="080CBD48">
        <w:rPr>
          <w:sz w:val="24"/>
          <w:szCs w:val="24"/>
        </w:rPr>
        <w:t xml:space="preserve">Studies have shown that there can be inconsistencies when translating as demonstrated by a study into a questionnaire translated between American English and Hebrew. This study showed that it can be difficult to conjure the same images in both cultures (Sperber, </w:t>
      </w:r>
      <w:proofErr w:type="spellStart"/>
      <w:r w:rsidRPr="080CBD48">
        <w:rPr>
          <w:sz w:val="24"/>
          <w:szCs w:val="24"/>
        </w:rPr>
        <w:t>Develis</w:t>
      </w:r>
      <w:proofErr w:type="spellEnd"/>
      <w:r w:rsidRPr="080CBD48">
        <w:rPr>
          <w:sz w:val="24"/>
          <w:szCs w:val="24"/>
        </w:rPr>
        <w:t xml:space="preserve"> and </w:t>
      </w:r>
      <w:proofErr w:type="spellStart"/>
      <w:r w:rsidRPr="080CBD48">
        <w:rPr>
          <w:sz w:val="24"/>
          <w:szCs w:val="24"/>
        </w:rPr>
        <w:t>Boehlecke</w:t>
      </w:r>
      <w:proofErr w:type="spellEnd"/>
      <w:r w:rsidRPr="080CBD48">
        <w:rPr>
          <w:sz w:val="24"/>
          <w:szCs w:val="24"/>
        </w:rPr>
        <w:t xml:space="preserve">, 1994). Another example of this is the word ‘pain’, commonly translated as ‘bread’ in English, the two words conjure different images in the different cultures; for </w:t>
      </w:r>
      <w:proofErr w:type="gramStart"/>
      <w:r w:rsidRPr="080CBD48">
        <w:rPr>
          <w:sz w:val="24"/>
          <w:szCs w:val="24"/>
        </w:rPr>
        <w:lastRenderedPageBreak/>
        <w:t>example</w:t>
      </w:r>
      <w:proofErr w:type="gramEnd"/>
      <w:r w:rsidRPr="080CBD48">
        <w:rPr>
          <w:sz w:val="24"/>
          <w:szCs w:val="24"/>
        </w:rPr>
        <w:t xml:space="preserve"> when and English person thinks of bread they may think of a fresh loaf whereas a French person may think of a ‘pain au </w:t>
      </w:r>
      <w:proofErr w:type="spellStart"/>
      <w:r w:rsidRPr="080CBD48">
        <w:rPr>
          <w:sz w:val="24"/>
          <w:szCs w:val="24"/>
        </w:rPr>
        <w:t>chocolat</w:t>
      </w:r>
      <w:proofErr w:type="spellEnd"/>
      <w:r w:rsidRPr="080CBD48">
        <w:rPr>
          <w:sz w:val="24"/>
          <w:szCs w:val="24"/>
        </w:rPr>
        <w:t>’ which is more like a pastry. It can therefore be difficult to use dual coding in every situation especially when words do not translate or there is an inconsistency between meanings in the Target Language (TL) and the Source Language (SL).</w:t>
      </w:r>
    </w:p>
    <w:p w14:paraId="124307BB" w14:textId="5C64AAE3" w:rsidR="080CBD48" w:rsidRDefault="39DE9E8D" w:rsidP="39DE9E8D">
      <w:pPr>
        <w:rPr>
          <w:sz w:val="24"/>
          <w:szCs w:val="24"/>
        </w:rPr>
      </w:pPr>
      <w:r w:rsidRPr="39DE9E8D">
        <w:rPr>
          <w:sz w:val="24"/>
          <w:szCs w:val="24"/>
        </w:rPr>
        <w:t>It is important to note that no study is without error (Cirt.gcu.edu, 2018). There are three common areas of possible errors when carrying out experimental research; human, systematic and random errors. There are also several biases that can be present when carrying out research such as bias when selecting participants or when analysing data. The sample of students chosen for this study was a group of year 10 pupils who are studying for their GCSE examinations.</w:t>
      </w:r>
    </w:p>
    <w:p w14:paraId="3814D94E" w14:textId="3D46BB4D" w:rsidR="39DE9E8D" w:rsidRDefault="39DE9E8D" w:rsidP="39DE9E8D">
      <w:pPr>
        <w:rPr>
          <w:sz w:val="24"/>
          <w:szCs w:val="24"/>
        </w:rPr>
      </w:pPr>
      <w:r w:rsidRPr="39DE9E8D">
        <w:rPr>
          <w:sz w:val="24"/>
          <w:szCs w:val="24"/>
        </w:rPr>
        <w:t xml:space="preserve">In terms of bias, there is an argument that not knowing the class could potentially be beneficial from an experimental research point of view. Not having a great knowledge of the class used to undertake this piece of research, although not deliberate, may eliminate a level of bias when analysing the data from the sample (Schmidt and Hunter, 2015). Not having a deep understanding of the class means that I am likely to avoid potential bias that could occur if I knew them. It is also recommended that the data be anonymised in order to further protect the rights of the participants (BERA, 2018). </w:t>
      </w:r>
    </w:p>
    <w:p w14:paraId="35669803" w14:textId="58B3AD12" w:rsidR="39DE9E8D" w:rsidRDefault="39DE9E8D" w:rsidP="39DE9E8D">
      <w:pPr>
        <w:rPr>
          <w:sz w:val="24"/>
          <w:szCs w:val="24"/>
        </w:rPr>
      </w:pPr>
      <w:r w:rsidRPr="39DE9E8D">
        <w:rPr>
          <w:sz w:val="24"/>
          <w:szCs w:val="24"/>
        </w:rPr>
        <w:t xml:space="preserve">On the other hand, it is important to note that a knowledge of the class may indeed provide an essential level of context when analysing the data retrieved from this study. Understanding the way in which certain groups in the class performed, such as comparing girls with boys or higher and lower ability students, could provide a class teacher with more useful information. </w:t>
      </w:r>
    </w:p>
    <w:p w14:paraId="55546FBC" w14:textId="1A592EAD" w:rsidR="65BEB531" w:rsidRDefault="4FCEE000" w:rsidP="65BEB531">
      <w:r w:rsidRPr="4FCEE000">
        <w:rPr>
          <w:color w:val="00B0F0"/>
          <w:sz w:val="28"/>
          <w:szCs w:val="28"/>
          <w:u w:val="single"/>
        </w:rPr>
        <w:t>School practice (500 words)</w:t>
      </w:r>
    </w:p>
    <w:p w14:paraId="42B91BC3" w14:textId="045CDF85" w:rsidR="39DE9E8D" w:rsidRDefault="39DE9E8D" w:rsidP="39DE9E8D">
      <w:pPr>
        <w:rPr>
          <w:sz w:val="24"/>
          <w:szCs w:val="24"/>
        </w:rPr>
      </w:pPr>
      <w:r w:rsidRPr="39DE9E8D">
        <w:rPr>
          <w:sz w:val="24"/>
          <w:szCs w:val="24"/>
        </w:rPr>
        <w:t>The school does not have any specific guidelines regarding action research. There is little evidence of action research taking place at school X and having spoken to staff members, action research is not something that is undertaken officially, but as part of day-to-day teaching practice. There are however various opportunities to explore with in the schemes of work. Many of the schemes of work available at school X have more lessons than necessary to allow for extra time to be spent to conduct research. It is however difficult to monitor, and teachers do not always get the opportunity to explore certain elements of their teaching through research as these additional lessons can sometimes be lost due to trips or external tests which mean that there are fewer classes in which to teach the lessons outlined in the scheme of work.</w:t>
      </w:r>
    </w:p>
    <w:p w14:paraId="3A082FC2" w14:textId="02C54867" w:rsidR="39DE9E8D" w:rsidRDefault="39DE9E8D" w:rsidP="39DE9E8D">
      <w:pPr>
        <w:rPr>
          <w:sz w:val="24"/>
          <w:szCs w:val="24"/>
        </w:rPr>
      </w:pPr>
      <w:r w:rsidRPr="39DE9E8D">
        <w:rPr>
          <w:sz w:val="24"/>
          <w:szCs w:val="24"/>
        </w:rPr>
        <w:t>This goes against the main body of literature that indicates that action research should take place on a regular basis in order to improve teaching practice and student attainment. The ability to try new methods and strategies should be planned, explored and reflected upon in order to create a cyclic system in which teachers are constantly improving and developing their teaching styles and strategies (</w:t>
      </w:r>
      <w:proofErr w:type="spellStart"/>
      <w:r w:rsidRPr="39DE9E8D">
        <w:rPr>
          <w:sz w:val="24"/>
          <w:szCs w:val="24"/>
        </w:rPr>
        <w:t>Kemmis</w:t>
      </w:r>
      <w:proofErr w:type="spellEnd"/>
      <w:r w:rsidRPr="39DE9E8D">
        <w:rPr>
          <w:sz w:val="24"/>
          <w:szCs w:val="24"/>
        </w:rPr>
        <w:t xml:space="preserve"> and McTaggart, 2014) to become leading practitioners in their field and ultimately get the best out of all the students that they teach.</w:t>
      </w:r>
    </w:p>
    <w:p w14:paraId="260CED4D" w14:textId="7B7C5A80" w:rsidR="26E54079" w:rsidRDefault="26E54079" w:rsidP="26E54079">
      <w:pPr>
        <w:rPr>
          <w:color w:val="00B0F0"/>
          <w:sz w:val="32"/>
          <w:szCs w:val="32"/>
          <w:u w:val="single"/>
        </w:rPr>
      </w:pPr>
      <w:r w:rsidRPr="26E54079">
        <w:rPr>
          <w:color w:val="00B0F0"/>
          <w:sz w:val="28"/>
          <w:szCs w:val="28"/>
          <w:u w:val="single"/>
        </w:rPr>
        <w:lastRenderedPageBreak/>
        <w:t>Methodology and ethics (1000)</w:t>
      </w:r>
    </w:p>
    <w:p w14:paraId="2FE9B465" w14:textId="1E61AFF2" w:rsidR="26E54079" w:rsidRDefault="080CBD48" w:rsidP="080CBD48">
      <w:pPr>
        <w:rPr>
          <w:sz w:val="24"/>
          <w:szCs w:val="24"/>
        </w:rPr>
      </w:pPr>
      <w:r w:rsidRPr="080CBD48">
        <w:rPr>
          <w:sz w:val="24"/>
          <w:szCs w:val="24"/>
        </w:rPr>
        <w:t xml:space="preserve">Action research is a method for improving teaching practice, where there is a constant cycle of planning, assessing and reflecting on the needs of each class and what learning approaches best benefit them (Koshy, 2006). Koshy (2006) also believes that action research can involve many things; including the necessity of it being open and all participants undertaking it for a common purpose or goal, therefore implying that it is collaborative. One could also argue that action research plays an important role in the classroom to ensure that lessons are effective for their learners as teachers and students better understand the strategies them help them learn (Mills, 2000). </w:t>
      </w:r>
      <w:proofErr w:type="spellStart"/>
      <w:r w:rsidRPr="080CBD48">
        <w:rPr>
          <w:sz w:val="24"/>
          <w:szCs w:val="24"/>
        </w:rPr>
        <w:t>Kemmis</w:t>
      </w:r>
      <w:proofErr w:type="spellEnd"/>
      <w:r w:rsidRPr="080CBD48">
        <w:rPr>
          <w:sz w:val="24"/>
          <w:szCs w:val="24"/>
        </w:rPr>
        <w:t xml:space="preserve"> and McTaggart make clear links to the role of action research and it contributing to the process of planning, acting and reflecting which helps to create a constantly evolving and improving teaching and learning environment (</w:t>
      </w:r>
      <w:proofErr w:type="spellStart"/>
      <w:r w:rsidRPr="080CBD48">
        <w:rPr>
          <w:sz w:val="24"/>
          <w:szCs w:val="24"/>
        </w:rPr>
        <w:t>Kemmis</w:t>
      </w:r>
      <w:proofErr w:type="spellEnd"/>
      <w:r w:rsidRPr="080CBD48">
        <w:rPr>
          <w:sz w:val="24"/>
          <w:szCs w:val="24"/>
        </w:rPr>
        <w:t xml:space="preserve"> and </w:t>
      </w:r>
      <w:proofErr w:type="spellStart"/>
      <w:r w:rsidRPr="080CBD48">
        <w:rPr>
          <w:sz w:val="24"/>
          <w:szCs w:val="24"/>
        </w:rPr>
        <w:t>Mctaggart</w:t>
      </w:r>
      <w:proofErr w:type="spellEnd"/>
      <w:r w:rsidRPr="080CBD48">
        <w:rPr>
          <w:sz w:val="24"/>
          <w:szCs w:val="24"/>
        </w:rPr>
        <w:t xml:space="preserve">, 2014). </w:t>
      </w:r>
    </w:p>
    <w:p w14:paraId="4FDCC78F" w14:textId="1D8AC1E6" w:rsidR="080CBD48" w:rsidRDefault="080CBD48" w:rsidP="080CBD48">
      <w:pPr>
        <w:rPr>
          <w:sz w:val="24"/>
          <w:szCs w:val="24"/>
        </w:rPr>
      </w:pPr>
      <w:r w:rsidRPr="080CBD48">
        <w:rPr>
          <w:sz w:val="24"/>
          <w:szCs w:val="24"/>
        </w:rPr>
        <w:t>It has therefore been identified that action research can be benefit both learning and teaching in the classroom. By better understanding the ideal environment for students to learn, teachers can use a cyclic process to constantly evaluate the needs of their learners (Foster, 2014).</w:t>
      </w:r>
    </w:p>
    <w:p w14:paraId="185D046E" w14:textId="01BE2AEE" w:rsidR="26E54079" w:rsidRDefault="39DE9E8D" w:rsidP="39DE9E8D">
      <w:pPr>
        <w:rPr>
          <w:color w:val="00B0F0"/>
          <w:sz w:val="28"/>
          <w:szCs w:val="28"/>
          <w:u w:val="single"/>
        </w:rPr>
      </w:pPr>
      <w:r w:rsidRPr="39DE9E8D">
        <w:rPr>
          <w:sz w:val="24"/>
          <w:szCs w:val="24"/>
        </w:rPr>
        <w:t xml:space="preserve">For this piece of action research and in my sequence of lessons, I enlisted a variety of methods to create the project. Despite the potential conflict raised about pre- and post-testing mentioned previously, with the consensus showing that this method of establishing a reliable benchmark in order to collect data from the two points, before and after the intervention, would be the most appropriate method, especially considering a single group was involved. The research therefore consisted of pre- and post-testing of students with an intervention in between. I was analysing the importance of dual coding on the acquisition of new vocabulary and used a year 10 class as subjects in </w:t>
      </w:r>
      <w:proofErr w:type="spellStart"/>
      <w:r w:rsidRPr="39DE9E8D">
        <w:rPr>
          <w:sz w:val="24"/>
          <w:szCs w:val="24"/>
        </w:rPr>
        <w:t>conjuction</w:t>
      </w:r>
      <w:proofErr w:type="spellEnd"/>
      <w:r w:rsidRPr="39DE9E8D">
        <w:rPr>
          <w:sz w:val="24"/>
          <w:szCs w:val="24"/>
        </w:rPr>
        <w:t xml:space="preserve"> with the hypothesis that provides the basis for this study; whether dual coding has a positive effect of the acquisition of new vocabulary in Modern Foreign Languages (MFL). The intervention consisted largely of matching activities, all of which involving images in order to support the hypothesis that the images would benefit the students when retaining the vocabulary to coincide with the principles outlined by dual coding theories and theorists (</w:t>
      </w:r>
      <w:proofErr w:type="spellStart"/>
      <w:r w:rsidRPr="39DE9E8D">
        <w:rPr>
          <w:sz w:val="24"/>
          <w:szCs w:val="24"/>
        </w:rPr>
        <w:t>Pavio</w:t>
      </w:r>
      <w:proofErr w:type="spellEnd"/>
      <w:r w:rsidRPr="39DE9E8D">
        <w:rPr>
          <w:sz w:val="24"/>
          <w:szCs w:val="24"/>
        </w:rPr>
        <w:t xml:space="preserve">, 1986). </w:t>
      </w:r>
    </w:p>
    <w:p w14:paraId="09F3A92E" w14:textId="40C06278" w:rsidR="4FCEE000" w:rsidRDefault="39DE9E8D" w:rsidP="39DE9E8D">
      <w:pPr>
        <w:rPr>
          <w:sz w:val="24"/>
          <w:szCs w:val="24"/>
        </w:rPr>
      </w:pPr>
      <w:r w:rsidRPr="39DE9E8D">
        <w:rPr>
          <w:sz w:val="24"/>
          <w:szCs w:val="24"/>
        </w:rPr>
        <w:t xml:space="preserve">The benefits of using the pre- and post-test model are extensive. It clearly demonstrates the impact, whether positive or negative, of the intervention on the class and is the most appropriate method of measuring the determining whether progress has been made (Kumar, 2014). The pre-test therefore establishes a firm benchmark from which knowledge, cognitive learning and skills can be measured (Skidmore.edu, 2019). </w:t>
      </w:r>
    </w:p>
    <w:p w14:paraId="62EECBD7" w14:textId="22C9E82F" w:rsidR="4FCEE000" w:rsidRDefault="39DE9E8D" w:rsidP="39DE9E8D">
      <w:pPr>
        <w:rPr>
          <w:sz w:val="24"/>
          <w:szCs w:val="24"/>
        </w:rPr>
      </w:pPr>
      <w:r w:rsidRPr="39DE9E8D">
        <w:rPr>
          <w:sz w:val="24"/>
          <w:szCs w:val="24"/>
        </w:rPr>
        <w:t xml:space="preserve">There are however disadvantages of using the pre- and post-test model. According to Kumar (2014:136-7), the time lapse between the two contacts ‘may result in attrition in the study population’ and he also notes that when the students leave the classroom it is impossible to know what variables and external factors that could have an impact between the two lessons. One of these possible factors could be attendance. If a student has been absent for the second lesson, then it could skew the results as it means that data which may have been useful must be excluded (Nolen and </w:t>
      </w:r>
      <w:proofErr w:type="spellStart"/>
      <w:r w:rsidRPr="39DE9E8D">
        <w:rPr>
          <w:sz w:val="24"/>
          <w:szCs w:val="24"/>
        </w:rPr>
        <w:t>Putten</w:t>
      </w:r>
      <w:proofErr w:type="spellEnd"/>
      <w:r w:rsidRPr="39DE9E8D">
        <w:rPr>
          <w:sz w:val="24"/>
          <w:szCs w:val="24"/>
        </w:rPr>
        <w:t>, 2007).</w:t>
      </w:r>
    </w:p>
    <w:p w14:paraId="1E60A422" w14:textId="2461E274" w:rsidR="39DE9E8D" w:rsidRDefault="39DE9E8D" w:rsidP="39DE9E8D">
      <w:pPr>
        <w:rPr>
          <w:sz w:val="24"/>
          <w:szCs w:val="24"/>
        </w:rPr>
      </w:pPr>
      <w:r w:rsidRPr="39DE9E8D">
        <w:rPr>
          <w:sz w:val="24"/>
          <w:szCs w:val="24"/>
        </w:rPr>
        <w:lastRenderedPageBreak/>
        <w:t>According to Marsden and Torgerson (2012) there are key disadvantages to using a single-group pre- and post-test model. They have acknowledged the importance of maturation, history and test effects which notes the effects of the events between the pre- and post-test stage, both internally and externally, on those participating in research. This therefore seems to support the idea that having a period of time between the pre- and post-testing phases allows for possible discrepancies in data due to the change in atmosphere and events that are out of the control of the researcher such as external variables (Kumar, 2014).</w:t>
      </w:r>
    </w:p>
    <w:p w14:paraId="5C3A4B63" w14:textId="11511151" w:rsidR="39DE9E8D" w:rsidRDefault="39DE9E8D" w:rsidP="39DE9E8D">
      <w:pPr>
        <w:rPr>
          <w:rFonts w:ascii="Calibri" w:eastAsia="Calibri" w:hAnsi="Calibri" w:cs="Calibri"/>
          <w:sz w:val="24"/>
          <w:szCs w:val="24"/>
        </w:rPr>
      </w:pPr>
      <w:r w:rsidRPr="39DE9E8D">
        <w:rPr>
          <w:rFonts w:ascii="Calibri" w:eastAsia="Calibri" w:hAnsi="Calibri" w:cs="Calibri"/>
          <w:sz w:val="24"/>
          <w:szCs w:val="24"/>
        </w:rPr>
        <w:t xml:space="preserve">Another potential disadvantage with this method of testing is the other possible external variables that have an impact on the study. One of these variables is the time of day, which has an impact on concentration levels. Depending on whether students have just had lunch, it is first thing in the morning or last lesson, students’ energy and concentration levels change to make them more or less receptive to new information (Ammons, Booker and </w:t>
      </w:r>
      <w:proofErr w:type="spellStart"/>
      <w:r w:rsidRPr="39DE9E8D">
        <w:rPr>
          <w:rFonts w:ascii="Calibri" w:eastAsia="Calibri" w:hAnsi="Calibri" w:cs="Calibri"/>
          <w:sz w:val="24"/>
          <w:szCs w:val="24"/>
        </w:rPr>
        <w:t>Killman</w:t>
      </w:r>
      <w:proofErr w:type="spellEnd"/>
      <w:r w:rsidRPr="39DE9E8D">
        <w:rPr>
          <w:rFonts w:ascii="Calibri" w:eastAsia="Calibri" w:hAnsi="Calibri" w:cs="Calibri"/>
          <w:sz w:val="24"/>
          <w:szCs w:val="24"/>
        </w:rPr>
        <w:t>, 1999). The year 10 class that participated in this research had their first lesson before they had their break (10:05-11:05) and their second lesson after lunch (2:20-3:20). The lesson after lunch also happened to be the last lesson of the day. Theory suggests that the students would be more receptive in the morning and this would suggest that the results I obtained from the pre-testing stage of the research are potentially more reliable as it was a truer reflection of the students’ ability. Whereas, having their second lesson after lunch created problems with behaviour, as students were more restless and eager to go home. This could mean that if the lesson which contained the post-test and the second part of the intervention took place earlier in the day, it would have better reflected the impact and success of the intervention and the students’ progress. Therefore, external variables that have an impact on student performance such as time of day relative to breaks and lunches but also the length of time between the lesson taking place and the end of the day.</w:t>
      </w:r>
    </w:p>
    <w:p w14:paraId="0F9CC542" w14:textId="56179FB9" w:rsidR="39DE9E8D" w:rsidRDefault="39DE9E8D" w:rsidP="39DE9E8D">
      <w:pPr>
        <w:rPr>
          <w:rFonts w:ascii="Calibri" w:eastAsia="Calibri" w:hAnsi="Calibri" w:cs="Calibri"/>
          <w:sz w:val="24"/>
          <w:szCs w:val="24"/>
        </w:rPr>
      </w:pPr>
      <w:r w:rsidRPr="39DE9E8D">
        <w:rPr>
          <w:rFonts w:ascii="Calibri" w:eastAsia="Calibri" w:hAnsi="Calibri" w:cs="Calibri"/>
          <w:sz w:val="24"/>
          <w:szCs w:val="24"/>
        </w:rPr>
        <w:t xml:space="preserve">With the time of day having an impact, it can also be argued that the topic itself may also have cause students to potentially lose focus during key moments of the intervention. Learning vocabulary about housework is not a particularly interesting task so students may have lost interest base on the time of day and topic. The lack of interest in the topic could have caused disruption if students became bored and therefore caused problems that would otherwise not exist. There is little that can be done to combat the students’ feelings towards the topic however it may have been possible to include more appropriate and engaging tasks in order to get their attention so that they all did their best of the tests given and therefore provided me with more accurate results and a truer picture of their capabilities.  </w:t>
      </w:r>
    </w:p>
    <w:p w14:paraId="5FB737F6" w14:textId="7D5B83F0" w:rsidR="65BEB531" w:rsidRDefault="39DE9E8D" w:rsidP="39DE9E8D">
      <w:pPr>
        <w:rPr>
          <w:sz w:val="24"/>
          <w:szCs w:val="24"/>
        </w:rPr>
      </w:pPr>
      <w:r w:rsidRPr="39DE9E8D">
        <w:rPr>
          <w:sz w:val="24"/>
          <w:szCs w:val="24"/>
        </w:rPr>
        <w:t>In terms of my starting point, I chose my area of exploration to be dual coding theory due to its roots in the psychology of language acquisition.  It was important for me to assess the way in which students best learn and how best to introduce them to it. It was therefore important to identify the skills that was to be assessed (</w:t>
      </w:r>
      <w:proofErr w:type="spellStart"/>
      <w:r w:rsidRPr="39DE9E8D">
        <w:rPr>
          <w:sz w:val="24"/>
          <w:szCs w:val="24"/>
        </w:rPr>
        <w:t>Somekh</w:t>
      </w:r>
      <w:proofErr w:type="spellEnd"/>
      <w:r w:rsidRPr="39DE9E8D">
        <w:rPr>
          <w:sz w:val="24"/>
          <w:szCs w:val="24"/>
        </w:rPr>
        <w:t xml:space="preserve">, 2007). Dual coding was chosen as an area of study in order to improve the start of lessons and incite better language acquisition practice. It is also interesting to explore the cognitive processes that </w:t>
      </w:r>
      <w:r w:rsidRPr="39DE9E8D">
        <w:rPr>
          <w:sz w:val="24"/>
          <w:szCs w:val="24"/>
        </w:rPr>
        <w:lastRenderedPageBreak/>
        <w:t>take place when acquiring new vocabulary and arguably, being able to understand this gives an advantage when teaching new vocabulary.</w:t>
      </w:r>
    </w:p>
    <w:p w14:paraId="62C857E8" w14:textId="2CB06F85" w:rsidR="39DE9E8D" w:rsidRDefault="39DE9E8D" w:rsidP="39DE9E8D">
      <w:pPr>
        <w:rPr>
          <w:sz w:val="24"/>
          <w:szCs w:val="24"/>
        </w:rPr>
      </w:pPr>
      <w:r w:rsidRPr="39DE9E8D">
        <w:rPr>
          <w:sz w:val="24"/>
          <w:szCs w:val="24"/>
        </w:rPr>
        <w:t xml:space="preserve">Once a field of exploration had been decided up on, it was then necessary to identify methods specific to this piece of research. As previously stated, the pre- and post-test model for measuring progress appeared to be a suitable model to collect (Kumar, 2014) and analyse the data that was to be generated during this piece of research. </w:t>
      </w:r>
    </w:p>
    <w:p w14:paraId="092AFB94" w14:textId="05A4C5E1" w:rsidR="39DE9E8D" w:rsidRDefault="39DE9E8D" w:rsidP="39DE9E8D">
      <w:pPr>
        <w:rPr>
          <w:sz w:val="24"/>
          <w:szCs w:val="24"/>
        </w:rPr>
      </w:pPr>
      <w:r w:rsidRPr="39DE9E8D">
        <w:rPr>
          <w:sz w:val="24"/>
          <w:szCs w:val="24"/>
        </w:rPr>
        <w:t>Having previously researched activities appropriate to exploring this field of study, it was decided that drilling, using both words and images, would be the most beneficial way to commence the intervention. This is because the use of repetition, accompanied with the dual coded phrases, would allow students to start to build these referential connections. (</w:t>
      </w:r>
      <w:proofErr w:type="spellStart"/>
      <w:r w:rsidRPr="39DE9E8D">
        <w:rPr>
          <w:sz w:val="24"/>
          <w:szCs w:val="24"/>
        </w:rPr>
        <w:t>Paivio</w:t>
      </w:r>
      <w:proofErr w:type="spellEnd"/>
      <w:r w:rsidRPr="39DE9E8D">
        <w:rPr>
          <w:sz w:val="24"/>
          <w:szCs w:val="24"/>
        </w:rPr>
        <w:t xml:space="preserve">, 1986). Drilling is a good way in which to engage students and introduce them to new vocabulary and information in a variety of ways such as repetition or ‘say and swap’ (Larsen, 2000). One method was chosen for this study to best encapsulate the theories behind drilling while also including an element of dual coding. Students were shown a phrase with an image that represented it and repeated after me at various pitches and rhythms in order to practise pronunciation but also get prolonged exposure to the word and the image. </w:t>
      </w:r>
    </w:p>
    <w:p w14:paraId="5A142629" w14:textId="00985E02" w:rsidR="39DE9E8D" w:rsidRDefault="39DE9E8D" w:rsidP="39DE9E8D">
      <w:pPr>
        <w:rPr>
          <w:sz w:val="24"/>
          <w:szCs w:val="24"/>
        </w:rPr>
      </w:pPr>
      <w:r w:rsidRPr="39DE9E8D">
        <w:rPr>
          <w:sz w:val="24"/>
          <w:szCs w:val="24"/>
        </w:rPr>
        <w:t>The use of Pictionary was also a key part of the reading done prior to starting this piece of research. The simple game, in which students work in pairs and one student draws an image related to an item of vocabulary and the other must guess, in the target language, the word or phrase that the image represents. During the reading it was established that this game had proven extremely useful in an MFL setting and it allowed students to be creative while creating these neural pathways that are vital to the future recall of vocabulary (</w:t>
      </w:r>
      <w:proofErr w:type="spellStart"/>
      <w:r w:rsidRPr="39DE9E8D">
        <w:rPr>
          <w:sz w:val="24"/>
          <w:szCs w:val="24"/>
        </w:rPr>
        <w:t>Adamansky</w:t>
      </w:r>
      <w:proofErr w:type="spellEnd"/>
      <w:r w:rsidRPr="39DE9E8D">
        <w:rPr>
          <w:sz w:val="24"/>
          <w:szCs w:val="24"/>
        </w:rPr>
        <w:t>, 1992).</w:t>
      </w:r>
    </w:p>
    <w:p w14:paraId="6A64039E" w14:textId="2860EF52" w:rsidR="39DE9E8D" w:rsidRDefault="39DE9E8D" w:rsidP="39DE9E8D">
      <w:pPr>
        <w:rPr>
          <w:sz w:val="24"/>
          <w:szCs w:val="24"/>
        </w:rPr>
      </w:pPr>
      <w:r w:rsidRPr="39DE9E8D">
        <w:rPr>
          <w:sz w:val="24"/>
          <w:szCs w:val="24"/>
        </w:rPr>
        <w:t xml:space="preserve">A prevalent theme throughout this study was the importance of ethics. Through every aspect of this piece of action research ethics played a vital role. In the first instance, students were given the opportunity to opt out of the study in accordance with BERA’s guidelines (2018) to protect the privacy of potential participants. In terms of classroom management, this did not mean that students could not participate in the lesson, but it did however mean that their answers would not be taken into account when analysing the data taken from the study. </w:t>
      </w:r>
    </w:p>
    <w:p w14:paraId="1A66F881" w14:textId="13A20D2E" w:rsidR="39DE9E8D" w:rsidRDefault="39DE9E8D" w:rsidP="39DE9E8D">
      <w:pPr>
        <w:rPr>
          <w:sz w:val="24"/>
          <w:szCs w:val="24"/>
        </w:rPr>
      </w:pPr>
    </w:p>
    <w:p w14:paraId="44C0A5DD" w14:textId="7F490885" w:rsidR="26E54079" w:rsidRDefault="4FCEE000" w:rsidP="26E54079">
      <w:r w:rsidRPr="4FCEE000">
        <w:rPr>
          <w:color w:val="00B0F0"/>
          <w:sz w:val="28"/>
          <w:szCs w:val="28"/>
          <w:u w:val="single"/>
        </w:rPr>
        <w:t>Evaluation (2000 words)</w:t>
      </w:r>
    </w:p>
    <w:p w14:paraId="69335691" w14:textId="3B7141F8" w:rsidR="4FCEE000" w:rsidRDefault="39DE9E8D" w:rsidP="39DE9E8D">
      <w:pPr>
        <w:rPr>
          <w:color w:val="00B0F0"/>
          <w:sz w:val="28"/>
          <w:szCs w:val="28"/>
          <w:u w:val="single"/>
        </w:rPr>
      </w:pPr>
      <w:r w:rsidRPr="39DE9E8D">
        <w:rPr>
          <w:sz w:val="24"/>
          <w:szCs w:val="24"/>
        </w:rPr>
        <w:t xml:space="preserve">In this section there will be an analysis of the sequence of lessons, the findings of this piece of action research and the tasks and approaches used in order to generate this study. </w:t>
      </w:r>
    </w:p>
    <w:p w14:paraId="65F3EA67" w14:textId="4A98FA21" w:rsidR="39DE9E8D" w:rsidRDefault="39DE9E8D" w:rsidP="39DE9E8D">
      <w:pPr>
        <w:rPr>
          <w:sz w:val="24"/>
          <w:szCs w:val="24"/>
        </w:rPr>
      </w:pPr>
      <w:r w:rsidRPr="39DE9E8D">
        <w:rPr>
          <w:sz w:val="24"/>
          <w:szCs w:val="24"/>
        </w:rPr>
        <w:t xml:space="preserve">Having previously stated, students were given the opportunity to withdraw from the study and their data not analysed in accordance with BERA (2018) guidelines. At the start, two students made the decision to withdraw from the research. Initially, the number was higher at between 4-5. Once it was made clear however, that participation in the lesson was still obligatory, students were more open to being part of the research. According to BERA’s guidelines (2018), any form of persuasion should be approached with care and coercion </w:t>
      </w:r>
      <w:r w:rsidRPr="39DE9E8D">
        <w:rPr>
          <w:sz w:val="24"/>
          <w:szCs w:val="24"/>
        </w:rPr>
        <w:lastRenderedPageBreak/>
        <w:t xml:space="preserve">should not be used. It can be argued that, by explaining that the lesson would still have to take place and participation in the lesson was still compulsory even if their data was not collected, students were persuaded to participate. Although it may be considered as persuasion, it is more likely that instructions were not clear initially and that clarification gave participants a more informed choice. </w:t>
      </w:r>
    </w:p>
    <w:p w14:paraId="4E8987B4" w14:textId="4C86C2BC" w:rsidR="39DE9E8D" w:rsidRDefault="39DE9E8D" w:rsidP="39DE9E8D">
      <w:pPr>
        <w:rPr>
          <w:sz w:val="24"/>
          <w:szCs w:val="24"/>
        </w:rPr>
      </w:pPr>
      <w:r w:rsidRPr="39DE9E8D">
        <w:rPr>
          <w:sz w:val="24"/>
          <w:szCs w:val="24"/>
        </w:rPr>
        <w:t>When referring to the protection and the rights of the participation, it is common practice to anonymise the data collected (BERA, 2018).  The decision was therefore taken to not include any names or identifying information on the pre- or post-tests. Although, from a strictly ethical standpoint this is a simple way to protect the identifies and right of the students participating in the study, it also has limitations. When carrying out this piece of action research, I was clinical in the way data was collected to the extent that I did not know the results of any individuals within the class, instead focussing on generating a class average and mapping a potential trend. Although I was still able to gain a clear set of data, which appeared to prove the hypothesis that dual coding benefits the process of language acquisition in the classroom, I was not able to identify certain other key features.</w:t>
      </w:r>
    </w:p>
    <w:p w14:paraId="3D1A3B63" w14:textId="0C49E326" w:rsidR="39DE9E8D" w:rsidRDefault="39DE9E8D" w:rsidP="39DE9E8D">
      <w:pPr>
        <w:rPr>
          <w:sz w:val="24"/>
          <w:szCs w:val="24"/>
        </w:rPr>
      </w:pPr>
      <w:r w:rsidRPr="39DE9E8D">
        <w:rPr>
          <w:sz w:val="24"/>
          <w:szCs w:val="24"/>
        </w:rPr>
        <w:t>When analysing data, it is often important to ensure that it can give as much information as possible from one sample. If I had been able to know the identities of the students and their corresponding marks it could be argued that I could have obtained more useful data (</w:t>
      </w:r>
      <w:proofErr w:type="spellStart"/>
      <w:r w:rsidRPr="39DE9E8D">
        <w:rPr>
          <w:sz w:val="24"/>
          <w:szCs w:val="24"/>
        </w:rPr>
        <w:t>Knoth</w:t>
      </w:r>
      <w:proofErr w:type="spellEnd"/>
      <w:r w:rsidRPr="39DE9E8D">
        <w:rPr>
          <w:sz w:val="24"/>
          <w:szCs w:val="24"/>
        </w:rPr>
        <w:t xml:space="preserve"> and </w:t>
      </w:r>
      <w:proofErr w:type="spellStart"/>
      <w:r w:rsidRPr="39DE9E8D">
        <w:rPr>
          <w:sz w:val="24"/>
          <w:szCs w:val="24"/>
        </w:rPr>
        <w:t>Bauserman</w:t>
      </w:r>
      <w:proofErr w:type="spellEnd"/>
      <w:r w:rsidRPr="39DE9E8D">
        <w:rPr>
          <w:sz w:val="24"/>
          <w:szCs w:val="24"/>
        </w:rPr>
        <w:t xml:space="preserve">, 1991). I could have potentially been able to track the gap, if one exists, between the scores of boys and the scores of girls in the class in order to compare and see if the method works for both sexes. I could also have been able to show the progression of individual students my comparing their pre- and post-test results and being able to tailor lessons to individuals with in the class and, for example, provide additional support where needed. </w:t>
      </w:r>
    </w:p>
    <w:p w14:paraId="4D88BB3C" w14:textId="54BD3E5E" w:rsidR="39DE9E8D" w:rsidRDefault="39DE9E8D" w:rsidP="39DE9E8D">
      <w:pPr>
        <w:rPr>
          <w:sz w:val="24"/>
          <w:szCs w:val="24"/>
        </w:rPr>
      </w:pPr>
      <w:r w:rsidRPr="39DE9E8D">
        <w:rPr>
          <w:sz w:val="24"/>
          <w:szCs w:val="24"/>
        </w:rPr>
        <w:t xml:space="preserve">Drilling was a method used at the beginning of both lessons in the sequence in order to prolong students’ exposure to the new phrases as well as the images to accompany them in order to form the strong neurological connection hypothesised by proponents of dual coding. It was however found that, as with other aspects of this research, the time of day played an integral part in the atmosphere and environment for learning. Drilling during the second and final lesson in the sequence, in which the lesson took place after lunch and was the last lesson of the day, showed significantly less engagement than the previous lesson, which took place second lesson and before breaktime. The lack of engagement in drilling during the second lesson made it difficult to determine the effectiveness of the drilling as it could not be known whether the task was ineffective, or the students were simply not in the right frame of mind to participate fully in the tasks that had been prepared and therefore in the study itself. </w:t>
      </w:r>
    </w:p>
    <w:p w14:paraId="7E29C6F4" w14:textId="7075B70C" w:rsidR="39DE9E8D" w:rsidRDefault="39DE9E8D" w:rsidP="39DE9E8D">
      <w:pPr>
        <w:rPr>
          <w:sz w:val="24"/>
          <w:szCs w:val="24"/>
        </w:rPr>
      </w:pPr>
      <w:r w:rsidRPr="39DE9E8D">
        <w:rPr>
          <w:sz w:val="24"/>
          <w:szCs w:val="24"/>
        </w:rPr>
        <w:t xml:space="preserve">It can also be argued that the topic itself played a role in the lack of interest in the tasks that were prepared for the intervention. With it being established that students lack motivation at certain times of the day, I could have perhaps tailored my tasks, activities and the sequence of lessons in order to be more engaging to my audience at the relevant time of the day. </w:t>
      </w:r>
    </w:p>
    <w:p w14:paraId="5811C753" w14:textId="2AFFD74C" w:rsidR="4FCEE000" w:rsidRDefault="39DE9E8D" w:rsidP="4FCEE000">
      <w:r w:rsidRPr="39DE9E8D">
        <w:rPr>
          <w:sz w:val="24"/>
          <w:szCs w:val="24"/>
        </w:rPr>
        <w:lastRenderedPageBreak/>
        <w:t xml:space="preserve">Through the study of literature on this topic, the pre-and post-test model may not have been appropriate to use in this piece of action research. There students that carried out this piece of research had little to no knowledge of the topic that was to be assessed, and therefore it may not be possible to determine whether the dual coding as a concept was what was most impactful here or whether it was the very presence of intervention that improved the results during testing (Skidmore.edu, 2019). However, as previously established, the pre- and post-test method of measuring progress is a largely reliable indicator of improvement. </w:t>
      </w:r>
    </w:p>
    <w:p w14:paraId="55EE8754" w14:textId="3C7260FF" w:rsidR="39DE9E8D" w:rsidRDefault="39DE9E8D" w:rsidP="39DE9E8D">
      <w:pPr>
        <w:rPr>
          <w:sz w:val="24"/>
          <w:szCs w:val="24"/>
        </w:rPr>
      </w:pPr>
      <w:r w:rsidRPr="39DE9E8D">
        <w:rPr>
          <w:sz w:val="24"/>
          <w:szCs w:val="24"/>
        </w:rPr>
        <w:t>As previously discovered, having little or no prior knowledge of the assessed material may not be an advantage as the pre-test will almost always yield low results and show a low level of attainment (Skidmore.edu, 2019). This method of pre-testing does however measure possible linguistic skills as students had to work out the vocabulary presented to them rather than relying on prior knowledge for support. If this method has the ability to measure linguistic skills and the ability to manipulate language from the pre-test, this does provide key information for the class teacher. However, this method may therefore not be the most appropriate for testing the impact of the intervention and dual coding considering what is actually being measured for this study, but this does shed light on interesting theories regarding the use of prior knowledge on the ability to acquire new information.</w:t>
      </w:r>
    </w:p>
    <w:p w14:paraId="024CE72B" w14:textId="2053DD14" w:rsidR="4FCEE000" w:rsidRDefault="39DE9E8D" w:rsidP="39DE9E8D">
      <w:pPr>
        <w:rPr>
          <w:rFonts w:ascii="Calibri" w:eastAsia="Calibri" w:hAnsi="Calibri" w:cs="Calibri"/>
          <w:sz w:val="24"/>
          <w:szCs w:val="24"/>
        </w:rPr>
      </w:pPr>
      <w:r w:rsidRPr="39DE9E8D">
        <w:rPr>
          <w:sz w:val="24"/>
          <w:szCs w:val="24"/>
        </w:rPr>
        <w:t xml:space="preserve">What tests do show, in the context of this study, is the prior knowledge and linguistic skills that students did have. Although they had very little prior knowledge, no student scored zero on the pre-test which must therefore indicate some prior knowledge or ability to work out vocabulary, based on what they did know. Studies have shown that having even minimal prior knowledge can help build on future knowledge acquisition. </w:t>
      </w:r>
      <w:proofErr w:type="spellStart"/>
      <w:r w:rsidRPr="39DE9E8D">
        <w:rPr>
          <w:sz w:val="24"/>
          <w:szCs w:val="24"/>
        </w:rPr>
        <w:t>Pazzani</w:t>
      </w:r>
      <w:proofErr w:type="spellEnd"/>
      <w:r w:rsidRPr="39DE9E8D">
        <w:rPr>
          <w:sz w:val="24"/>
          <w:szCs w:val="24"/>
        </w:rPr>
        <w:t xml:space="preserve"> (1991:416) noted that the level of prior knowledge can ‘</w:t>
      </w:r>
      <w:r w:rsidRPr="39DE9E8D">
        <w:rPr>
          <w:rFonts w:ascii="Calibri" w:eastAsia="Calibri" w:hAnsi="Calibri" w:cs="Calibri"/>
          <w:sz w:val="24"/>
          <w:szCs w:val="24"/>
        </w:rPr>
        <w:t>influence the rate of concept learning’. In this piece of action research, this can be seen with the answer for number nine. The phrase ‘</w:t>
      </w:r>
      <w:proofErr w:type="spellStart"/>
      <w:r w:rsidRPr="39DE9E8D">
        <w:rPr>
          <w:rFonts w:ascii="Calibri" w:eastAsia="Calibri" w:hAnsi="Calibri" w:cs="Calibri"/>
          <w:sz w:val="24"/>
          <w:szCs w:val="24"/>
        </w:rPr>
        <w:t>je</w:t>
      </w:r>
      <w:proofErr w:type="spellEnd"/>
      <w:r w:rsidRPr="39DE9E8D">
        <w:rPr>
          <w:rFonts w:ascii="Calibri" w:eastAsia="Calibri" w:hAnsi="Calibri" w:cs="Calibri"/>
          <w:sz w:val="24"/>
          <w:szCs w:val="24"/>
        </w:rPr>
        <w:t xml:space="preserve"> </w:t>
      </w:r>
      <w:proofErr w:type="spellStart"/>
      <w:r w:rsidRPr="39DE9E8D">
        <w:rPr>
          <w:rFonts w:ascii="Calibri" w:eastAsia="Calibri" w:hAnsi="Calibri" w:cs="Calibri"/>
          <w:sz w:val="24"/>
          <w:szCs w:val="24"/>
        </w:rPr>
        <w:t>travaille</w:t>
      </w:r>
      <w:proofErr w:type="spellEnd"/>
      <w:r w:rsidRPr="39DE9E8D">
        <w:rPr>
          <w:rFonts w:ascii="Calibri" w:eastAsia="Calibri" w:hAnsi="Calibri" w:cs="Calibri"/>
          <w:sz w:val="24"/>
          <w:szCs w:val="24"/>
        </w:rPr>
        <w:t xml:space="preserve"> </w:t>
      </w:r>
      <w:proofErr w:type="spellStart"/>
      <w:r w:rsidRPr="39DE9E8D">
        <w:rPr>
          <w:rFonts w:ascii="Calibri" w:eastAsia="Calibri" w:hAnsi="Calibri" w:cs="Calibri"/>
          <w:sz w:val="24"/>
          <w:szCs w:val="24"/>
        </w:rPr>
        <w:t>dans</w:t>
      </w:r>
      <w:proofErr w:type="spellEnd"/>
      <w:r w:rsidRPr="39DE9E8D">
        <w:rPr>
          <w:rFonts w:ascii="Calibri" w:eastAsia="Calibri" w:hAnsi="Calibri" w:cs="Calibri"/>
          <w:sz w:val="24"/>
          <w:szCs w:val="24"/>
        </w:rPr>
        <w:t xml:space="preserve"> le </w:t>
      </w:r>
      <w:proofErr w:type="spellStart"/>
      <w:r w:rsidRPr="39DE9E8D">
        <w:rPr>
          <w:rFonts w:ascii="Calibri" w:eastAsia="Calibri" w:hAnsi="Calibri" w:cs="Calibri"/>
          <w:sz w:val="24"/>
          <w:szCs w:val="24"/>
        </w:rPr>
        <w:t>jardin</w:t>
      </w:r>
      <w:proofErr w:type="spellEnd"/>
      <w:r w:rsidRPr="39DE9E8D">
        <w:rPr>
          <w:rFonts w:ascii="Calibri" w:eastAsia="Calibri" w:hAnsi="Calibri" w:cs="Calibri"/>
          <w:sz w:val="24"/>
          <w:szCs w:val="24"/>
        </w:rPr>
        <w:t>’ was the most recognised phrase in the pre-test phase by 53%. This is arguably because students knew all of the words in the sentence from previous study, they had just never seen them together which does appear to reinforce the idea that prior knowledge has an impact on students’ ability to manipulate language and therefore recognise new phrases.</w:t>
      </w:r>
    </w:p>
    <w:p w14:paraId="7128B3E6" w14:textId="655AB709" w:rsidR="4FCEE000" w:rsidRDefault="4FCEE000" w:rsidP="4FCEE000">
      <w:pPr>
        <w:rPr>
          <w:rFonts w:ascii="Calibri" w:eastAsia="Calibri" w:hAnsi="Calibri" w:cs="Calibri"/>
          <w:sz w:val="24"/>
          <w:szCs w:val="24"/>
        </w:rPr>
      </w:pPr>
      <w:r w:rsidRPr="4FCEE000">
        <w:rPr>
          <w:rFonts w:ascii="Calibri" w:eastAsia="Calibri" w:hAnsi="Calibri" w:cs="Calibri"/>
          <w:sz w:val="24"/>
          <w:szCs w:val="24"/>
        </w:rPr>
        <w:t xml:space="preserve">This is shown by the graph below. All students scored 100% on question nine where prior knowledge could be employed and for the lowest scoring questions, three and five, there were no cognates or prior knowledge that could have been used and therefore only one student correctly answered these at the pre-test stage. The class average for the pre-test was 29.3% compared to a class average for the post-test was 76.4% which is an improvement of 47.1% after intervention. </w:t>
      </w:r>
    </w:p>
    <w:p w14:paraId="6150A072" w14:textId="35B6A69C" w:rsidR="4FCEE000" w:rsidRDefault="4FCEE000" w:rsidP="4FCEE000">
      <w:pPr>
        <w:rPr>
          <w:rFonts w:ascii="Calibri" w:eastAsia="Calibri" w:hAnsi="Calibri" w:cs="Calibri"/>
          <w:sz w:val="24"/>
          <w:szCs w:val="24"/>
        </w:rPr>
      </w:pPr>
      <w:r>
        <w:rPr>
          <w:noProof/>
        </w:rPr>
        <w:lastRenderedPageBreak/>
        <w:drawing>
          <wp:inline distT="0" distB="0" distL="0" distR="0" wp14:anchorId="527C5CA1" wp14:editId="19C16ED3">
            <wp:extent cx="5229225" cy="2667000"/>
            <wp:effectExtent l="0" t="0" r="0" b="0"/>
            <wp:docPr id="1935114850" name="Picture 1935114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229225" cy="2667000"/>
                    </a:xfrm>
                    <a:prstGeom prst="rect">
                      <a:avLst/>
                    </a:prstGeom>
                  </pic:spPr>
                </pic:pic>
              </a:graphicData>
            </a:graphic>
          </wp:inline>
        </w:drawing>
      </w:r>
      <w:r w:rsidRPr="4FCEE000">
        <w:rPr>
          <w:rFonts w:ascii="Calibri" w:eastAsia="Calibri" w:hAnsi="Calibri" w:cs="Calibri"/>
          <w:sz w:val="24"/>
          <w:szCs w:val="24"/>
        </w:rPr>
        <w:t>Another example of the impact of prior knowledge on this study is questions two and four. Students were able to use the cognate ‘table’ to narrow down the answer to two possible options. The hypothesis was that this would aide students in being able to decipher the correct answer. During the pre-test however, there were very few students who were able to answer these questions correctly as two of the phrases used ’table’ it was not clear which image belonged to.</w:t>
      </w:r>
    </w:p>
    <w:p w14:paraId="34E72E87" w14:textId="544C094F" w:rsidR="4FCEE000" w:rsidRDefault="080CBD48" w:rsidP="080CBD48">
      <w:pPr>
        <w:rPr>
          <w:rFonts w:ascii="Calibri" w:eastAsia="Calibri" w:hAnsi="Calibri" w:cs="Calibri"/>
          <w:sz w:val="24"/>
          <w:szCs w:val="24"/>
        </w:rPr>
      </w:pPr>
      <w:r w:rsidRPr="080CBD48">
        <w:rPr>
          <w:rFonts w:ascii="Calibri" w:eastAsia="Calibri" w:hAnsi="Calibri" w:cs="Calibri"/>
          <w:sz w:val="24"/>
          <w:szCs w:val="24"/>
        </w:rPr>
        <w:t>The potential issue with this is guessing. This type of test does not easily distinguish whether an answer has been written with prior knowledge and logical thinking in mind, or students have put an answer down so there are not any blanks on their sheet. This makes it difficult to determine students’ knowledge.</w:t>
      </w:r>
    </w:p>
    <w:p w14:paraId="6887819D" w14:textId="10E116B8" w:rsidR="080CBD48" w:rsidRDefault="39DE9E8D" w:rsidP="39DE9E8D">
      <w:pPr>
        <w:rPr>
          <w:sz w:val="24"/>
          <w:szCs w:val="24"/>
        </w:rPr>
      </w:pPr>
      <w:r w:rsidRPr="39DE9E8D">
        <w:rPr>
          <w:rFonts w:ascii="Calibri" w:eastAsia="Calibri" w:hAnsi="Calibri" w:cs="Calibri"/>
          <w:sz w:val="24"/>
          <w:szCs w:val="24"/>
        </w:rPr>
        <w:t xml:space="preserve">One aspect that was not properly taken into account while carrying out this piece of action research is the behaviour of the participants. The time of day had been considered but still proved to be a limitation to this study. When planning the order of activities for the sequence of lessons, it may have been more advantageous to organise them in such a way that the activities which could have caused the most disruption had been implemented during the first lesson rather than the second as the second took place after lunch and the last lesson of the day. Another unavoidable aspect of this study was that I was not familiar with the students, their disposition and how they would react in certain situations. An example of this was during the Pictionary task. The purpose and relevance of the task had been established prior to the lessons when researching and it was found that it was an effective tool for building vocabulary </w:t>
      </w:r>
      <w:r w:rsidRPr="39DE9E8D">
        <w:rPr>
          <w:sz w:val="24"/>
          <w:szCs w:val="24"/>
        </w:rPr>
        <w:t>(Goodman, 2003). However, I found that, despite being a high-achieving GCSE class, the students got restless during this activity and did not stay on task. This meant that the task may not have been as effective as intended and it is therefore difficult to measure the impact of this activity compared to if they had had more structure to this aspect of the lesson. In the future, I will need to ensure that behaviour management is more of a priority when carrying out research so that the results can be as accurate as possible.</w:t>
      </w:r>
    </w:p>
    <w:p w14:paraId="2F8295E5" w14:textId="4C57E3EB" w:rsidR="65BEB531" w:rsidRDefault="4FCEE000" w:rsidP="4FCEE000">
      <w:pPr>
        <w:rPr>
          <w:color w:val="00B0F0"/>
          <w:sz w:val="28"/>
          <w:szCs w:val="28"/>
          <w:u w:val="single"/>
        </w:rPr>
      </w:pPr>
      <w:r w:rsidRPr="4FCEE000">
        <w:rPr>
          <w:color w:val="00B0F0"/>
          <w:sz w:val="28"/>
          <w:szCs w:val="28"/>
          <w:u w:val="single"/>
        </w:rPr>
        <w:t>Conclusion (1000)</w:t>
      </w:r>
    </w:p>
    <w:p w14:paraId="2CEDC0CE" w14:textId="3CECD0DC" w:rsidR="4FCEE000" w:rsidRDefault="39DE9E8D" w:rsidP="39DE9E8D">
      <w:pPr>
        <w:rPr>
          <w:color w:val="00B0F0"/>
          <w:sz w:val="28"/>
          <w:szCs w:val="28"/>
          <w:u w:val="single"/>
        </w:rPr>
      </w:pPr>
      <w:r w:rsidRPr="39DE9E8D">
        <w:rPr>
          <w:sz w:val="24"/>
          <w:szCs w:val="24"/>
        </w:rPr>
        <w:lastRenderedPageBreak/>
        <w:t>To conclude this piece of action research, the findings have shown several interesting aspects that not only measure the importance of dual coding in language acquisition, but methods and improvements that could be carried on to future research. There are several aspects that should be revisited, improved or built upon so that this piece of action research can positively influence research undertaken in the future.</w:t>
      </w:r>
    </w:p>
    <w:p w14:paraId="1AE8B1DD" w14:textId="20253190" w:rsidR="080CBD48" w:rsidRDefault="39DE9E8D" w:rsidP="39DE9E8D">
      <w:pPr>
        <w:rPr>
          <w:sz w:val="24"/>
          <w:szCs w:val="24"/>
        </w:rPr>
      </w:pPr>
      <w:r w:rsidRPr="39DE9E8D">
        <w:rPr>
          <w:sz w:val="24"/>
          <w:szCs w:val="24"/>
        </w:rPr>
        <w:t xml:space="preserve">In terms of the literature used to influence this piece of action research; many studies show that dual coding theory is a reliable method to introduce new information especially when compared to student’s who did not use this theory when acquiring new vocabulary (Lee, 2017). This is because having multiple pieces of information, especially that which is visual and comprehensible, creates stronger neural pathways as the brain makes the connection between the word and its visual representation (Grill-Spector, Henson and Martin, 2006). This therefore means that the basis of dual coding theory is that there must be more than one way in which the information is communicated </w:t>
      </w:r>
      <w:proofErr w:type="spellStart"/>
      <w:r w:rsidRPr="39DE9E8D">
        <w:rPr>
          <w:sz w:val="24"/>
          <w:szCs w:val="24"/>
        </w:rPr>
        <w:t>eg</w:t>
      </w:r>
      <w:proofErr w:type="spellEnd"/>
      <w:r w:rsidRPr="39DE9E8D">
        <w:rPr>
          <w:sz w:val="24"/>
          <w:szCs w:val="24"/>
        </w:rPr>
        <w:t xml:space="preserve"> words and images, and also that, on a neurological level, the images allow us to gain a deeper understanding and therefore generate a stronger connection to the word, its meaning and its translation in an MFL context in order to better retain the information. </w:t>
      </w:r>
    </w:p>
    <w:p w14:paraId="08569755" w14:textId="3FF7358C" w:rsidR="080CBD48" w:rsidRDefault="39DE9E8D" w:rsidP="39DE9E8D">
      <w:pPr>
        <w:rPr>
          <w:sz w:val="24"/>
          <w:szCs w:val="24"/>
        </w:rPr>
      </w:pPr>
      <w:r w:rsidRPr="39DE9E8D">
        <w:rPr>
          <w:sz w:val="24"/>
          <w:szCs w:val="24"/>
        </w:rPr>
        <w:t xml:space="preserve">There are however occasions where dual coding may not be appropriate, such as when there is no direct translation, or the word invokes a different image in different cultures (Cook and </w:t>
      </w:r>
      <w:proofErr w:type="spellStart"/>
      <w:r w:rsidRPr="39DE9E8D">
        <w:rPr>
          <w:sz w:val="24"/>
          <w:szCs w:val="24"/>
        </w:rPr>
        <w:t>Bassetti</w:t>
      </w:r>
      <w:proofErr w:type="spellEnd"/>
      <w:r w:rsidRPr="39DE9E8D">
        <w:rPr>
          <w:sz w:val="24"/>
          <w:szCs w:val="24"/>
        </w:rPr>
        <w:t xml:space="preserve">, 2011). Such a disparity between cultures, from a translation and language acquisition perspective may cause problems depending on the way in which it is delivered. In the case that the fact that there is a disparity between cultures can be easily explained, such as in the example with the ‘pain’ and the ‘bread’, this may not become an issue unless the difference between languages and cultures cannot easily be explained then it would be necessary to use the image which is most likely to be conjured by the subject in the source language. This is in order to maintain, build and consolidate the neurological connection between the word and the most relatable image in order for it to be remembered by the student in the source language. This is arguably a rare occurrence and therefore dual coding theory can be considered a reliable method as determined by the study outlined by Cook and </w:t>
      </w:r>
      <w:proofErr w:type="spellStart"/>
      <w:r w:rsidRPr="39DE9E8D">
        <w:rPr>
          <w:sz w:val="24"/>
          <w:szCs w:val="24"/>
        </w:rPr>
        <w:t>Bassetti</w:t>
      </w:r>
      <w:proofErr w:type="spellEnd"/>
      <w:r w:rsidRPr="39DE9E8D">
        <w:rPr>
          <w:sz w:val="24"/>
          <w:szCs w:val="24"/>
        </w:rPr>
        <w:t xml:space="preserve"> (2011) and indeed the literature that inspired it. </w:t>
      </w:r>
    </w:p>
    <w:p w14:paraId="6DBF6779" w14:textId="6C382F37" w:rsidR="4FCEE000" w:rsidRDefault="39DE9E8D" w:rsidP="39DE9E8D">
      <w:pPr>
        <w:rPr>
          <w:sz w:val="24"/>
          <w:szCs w:val="24"/>
        </w:rPr>
      </w:pPr>
      <w:r w:rsidRPr="39DE9E8D">
        <w:rPr>
          <w:sz w:val="24"/>
          <w:szCs w:val="24"/>
        </w:rPr>
        <w:t xml:space="preserve">The findings of this study show that after the intervention students’ scores improved by almost 50% during the post-test compared to the pre-test. This study arguably shows that dual coding benefitted these students as their scores greatly increased after the intervention took place. Although it can be argued that this was bound to happen (Stanford.edu, 2019), an increase that is that significant and indeed looking at the results of the post-test alone, in which the scores were not just greatly improved, but high, shows that this argument may not necessarily be used here because the level of improvement is so high. </w:t>
      </w:r>
    </w:p>
    <w:p w14:paraId="4BEAE4C8" w14:textId="6C8D7FA9" w:rsidR="4FCEE000" w:rsidRDefault="39DE9E8D" w:rsidP="39DE9E8D">
      <w:pPr>
        <w:rPr>
          <w:sz w:val="24"/>
          <w:szCs w:val="24"/>
        </w:rPr>
      </w:pPr>
      <w:r w:rsidRPr="39DE9E8D">
        <w:rPr>
          <w:sz w:val="24"/>
          <w:szCs w:val="24"/>
        </w:rPr>
        <w:t xml:space="preserve">As predicted, the data also demonstrates the influence of prior knowledge on the acquisition of new vocabulary and information and that students could use their linguistic skills to decipher several of the of the items of previously unseen vocabulary. This shows that the pre-test did indeed yield results to show more than just their score but also their </w:t>
      </w:r>
      <w:r w:rsidRPr="39DE9E8D">
        <w:rPr>
          <w:sz w:val="24"/>
          <w:szCs w:val="24"/>
        </w:rPr>
        <w:lastRenderedPageBreak/>
        <w:t>level of linguistic capabilities despite having little of no previous knowledge of the subject put forward to study for this piece of research.</w:t>
      </w:r>
    </w:p>
    <w:p w14:paraId="4ACBCB32" w14:textId="4D393328" w:rsidR="39DE9E8D" w:rsidRDefault="39DE9E8D" w:rsidP="39DE9E8D">
      <w:pPr>
        <w:rPr>
          <w:sz w:val="24"/>
          <w:szCs w:val="24"/>
        </w:rPr>
      </w:pPr>
      <w:r w:rsidRPr="39DE9E8D">
        <w:rPr>
          <w:sz w:val="24"/>
          <w:szCs w:val="24"/>
        </w:rPr>
        <w:t xml:space="preserve">Overall, the hypothesis; to find out whether dual coding has a positive effect on language acquisition, has been shown by this study to benefit a group of year 10 GCSE pupils retain key phrases which will be useful for their exams. There has been a debate throughout this piece of action research in terms of the literature researched and the methods enacted upon to generate this study and the data that it yielded. However, although there are several aspects that may be changed if repeating this piece of research or devising a new study, the pursuit of this piece of research and the methods used has highlighted the necessity of action research. Action research is necessary in order to constantly improve, adapt and develop teaching practise in order to make the classroom more interesting, conducive to learning and indeed be able to show progress with individual pupils and the class as a whole. </w:t>
      </w:r>
    </w:p>
    <w:p w14:paraId="0D71399B" w14:textId="55BB1DC4" w:rsidR="4FCEE000" w:rsidRDefault="39DE9E8D" w:rsidP="39DE9E8D">
      <w:pPr>
        <w:rPr>
          <w:sz w:val="24"/>
          <w:szCs w:val="24"/>
        </w:rPr>
      </w:pPr>
      <w:r w:rsidRPr="39DE9E8D">
        <w:rPr>
          <w:sz w:val="24"/>
          <w:szCs w:val="24"/>
        </w:rPr>
        <w:t>However, when undertaking action research in the future there are several aspects that would need to be changed in order to ensure that the results would be more accurate.</w:t>
      </w:r>
    </w:p>
    <w:p w14:paraId="0C08B514" w14:textId="2F15340B" w:rsidR="65BEB531" w:rsidRDefault="65BEB531" w:rsidP="65BEB531">
      <w:r w:rsidRPr="65BEB531">
        <w:rPr>
          <w:color w:val="00B0F0"/>
          <w:sz w:val="28"/>
          <w:szCs w:val="28"/>
          <w:u w:val="single"/>
        </w:rPr>
        <w:t>Limitations and future development</w:t>
      </w:r>
    </w:p>
    <w:p w14:paraId="2BDA4217" w14:textId="64ECBE2B" w:rsidR="65BEB531" w:rsidRDefault="39DE9E8D" w:rsidP="39DE9E8D">
      <w:pPr>
        <w:rPr>
          <w:sz w:val="24"/>
          <w:szCs w:val="24"/>
        </w:rPr>
      </w:pPr>
      <w:r w:rsidRPr="39DE9E8D">
        <w:rPr>
          <w:sz w:val="24"/>
          <w:szCs w:val="24"/>
        </w:rPr>
        <w:t xml:space="preserve">There are some limitations to this piece of action research. As previously discussed, there is an issue, from a data point of view of the research being carried out over two lessons. Absence from class can skew results and can create issues when assessing whether certain aspects of the intervention have been effective, depending on the day. With this in mind, it does provide a more realistic sample of students as, where research is being carried out or not, students will be absent which can cause problems anyway. </w:t>
      </w:r>
    </w:p>
    <w:p w14:paraId="2C1FA6AE" w14:textId="5AD4E691" w:rsidR="39DE9E8D" w:rsidRDefault="39DE9E8D" w:rsidP="39DE9E8D">
      <w:pPr>
        <w:rPr>
          <w:sz w:val="24"/>
          <w:szCs w:val="24"/>
        </w:rPr>
      </w:pPr>
      <w:r w:rsidRPr="39DE9E8D">
        <w:rPr>
          <w:sz w:val="24"/>
          <w:szCs w:val="24"/>
        </w:rPr>
        <w:t>The first aspect that I would consider adapting when carrying out action research in the future, is making expectations clearer at the start of the lesson in regard to the rights of the participants (BERA, 2018). I found that I did not explain expectations and rights clearly enough when outlining them to the students and therefore in the future I would explain more clearly before asking who wishes to withdraw as some students chose to withdraw and then changed their minds as they were not in full possession of the facts.</w:t>
      </w:r>
    </w:p>
    <w:p w14:paraId="5CC2F968" w14:textId="09913A3B" w:rsidR="39DE9E8D" w:rsidRDefault="39DE9E8D" w:rsidP="39DE9E8D">
      <w:pPr>
        <w:rPr>
          <w:sz w:val="24"/>
          <w:szCs w:val="24"/>
        </w:rPr>
      </w:pPr>
      <w:r w:rsidRPr="39DE9E8D">
        <w:rPr>
          <w:sz w:val="24"/>
          <w:szCs w:val="24"/>
        </w:rPr>
        <w:t xml:space="preserve">With the rights of the students participating in the study being at the forefront of planning a piece of action research, when undertaking action research in the future I would adapt the way in which I collect data. When collecting data for this particular study, I ensured that the data was anonymised, even from myself. From the way the literature surrounding this aspect of action research was perceived, it was felt necessary that anonymising the data completely would be the easiest way to avoid bias and therefore erroneous data from impacting the study. However, based on further reading and the action of analysing the data collected during the research, it has been concluded that it would be important to ensure that the pre- and post-tests could be attributed to participating students in order to learn more information to better inform future planning of lessons and indeed teaching practice. When carrying out action research in the future, I would make a comparison between the results of boys compared to girls, different abilities within the class, but also it would </w:t>
      </w:r>
      <w:r w:rsidRPr="39DE9E8D">
        <w:rPr>
          <w:sz w:val="24"/>
          <w:szCs w:val="24"/>
        </w:rPr>
        <w:lastRenderedPageBreak/>
        <w:t>provide me with additional information about individual students and how best specific students learn in order to better support them in the future.</w:t>
      </w:r>
    </w:p>
    <w:p w14:paraId="0FE5ED90" w14:textId="6C751ABC" w:rsidR="4FCEE000" w:rsidRDefault="4FCEE000" w:rsidP="4FCEE000">
      <w:pPr>
        <w:rPr>
          <w:sz w:val="24"/>
          <w:szCs w:val="24"/>
        </w:rPr>
      </w:pPr>
      <w:r w:rsidRPr="4FCEE000">
        <w:rPr>
          <w:sz w:val="24"/>
          <w:szCs w:val="24"/>
        </w:rPr>
        <w:t xml:space="preserve">In order to ensure that this research is accurate and in order to confirm the relevance of dual coding theory in this context, this study would have to be repeated in order to confirm its reliability. This would not only improve and build on the methodology involved, it would also be an opportunity to assess whether this theory benefits students of different abilities and levels. The class that participated in this study was a mixed ability year 10 class and it would therefore be necessary to explore whether this dual coding benefits students at different levels, ages and abilities. </w:t>
      </w:r>
    </w:p>
    <w:p w14:paraId="29DD468A" w14:textId="76A29FD5" w:rsidR="4FCEE000" w:rsidRDefault="080CBD48" w:rsidP="080CBD48">
      <w:pPr>
        <w:rPr>
          <w:sz w:val="24"/>
          <w:szCs w:val="24"/>
        </w:rPr>
      </w:pPr>
      <w:r w:rsidRPr="080CBD48">
        <w:rPr>
          <w:sz w:val="24"/>
          <w:szCs w:val="24"/>
        </w:rPr>
        <w:t>One aspect that I would perhaps do differently is to choose clearer images for students to match the words with. An example of this is the phrases ‘to set the table’ and ‘to clear the table’. It is difficult to find an image which depicts these two phrases without there being confusion about its meaning. When creating the pre- and post-tests, the meaning of the images was apparent to me, but it was not clear to the students. I would therefore either find clearer images or reinforce the intended meaning during the intervention section of the research.</w:t>
      </w:r>
    </w:p>
    <w:p w14:paraId="2190FD54" w14:textId="25AD4984" w:rsidR="080CBD48" w:rsidRDefault="39DE9E8D" w:rsidP="39DE9E8D">
      <w:pPr>
        <w:rPr>
          <w:sz w:val="24"/>
          <w:szCs w:val="24"/>
        </w:rPr>
      </w:pPr>
      <w:r w:rsidRPr="39DE9E8D">
        <w:rPr>
          <w:sz w:val="24"/>
          <w:szCs w:val="24"/>
        </w:rPr>
        <w:t xml:space="preserve">In the future, I would also reassess my pedagogical approach during lessons that research was taking place. Not being particularly familiar with the class, I was arguably underprepared in regard to behaviour management and the most effective way of engaging this particular class in order to ensure that the results could be as accurate and reliable as possible. Moving forward, it would be necessary to have a firmer and arguably more organised and engaging approach when carrying out action research. </w:t>
      </w:r>
    </w:p>
    <w:p w14:paraId="25CCFB07" w14:textId="332E50E4" w:rsidR="39DE9E8D" w:rsidRDefault="39DE9E8D" w:rsidP="39DE9E8D">
      <w:pPr>
        <w:rPr>
          <w:sz w:val="24"/>
          <w:szCs w:val="24"/>
        </w:rPr>
      </w:pPr>
      <w:r w:rsidRPr="39DE9E8D">
        <w:rPr>
          <w:sz w:val="24"/>
          <w:szCs w:val="24"/>
        </w:rPr>
        <w:t>Another way in which not being familiar with the class could have had an impact on the outcome of this study and the results, could have been the content itself and the structure of the sequence of lessons that had been prepared. Based on the time of day and the students I was teaching I should have tailored the activities to ensure that students could perform optimally, show progress and I could yield more accurate and reliable data. I would therefore, in the future, make more of an effort to understand the class that would participate in any research that I carry out and indeed try and have a better understanding of the best activities that suit them. I would ensure also that the activities and sequence of lessons would be better tailored to my class and the students in it.</w:t>
      </w:r>
    </w:p>
    <w:p w14:paraId="63D1F13E" w14:textId="48AD2246" w:rsidR="39DE9E8D" w:rsidRDefault="39DE9E8D" w:rsidP="39DE9E8D">
      <w:pPr>
        <w:rPr>
          <w:sz w:val="24"/>
          <w:szCs w:val="24"/>
        </w:rPr>
      </w:pPr>
      <w:r w:rsidRPr="39DE9E8D">
        <w:rPr>
          <w:sz w:val="24"/>
          <w:szCs w:val="24"/>
        </w:rPr>
        <w:t>I believe that this, alongside a more firm, assertive nature in terms of behaviour management, and the use of more clear and concise instructions could create a better environment in which to carry out future action research so that I can improve my teaching practice, make my lessons more engaging and meaningful and also create a better teaching environment that is more conducive to learning.</w:t>
      </w:r>
    </w:p>
    <w:p w14:paraId="37AF01F2" w14:textId="7B84F4DA" w:rsidR="4FCEE000" w:rsidRDefault="39DE9E8D" w:rsidP="39DE9E8D">
      <w:pPr>
        <w:rPr>
          <w:sz w:val="24"/>
          <w:szCs w:val="24"/>
        </w:rPr>
      </w:pPr>
      <w:r w:rsidRPr="39DE9E8D">
        <w:rPr>
          <w:sz w:val="24"/>
          <w:szCs w:val="24"/>
        </w:rPr>
        <w:t xml:space="preserve">The act of action research itself has shown to be beneficial in improving my teaching practice and is something that I would be looking to undertake in the future. The cycle of planning, acting and reflecting is a key part of teaching and improving teaching practice </w:t>
      </w:r>
      <w:r w:rsidRPr="39DE9E8D">
        <w:rPr>
          <w:rFonts w:ascii="Calibri" w:eastAsia="Calibri" w:hAnsi="Calibri" w:cs="Calibri"/>
          <w:sz w:val="24"/>
          <w:szCs w:val="24"/>
        </w:rPr>
        <w:t>(</w:t>
      </w:r>
      <w:proofErr w:type="spellStart"/>
      <w:r w:rsidRPr="39DE9E8D">
        <w:rPr>
          <w:rFonts w:ascii="Calibri" w:eastAsia="Calibri" w:hAnsi="Calibri" w:cs="Calibri"/>
          <w:sz w:val="24"/>
          <w:szCs w:val="24"/>
        </w:rPr>
        <w:t>Kemmis</w:t>
      </w:r>
      <w:proofErr w:type="spellEnd"/>
      <w:r w:rsidRPr="39DE9E8D">
        <w:rPr>
          <w:rFonts w:ascii="Calibri" w:eastAsia="Calibri" w:hAnsi="Calibri" w:cs="Calibri"/>
          <w:sz w:val="24"/>
          <w:szCs w:val="24"/>
        </w:rPr>
        <w:t xml:space="preserve"> and </w:t>
      </w:r>
      <w:proofErr w:type="spellStart"/>
      <w:r w:rsidRPr="39DE9E8D">
        <w:rPr>
          <w:rFonts w:ascii="Calibri" w:eastAsia="Calibri" w:hAnsi="Calibri" w:cs="Calibri"/>
          <w:sz w:val="24"/>
          <w:szCs w:val="24"/>
        </w:rPr>
        <w:t>Mctaggart</w:t>
      </w:r>
      <w:proofErr w:type="spellEnd"/>
      <w:r w:rsidRPr="39DE9E8D">
        <w:rPr>
          <w:rFonts w:ascii="Calibri" w:eastAsia="Calibri" w:hAnsi="Calibri" w:cs="Calibri"/>
          <w:sz w:val="24"/>
          <w:szCs w:val="24"/>
        </w:rPr>
        <w:t xml:space="preserve">, 2014). The act of officially recording results and using them to plan lessons is not an uncommon concept when assessing pupil progress, attainment and </w:t>
      </w:r>
      <w:r w:rsidRPr="39DE9E8D">
        <w:rPr>
          <w:rFonts w:ascii="Calibri" w:eastAsia="Calibri" w:hAnsi="Calibri" w:cs="Calibri"/>
          <w:sz w:val="24"/>
          <w:szCs w:val="24"/>
        </w:rPr>
        <w:lastRenderedPageBreak/>
        <w:t xml:space="preserve">knowledge, but having a way to record different approaches formatively in order to assess a specific type of intervention is arguably necessary to ensure that lessons are more effective to students who are then able to achieve their best. This is to ensure that lessons can be tailored to each class’ range and ability by having a clearer understanding of the approaches and strategies that most encourage them, engage them and further their development in a subject area. In terms of future improvement, I would therefore conduct more research into each class, with the aforementioned amendments in place, in order to further develop my own teaching styles and strategies in a way that most benefits the students for my personal and professional development. </w:t>
      </w:r>
    </w:p>
    <w:p w14:paraId="7FE36CC0" w14:textId="30E12E6F" w:rsidR="00AC2DBC" w:rsidRDefault="00AC2DBC">
      <w:pPr>
        <w:rPr>
          <w:sz w:val="24"/>
          <w:szCs w:val="24"/>
        </w:rPr>
      </w:pPr>
      <w:r>
        <w:rPr>
          <w:sz w:val="24"/>
          <w:szCs w:val="24"/>
        </w:rPr>
        <w:br w:type="page"/>
      </w:r>
    </w:p>
    <w:p w14:paraId="46FFC66A" w14:textId="77777777" w:rsidR="00AC2DBC" w:rsidRDefault="00AC2DBC" w:rsidP="00AC2DBC">
      <w:pPr>
        <w:pStyle w:val="Title"/>
      </w:pPr>
    </w:p>
    <w:p w14:paraId="5D6B9969" w14:textId="77777777" w:rsidR="00AC2DBC" w:rsidRDefault="00AC2DBC" w:rsidP="00AC2DBC">
      <w:pPr>
        <w:rPr>
          <w:sz w:val="24"/>
          <w:szCs w:val="24"/>
        </w:rPr>
      </w:pPr>
    </w:p>
    <w:p w14:paraId="03E9473C" w14:textId="77777777" w:rsidR="00AC2DBC" w:rsidRDefault="00AC2DBC" w:rsidP="00AC2DBC">
      <w:pPr>
        <w:rPr>
          <w:sz w:val="24"/>
          <w:szCs w:val="24"/>
        </w:rPr>
      </w:pPr>
      <w:proofErr w:type="spellStart"/>
      <w:r>
        <w:rPr>
          <w:sz w:val="24"/>
          <w:szCs w:val="24"/>
        </w:rPr>
        <w:t>Adamsky</w:t>
      </w:r>
      <w:proofErr w:type="spellEnd"/>
      <w:r>
        <w:rPr>
          <w:sz w:val="24"/>
          <w:szCs w:val="24"/>
        </w:rPr>
        <w:t xml:space="preserve">, J. (1992). Pictionary </w:t>
      </w:r>
      <w:proofErr w:type="gramStart"/>
      <w:r>
        <w:rPr>
          <w:sz w:val="24"/>
          <w:szCs w:val="24"/>
        </w:rPr>
        <w:t>Perfect..</w:t>
      </w:r>
      <w:proofErr w:type="gramEnd"/>
      <w:r>
        <w:rPr>
          <w:sz w:val="24"/>
          <w:szCs w:val="24"/>
        </w:rPr>
        <w:t xml:space="preserve"> [online] Eric.ed.gov. Available at: https://eric.ed.gov/?id=ED345561 [Accessed 12 May 2019].</w:t>
      </w:r>
    </w:p>
    <w:p w14:paraId="275E8677" w14:textId="77777777" w:rsidR="00AC2DBC" w:rsidRDefault="00AC2DBC" w:rsidP="00AC2DBC">
      <w:pPr>
        <w:rPr>
          <w:sz w:val="24"/>
          <w:szCs w:val="24"/>
        </w:rPr>
      </w:pPr>
      <w:r>
        <w:rPr>
          <w:sz w:val="24"/>
          <w:szCs w:val="24"/>
        </w:rPr>
        <w:t xml:space="preserve">Ammons, T. L., Booker, J. L., &amp; </w:t>
      </w:r>
      <w:proofErr w:type="spellStart"/>
      <w:r>
        <w:rPr>
          <w:sz w:val="24"/>
          <w:szCs w:val="24"/>
        </w:rPr>
        <w:t>Killmon</w:t>
      </w:r>
      <w:proofErr w:type="spellEnd"/>
      <w:r>
        <w:rPr>
          <w:sz w:val="24"/>
          <w:szCs w:val="24"/>
        </w:rPr>
        <w:t>, C. P. (1995). The effects of time of day on student attention and achievement. (ERIC Document Reproduction Service No. ED 384 592</w:t>
      </w:r>
    </w:p>
    <w:p w14:paraId="70594983" w14:textId="77777777" w:rsidR="00AC2DBC" w:rsidRDefault="00AC2DBC" w:rsidP="00AC2DBC">
      <w:pPr>
        <w:rPr>
          <w:sz w:val="24"/>
          <w:szCs w:val="24"/>
        </w:rPr>
      </w:pPr>
      <w:r>
        <w:rPr>
          <w:sz w:val="24"/>
          <w:szCs w:val="24"/>
        </w:rPr>
        <w:t>Bera.ac.uk. (2018). Ethical Guidelines for Educational Research, fourth edition (2018) | BERA. [online] Available at: https://www.bera.ac.uk/researchers-resources/publications/ethical-guidelines-for-educational-research-2018 [Accessed 24 Apr. 2019].</w:t>
      </w:r>
    </w:p>
    <w:p w14:paraId="2C660EF7" w14:textId="77777777" w:rsidR="00AC2DBC" w:rsidRDefault="00AC2DBC" w:rsidP="00AC2DBC">
      <w:pPr>
        <w:rPr>
          <w:sz w:val="24"/>
          <w:szCs w:val="24"/>
        </w:rPr>
      </w:pPr>
    </w:p>
    <w:p w14:paraId="6258F49E" w14:textId="77777777" w:rsidR="00AC2DBC" w:rsidRDefault="00AC2DBC" w:rsidP="00AC2DBC">
      <w:pPr>
        <w:rPr>
          <w:sz w:val="24"/>
          <w:szCs w:val="24"/>
        </w:rPr>
      </w:pPr>
      <w:r>
        <w:rPr>
          <w:sz w:val="24"/>
          <w:szCs w:val="24"/>
        </w:rPr>
        <w:t xml:space="preserve">Cook, V and </w:t>
      </w:r>
      <w:proofErr w:type="spellStart"/>
      <w:r>
        <w:rPr>
          <w:sz w:val="24"/>
          <w:szCs w:val="24"/>
        </w:rPr>
        <w:t>Bassetti</w:t>
      </w:r>
      <w:proofErr w:type="spellEnd"/>
      <w:r>
        <w:rPr>
          <w:sz w:val="24"/>
          <w:szCs w:val="24"/>
        </w:rPr>
        <w:t>, B (2011) Language and bilingual cognition. New York: Psychology Press</w:t>
      </w:r>
    </w:p>
    <w:p w14:paraId="09AD37E7" w14:textId="77777777" w:rsidR="00AC2DBC" w:rsidRDefault="00AC2DBC" w:rsidP="00AC2DBC">
      <w:pPr>
        <w:rPr>
          <w:sz w:val="24"/>
          <w:szCs w:val="24"/>
        </w:rPr>
      </w:pPr>
      <w:r>
        <w:rPr>
          <w:sz w:val="24"/>
          <w:szCs w:val="24"/>
        </w:rPr>
        <w:t xml:space="preserve">Cirt.gcu.edu. (2019). Sources of Error and Bias in Experimental Research - </w:t>
      </w:r>
      <w:proofErr w:type="spellStart"/>
      <w:r>
        <w:rPr>
          <w:sz w:val="24"/>
          <w:szCs w:val="24"/>
        </w:rPr>
        <w:t>Center</w:t>
      </w:r>
      <w:proofErr w:type="spellEnd"/>
      <w:r>
        <w:rPr>
          <w:sz w:val="24"/>
          <w:szCs w:val="24"/>
        </w:rPr>
        <w:t xml:space="preserve"> for Innovation in Research and Teaching. [online] Available at: https://cirt.gcu.edu/research/developmentresources/research_ready/experimental/error_bias [Accessed 7 May 2019].</w:t>
      </w:r>
    </w:p>
    <w:p w14:paraId="55465EFA" w14:textId="77777777" w:rsidR="00AC2DBC" w:rsidRDefault="00AC2DBC" w:rsidP="00AC2DBC">
      <w:pPr>
        <w:rPr>
          <w:sz w:val="24"/>
          <w:szCs w:val="24"/>
        </w:rPr>
      </w:pPr>
      <w:r>
        <w:rPr>
          <w:sz w:val="24"/>
          <w:szCs w:val="24"/>
        </w:rPr>
        <w:t>Cuevas, J. and Dawson, B. (2017). A test of two alternative cognitive processing models: Learning styles and dual coding. Theory and Research in Education, 16(1), pp.40-64.</w:t>
      </w:r>
    </w:p>
    <w:p w14:paraId="07B6704B" w14:textId="77777777" w:rsidR="00AC2DBC" w:rsidRDefault="00AC2DBC" w:rsidP="00AC2DBC">
      <w:pPr>
        <w:rPr>
          <w:sz w:val="24"/>
          <w:szCs w:val="24"/>
        </w:rPr>
      </w:pPr>
      <w:r>
        <w:rPr>
          <w:sz w:val="24"/>
          <w:szCs w:val="24"/>
        </w:rPr>
        <w:t>Foster, A. (2014). Action research in education. Action Learning: Research and Practice, 11(1), pp.106-109.</w:t>
      </w:r>
    </w:p>
    <w:p w14:paraId="7CFEAE0E" w14:textId="77777777" w:rsidR="00AC2DBC" w:rsidRDefault="00AC2DBC" w:rsidP="00AC2DBC">
      <w:pPr>
        <w:rPr>
          <w:sz w:val="24"/>
          <w:szCs w:val="24"/>
        </w:rPr>
      </w:pPr>
      <w:r>
        <w:rPr>
          <w:sz w:val="24"/>
          <w:szCs w:val="24"/>
        </w:rPr>
        <w:t xml:space="preserve">Goodman, P. (2003). Pictionary©: a test for visual literacy. In D. </w:t>
      </w:r>
      <w:proofErr w:type="spellStart"/>
      <w:r>
        <w:rPr>
          <w:sz w:val="24"/>
          <w:szCs w:val="24"/>
        </w:rPr>
        <w:t>Lassner</w:t>
      </w:r>
      <w:proofErr w:type="spellEnd"/>
      <w:r>
        <w:rPr>
          <w:sz w:val="24"/>
          <w:szCs w:val="24"/>
        </w:rPr>
        <w:t xml:space="preserve"> &amp; C. </w:t>
      </w:r>
      <w:proofErr w:type="spellStart"/>
      <w:r>
        <w:rPr>
          <w:sz w:val="24"/>
          <w:szCs w:val="24"/>
        </w:rPr>
        <w:t>McNaught</w:t>
      </w:r>
      <w:proofErr w:type="spellEnd"/>
      <w:r>
        <w:rPr>
          <w:sz w:val="24"/>
          <w:szCs w:val="24"/>
        </w:rPr>
        <w:t xml:space="preserve"> (Eds.), Proceedings of ED-MEDIA 2003--World Conference on Educational Multimedia, Hypermedia &amp; Telecommunications (pp. 2370-2373). Honolulu, Hawaii, USA: Association for the Advancement of Computing in Education (AACE). Retrieved May 12, 2019.</w:t>
      </w:r>
    </w:p>
    <w:p w14:paraId="516853DC" w14:textId="77777777" w:rsidR="00AC2DBC" w:rsidRDefault="00AC2DBC" w:rsidP="00AC2DBC">
      <w:pPr>
        <w:rPr>
          <w:sz w:val="24"/>
          <w:szCs w:val="24"/>
        </w:rPr>
      </w:pPr>
      <w:r>
        <w:rPr>
          <w:sz w:val="24"/>
          <w:szCs w:val="24"/>
        </w:rPr>
        <w:t>Grill-Spector, K., Henson, R. and Martin, A. (2006). Repetition and the brain: neural models of stimulus-specific effects. Trends in Cognitive Sciences, 10(1), pp.14-23.</w:t>
      </w:r>
    </w:p>
    <w:p w14:paraId="2A65F3AB" w14:textId="77777777" w:rsidR="00AC2DBC" w:rsidRDefault="00AC2DBC" w:rsidP="00AC2DBC">
      <w:pPr>
        <w:rPr>
          <w:sz w:val="24"/>
          <w:szCs w:val="24"/>
        </w:rPr>
      </w:pPr>
      <w:r>
        <w:rPr>
          <w:sz w:val="24"/>
          <w:szCs w:val="24"/>
        </w:rPr>
        <w:t>Heckler, A. and Sayre, E. (2010). What happens between pre- and post-tests: Multiple measurements of student understanding during an introductory physics course. American Journal of Physics, 78(7), pp.768-777.</w:t>
      </w:r>
    </w:p>
    <w:p w14:paraId="2441AB4F" w14:textId="77777777" w:rsidR="00AC2DBC" w:rsidRDefault="00AC2DBC" w:rsidP="00AC2DBC">
      <w:pPr>
        <w:rPr>
          <w:sz w:val="24"/>
          <w:szCs w:val="24"/>
        </w:rPr>
      </w:pPr>
      <w:proofErr w:type="spellStart"/>
      <w:r>
        <w:rPr>
          <w:sz w:val="24"/>
          <w:szCs w:val="24"/>
        </w:rPr>
        <w:t>Kemmis</w:t>
      </w:r>
      <w:proofErr w:type="spellEnd"/>
      <w:r>
        <w:rPr>
          <w:sz w:val="24"/>
          <w:szCs w:val="24"/>
        </w:rPr>
        <w:t>, S. and McTaggart, R. (2014). The Action Research Planner. Singapore: Springer Singapore.</w:t>
      </w:r>
    </w:p>
    <w:p w14:paraId="0655B46B" w14:textId="77777777" w:rsidR="00AC2DBC" w:rsidRDefault="00AC2DBC" w:rsidP="00AC2DBC">
      <w:pPr>
        <w:rPr>
          <w:sz w:val="24"/>
          <w:szCs w:val="24"/>
        </w:rPr>
      </w:pPr>
      <w:proofErr w:type="spellStart"/>
      <w:r>
        <w:rPr>
          <w:sz w:val="24"/>
          <w:szCs w:val="24"/>
        </w:rPr>
        <w:t>Knoth</w:t>
      </w:r>
      <w:proofErr w:type="spellEnd"/>
      <w:r>
        <w:rPr>
          <w:sz w:val="24"/>
          <w:szCs w:val="24"/>
        </w:rPr>
        <w:t xml:space="preserve">, R. and </w:t>
      </w:r>
      <w:proofErr w:type="spellStart"/>
      <w:r>
        <w:rPr>
          <w:sz w:val="24"/>
          <w:szCs w:val="24"/>
        </w:rPr>
        <w:t>Bauserman</w:t>
      </w:r>
      <w:proofErr w:type="spellEnd"/>
      <w:r>
        <w:rPr>
          <w:sz w:val="24"/>
          <w:szCs w:val="24"/>
        </w:rPr>
        <w:t xml:space="preserve">, R. (1991). Essentials of </w:t>
      </w:r>
      <w:proofErr w:type="spellStart"/>
      <w:r>
        <w:rPr>
          <w:sz w:val="24"/>
          <w:szCs w:val="24"/>
        </w:rPr>
        <w:t>behavioral</w:t>
      </w:r>
      <w:proofErr w:type="spellEnd"/>
      <w:r>
        <w:rPr>
          <w:sz w:val="24"/>
          <w:szCs w:val="24"/>
        </w:rPr>
        <w:t xml:space="preserve"> research. New York: McGraw-Hill.</w:t>
      </w:r>
    </w:p>
    <w:p w14:paraId="20F7219F" w14:textId="77777777" w:rsidR="00AC2DBC" w:rsidRDefault="00AC2DBC" w:rsidP="00AC2DBC">
      <w:pPr>
        <w:rPr>
          <w:sz w:val="24"/>
          <w:szCs w:val="24"/>
        </w:rPr>
      </w:pPr>
      <w:r>
        <w:rPr>
          <w:sz w:val="24"/>
          <w:szCs w:val="24"/>
        </w:rPr>
        <w:t>Koshy, V. (2006). Action research for improving practice. London: Paul Chapman Pub.</w:t>
      </w:r>
    </w:p>
    <w:p w14:paraId="43D1A5CE" w14:textId="77777777" w:rsidR="00AC2DBC" w:rsidRDefault="00AC2DBC" w:rsidP="00AC2DBC">
      <w:pPr>
        <w:rPr>
          <w:sz w:val="24"/>
          <w:szCs w:val="24"/>
        </w:rPr>
      </w:pPr>
      <w:r>
        <w:rPr>
          <w:sz w:val="24"/>
          <w:szCs w:val="24"/>
        </w:rPr>
        <w:lastRenderedPageBreak/>
        <w:t>Kumar, R. (2014). Research methodology. London: SAGE.</w:t>
      </w:r>
    </w:p>
    <w:p w14:paraId="5CD2AFE4" w14:textId="77777777" w:rsidR="00AC2DBC" w:rsidRDefault="00AC2DBC" w:rsidP="00AC2DBC">
      <w:pPr>
        <w:rPr>
          <w:sz w:val="24"/>
          <w:szCs w:val="24"/>
        </w:rPr>
      </w:pPr>
      <w:r>
        <w:rPr>
          <w:sz w:val="24"/>
          <w:szCs w:val="24"/>
        </w:rPr>
        <w:t xml:space="preserve">Lee, S (2017). Raising EFL awareness of L2 lexical errors and correct usage: A dual coding approach Korea Association of </w:t>
      </w:r>
      <w:proofErr w:type="gramStart"/>
      <w:r>
        <w:rPr>
          <w:sz w:val="24"/>
          <w:szCs w:val="24"/>
        </w:rPr>
        <w:t>Teachers  of</w:t>
      </w:r>
      <w:proofErr w:type="gramEnd"/>
      <w:r>
        <w:rPr>
          <w:sz w:val="24"/>
          <w:szCs w:val="24"/>
        </w:rPr>
        <w:t xml:space="preserve"> English Vol 72 (2) p29-51.</w:t>
      </w:r>
    </w:p>
    <w:p w14:paraId="19B2B8CA" w14:textId="77777777" w:rsidR="00AC2DBC" w:rsidRDefault="00AC2DBC" w:rsidP="00AC2DBC">
      <w:pPr>
        <w:rPr>
          <w:sz w:val="24"/>
          <w:szCs w:val="24"/>
        </w:rPr>
      </w:pPr>
      <w:proofErr w:type="spellStart"/>
      <w:r>
        <w:rPr>
          <w:sz w:val="24"/>
          <w:szCs w:val="24"/>
        </w:rPr>
        <w:t>Lethaby</w:t>
      </w:r>
      <w:proofErr w:type="spellEnd"/>
      <w:r>
        <w:rPr>
          <w:sz w:val="24"/>
          <w:szCs w:val="24"/>
        </w:rPr>
        <w:t>, C. (2017). Four reasons to avoid 'learning styles' – and one alternative | British Council. [online] Britishcouncil.org. Available at: https://www.britishcouncil.org/voices-magazine/four-reasons-avoid-learning-styles-one-alternative [Accessed 12 May 2019].</w:t>
      </w:r>
    </w:p>
    <w:p w14:paraId="7867D3A1" w14:textId="77777777" w:rsidR="00AC2DBC" w:rsidRDefault="00AC2DBC" w:rsidP="00AC2DBC">
      <w:pPr>
        <w:rPr>
          <w:sz w:val="24"/>
          <w:szCs w:val="24"/>
        </w:rPr>
      </w:pPr>
      <w:r>
        <w:rPr>
          <w:sz w:val="24"/>
          <w:szCs w:val="24"/>
        </w:rPr>
        <w:t>Marsden, E. and Torgerson, C. (2012). Single group, pre- and post-test research designs: Some methodological concerns. Oxford Review of Education, 38(5), pp.583-616.</w:t>
      </w:r>
    </w:p>
    <w:p w14:paraId="422EB4CF" w14:textId="77777777" w:rsidR="00AC2DBC" w:rsidRDefault="00AC2DBC" w:rsidP="00AC2DBC">
      <w:pPr>
        <w:rPr>
          <w:sz w:val="24"/>
          <w:szCs w:val="24"/>
        </w:rPr>
      </w:pPr>
      <w:r>
        <w:rPr>
          <w:sz w:val="24"/>
          <w:szCs w:val="24"/>
        </w:rPr>
        <w:t>Mayer, R. E., &amp; Sims, V. K. (1994). For whom is a picture worth a thousand words? Extensions of a dual-coding theory of multimedia learning. Journal of Educational Psychology, 86(3), 389-401.</w:t>
      </w:r>
    </w:p>
    <w:p w14:paraId="14DB43A4" w14:textId="77777777" w:rsidR="00AC2DBC" w:rsidRDefault="00AC2DBC" w:rsidP="00AC2DBC">
      <w:pPr>
        <w:rPr>
          <w:sz w:val="24"/>
          <w:szCs w:val="24"/>
        </w:rPr>
      </w:pPr>
      <w:r>
        <w:rPr>
          <w:sz w:val="24"/>
          <w:szCs w:val="24"/>
        </w:rPr>
        <w:t>Mills, G. (2000). Action research.</w:t>
      </w:r>
    </w:p>
    <w:p w14:paraId="3ABEA745" w14:textId="77777777" w:rsidR="00AC2DBC" w:rsidRDefault="00AC2DBC" w:rsidP="00AC2DBC">
      <w:pPr>
        <w:rPr>
          <w:sz w:val="24"/>
          <w:szCs w:val="24"/>
        </w:rPr>
      </w:pPr>
      <w:r>
        <w:rPr>
          <w:sz w:val="24"/>
          <w:szCs w:val="24"/>
        </w:rPr>
        <w:t xml:space="preserve">Nolen, A. and </w:t>
      </w:r>
      <w:proofErr w:type="spellStart"/>
      <w:r>
        <w:rPr>
          <w:sz w:val="24"/>
          <w:szCs w:val="24"/>
        </w:rPr>
        <w:t>Putten</w:t>
      </w:r>
      <w:proofErr w:type="spellEnd"/>
      <w:r>
        <w:rPr>
          <w:sz w:val="24"/>
          <w:szCs w:val="24"/>
        </w:rPr>
        <w:t>, J. (2007). Action Research in Education: Addressing Gaps in Ethical Principles and Practices. Educational Researcher, 36(7), pp.401-407.</w:t>
      </w:r>
    </w:p>
    <w:p w14:paraId="3F23E0DA" w14:textId="77777777" w:rsidR="00AC2DBC" w:rsidRDefault="00AC2DBC" w:rsidP="00AC2DBC">
      <w:pPr>
        <w:rPr>
          <w:sz w:val="24"/>
          <w:szCs w:val="24"/>
        </w:rPr>
      </w:pPr>
      <w:r>
        <w:rPr>
          <w:sz w:val="24"/>
          <w:szCs w:val="24"/>
        </w:rPr>
        <w:t>Ortega, L. (2008). Understanding second language acquisition. 1st ed. London: Routledge.</w:t>
      </w:r>
    </w:p>
    <w:p w14:paraId="5E75DC6B" w14:textId="77777777" w:rsidR="00AC2DBC" w:rsidRDefault="00AC2DBC" w:rsidP="00AC2DBC">
      <w:pPr>
        <w:rPr>
          <w:sz w:val="24"/>
          <w:szCs w:val="24"/>
        </w:rPr>
      </w:pPr>
      <w:proofErr w:type="spellStart"/>
      <w:r>
        <w:rPr>
          <w:sz w:val="24"/>
          <w:szCs w:val="24"/>
        </w:rPr>
        <w:t>Pashler</w:t>
      </w:r>
      <w:proofErr w:type="spellEnd"/>
      <w:r>
        <w:rPr>
          <w:sz w:val="24"/>
          <w:szCs w:val="24"/>
        </w:rPr>
        <w:t>, H., McDaniel, M., Rohrer, D. and Bjork, R. (2008). Learning Styles. Psychological Science in the Public Interest, 9(3), pp.105-119.</w:t>
      </w:r>
    </w:p>
    <w:p w14:paraId="6A95CAD0" w14:textId="77777777" w:rsidR="00AC2DBC" w:rsidRDefault="00AC2DBC" w:rsidP="00AC2DBC">
      <w:pPr>
        <w:rPr>
          <w:sz w:val="24"/>
          <w:szCs w:val="24"/>
        </w:rPr>
      </w:pPr>
      <w:proofErr w:type="spellStart"/>
      <w:r>
        <w:rPr>
          <w:sz w:val="24"/>
          <w:szCs w:val="24"/>
        </w:rPr>
        <w:t>Paivio</w:t>
      </w:r>
      <w:proofErr w:type="spellEnd"/>
      <w:r>
        <w:rPr>
          <w:sz w:val="24"/>
          <w:szCs w:val="24"/>
        </w:rPr>
        <w:t>, A. (1986). Mental Representations. New York: Oxford University Press</w:t>
      </w:r>
    </w:p>
    <w:p w14:paraId="0F927484" w14:textId="77777777" w:rsidR="00AC2DBC" w:rsidRDefault="00AC2DBC" w:rsidP="00AC2DBC">
      <w:pPr>
        <w:rPr>
          <w:sz w:val="24"/>
          <w:szCs w:val="24"/>
        </w:rPr>
      </w:pPr>
      <w:proofErr w:type="spellStart"/>
      <w:r>
        <w:rPr>
          <w:sz w:val="24"/>
          <w:szCs w:val="24"/>
        </w:rPr>
        <w:t>Pazzani</w:t>
      </w:r>
      <w:proofErr w:type="spellEnd"/>
      <w:r>
        <w:rPr>
          <w:sz w:val="24"/>
          <w:szCs w:val="24"/>
        </w:rPr>
        <w:t>, M. J. (1991). Influence of prior knowledge on concept acquisition: Experimental and computational results. Journal of Experimental Psychology: Learning, Memory, and Cognition, 17(3), 416-432.</w:t>
      </w:r>
    </w:p>
    <w:p w14:paraId="008CB576" w14:textId="77777777" w:rsidR="00AC2DBC" w:rsidRDefault="00AC2DBC" w:rsidP="00AC2DBC">
      <w:pPr>
        <w:rPr>
          <w:sz w:val="24"/>
          <w:szCs w:val="24"/>
        </w:rPr>
      </w:pPr>
      <w:r>
        <w:rPr>
          <w:sz w:val="24"/>
          <w:szCs w:val="24"/>
        </w:rPr>
        <w:t>Schmidt, F. and Hunter, J. (2015). Methods of meta-analysis. Los Angeles: SAGE.</w:t>
      </w:r>
    </w:p>
    <w:p w14:paraId="311A2A9D" w14:textId="77777777" w:rsidR="00AC2DBC" w:rsidRDefault="00AC2DBC" w:rsidP="00AC2DBC">
      <w:pPr>
        <w:rPr>
          <w:sz w:val="24"/>
          <w:szCs w:val="24"/>
        </w:rPr>
      </w:pPr>
      <w:r>
        <w:rPr>
          <w:sz w:val="24"/>
          <w:szCs w:val="24"/>
        </w:rPr>
        <w:t>Scos.mccvlc.org. (2019). [online] Available at: http://scos.mccvlc.org/FIPSE/PLAY/elfusers/orientation/What_Is_Online_Like/LEARNING_STYLE_INVENTORIES.xee [Accessed 12 May 2019].</w:t>
      </w:r>
    </w:p>
    <w:p w14:paraId="53E18C19" w14:textId="77777777" w:rsidR="00AC2DBC" w:rsidRDefault="00AC2DBC" w:rsidP="00AC2DBC">
      <w:pPr>
        <w:rPr>
          <w:sz w:val="24"/>
          <w:szCs w:val="24"/>
        </w:rPr>
      </w:pPr>
      <w:r>
        <w:rPr>
          <w:sz w:val="24"/>
          <w:szCs w:val="24"/>
        </w:rPr>
        <w:t>Skidmore.edu. (2019). Pre or Post Assessment. [online] Available at: https://www.skidmore.edu/assessment/archived/pre-or-post-assessment.php [Accessed 8 May 2019].</w:t>
      </w:r>
    </w:p>
    <w:p w14:paraId="0EC86FDE" w14:textId="77777777" w:rsidR="00AC2DBC" w:rsidRDefault="00AC2DBC" w:rsidP="00AC2DBC">
      <w:pPr>
        <w:rPr>
          <w:sz w:val="24"/>
          <w:szCs w:val="24"/>
        </w:rPr>
      </w:pPr>
      <w:proofErr w:type="spellStart"/>
      <w:r>
        <w:rPr>
          <w:sz w:val="24"/>
          <w:szCs w:val="24"/>
        </w:rPr>
        <w:t>Somekh</w:t>
      </w:r>
      <w:proofErr w:type="spellEnd"/>
      <w:r>
        <w:rPr>
          <w:sz w:val="24"/>
          <w:szCs w:val="24"/>
        </w:rPr>
        <w:t>, B. (2006). Action research. Maidenhead: Open University Press.</w:t>
      </w:r>
    </w:p>
    <w:p w14:paraId="3A784C19" w14:textId="77777777" w:rsidR="00AC2DBC" w:rsidRDefault="00AC2DBC" w:rsidP="00AC2DBC">
      <w:pPr>
        <w:rPr>
          <w:sz w:val="24"/>
          <w:szCs w:val="24"/>
        </w:rPr>
      </w:pPr>
      <w:r>
        <w:rPr>
          <w:sz w:val="24"/>
          <w:szCs w:val="24"/>
        </w:rPr>
        <w:t xml:space="preserve">Sperber, A., </w:t>
      </w:r>
      <w:proofErr w:type="spellStart"/>
      <w:r>
        <w:rPr>
          <w:sz w:val="24"/>
          <w:szCs w:val="24"/>
        </w:rPr>
        <w:t>Devellis</w:t>
      </w:r>
      <w:proofErr w:type="spellEnd"/>
      <w:r>
        <w:rPr>
          <w:sz w:val="24"/>
          <w:szCs w:val="24"/>
        </w:rPr>
        <w:t xml:space="preserve">, R. and </w:t>
      </w:r>
      <w:proofErr w:type="spellStart"/>
      <w:r>
        <w:rPr>
          <w:sz w:val="24"/>
          <w:szCs w:val="24"/>
        </w:rPr>
        <w:t>Boehlecke</w:t>
      </w:r>
      <w:proofErr w:type="spellEnd"/>
      <w:r>
        <w:rPr>
          <w:sz w:val="24"/>
          <w:szCs w:val="24"/>
        </w:rPr>
        <w:t>, B. (1994). Cross-Cultural Translation. Journal of Cross-Cultural Psychology, 25(4), pp.501-524.</w:t>
      </w:r>
    </w:p>
    <w:p w14:paraId="340C3A9E" w14:textId="77777777" w:rsidR="00AC2DBC" w:rsidRDefault="00AC2DBC" w:rsidP="00AC2DBC">
      <w:pPr>
        <w:rPr>
          <w:sz w:val="24"/>
          <w:szCs w:val="24"/>
        </w:rPr>
      </w:pPr>
      <w:r>
        <w:rPr>
          <w:sz w:val="24"/>
          <w:szCs w:val="24"/>
        </w:rPr>
        <w:t xml:space="preserve">Thomas, N. (2014). Mental Imagery &gt; Dual Coding and Common Coding Theories of Memory (Stanford </w:t>
      </w:r>
      <w:proofErr w:type="spellStart"/>
      <w:r>
        <w:rPr>
          <w:sz w:val="24"/>
          <w:szCs w:val="24"/>
        </w:rPr>
        <w:t>Encyclopedia</w:t>
      </w:r>
      <w:proofErr w:type="spellEnd"/>
      <w:r>
        <w:rPr>
          <w:sz w:val="24"/>
          <w:szCs w:val="24"/>
        </w:rPr>
        <w:t xml:space="preserve"> of Philosophy). [online] Plato.stanford.edu. Available at: https://plato.stanford.edu/entries/mental-imagery/theories-memory.html [Accessed 24 Apr. 2019].</w:t>
      </w:r>
    </w:p>
    <w:p w14:paraId="54318994" w14:textId="77777777" w:rsidR="00AC2DBC" w:rsidRDefault="00AC2DBC" w:rsidP="00AC2DBC">
      <w:pPr>
        <w:rPr>
          <w:sz w:val="24"/>
          <w:szCs w:val="24"/>
        </w:rPr>
      </w:pPr>
      <w:r>
        <w:rPr>
          <w:sz w:val="24"/>
          <w:szCs w:val="24"/>
        </w:rPr>
        <w:lastRenderedPageBreak/>
        <w:t xml:space="preserve">Tice, J. (2019). Drilling 1. [online] </w:t>
      </w:r>
      <w:proofErr w:type="spellStart"/>
      <w:r>
        <w:rPr>
          <w:sz w:val="24"/>
          <w:szCs w:val="24"/>
        </w:rPr>
        <w:t>TeachingEnglish</w:t>
      </w:r>
      <w:proofErr w:type="spellEnd"/>
      <w:r>
        <w:rPr>
          <w:sz w:val="24"/>
          <w:szCs w:val="24"/>
        </w:rPr>
        <w:t xml:space="preserve"> | British Council | BBC. Available at: https://www.teachingenglish.org.uk/article/drilling-1 [Accessed 12 May 2019].</w:t>
      </w:r>
    </w:p>
    <w:p w14:paraId="0B77C5DD" w14:textId="77777777" w:rsidR="00AC2DBC" w:rsidRDefault="00AC2DBC" w:rsidP="00AC2DBC">
      <w:pPr>
        <w:rPr>
          <w:sz w:val="24"/>
          <w:szCs w:val="24"/>
        </w:rPr>
      </w:pPr>
    </w:p>
    <w:p w14:paraId="0CEE73A0" w14:textId="77777777" w:rsidR="00AC2DBC" w:rsidRDefault="00AC2DBC" w:rsidP="00AC2DBC">
      <w:pPr>
        <w:rPr>
          <w:sz w:val="24"/>
          <w:szCs w:val="24"/>
        </w:rPr>
      </w:pPr>
    </w:p>
    <w:p w14:paraId="49BF3276" w14:textId="77777777" w:rsidR="26E54079" w:rsidRDefault="26E54079" w:rsidP="26E54079">
      <w:pPr>
        <w:rPr>
          <w:sz w:val="24"/>
          <w:szCs w:val="24"/>
        </w:rPr>
      </w:pPr>
      <w:bookmarkStart w:id="0" w:name="_GoBack"/>
      <w:bookmarkEnd w:id="0"/>
    </w:p>
    <w:sectPr w:rsidR="26E5407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AE2B3B"/>
    <w:rsid w:val="009A5644"/>
    <w:rsid w:val="00AC2DBC"/>
    <w:rsid w:val="04AE2B3B"/>
    <w:rsid w:val="080CBD48"/>
    <w:rsid w:val="0FAE392C"/>
    <w:rsid w:val="24BFB336"/>
    <w:rsid w:val="26E54079"/>
    <w:rsid w:val="39DE9E8D"/>
    <w:rsid w:val="4FCEE000"/>
    <w:rsid w:val="595BB613"/>
    <w:rsid w:val="65BEB5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E2B3B"/>
  <w15:chartTrackingRefBased/>
  <w15:docId w15:val="{BA13249D-6AD6-4AA3-B6AE-AFB8EA5D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AC2DBC"/>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AC2DBC"/>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C2DBC"/>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AC2DBC"/>
    <w:rPr>
      <w:rFonts w:ascii="Times New Roman" w:eastAsia="Times New Roman" w:hAnsi="Times New Roman" w:cs="Times New Roman"/>
      <w:sz w:val="40"/>
      <w:szCs w:val="20"/>
      <w:lang w:eastAsia="en-GB"/>
    </w:rPr>
  </w:style>
  <w:style w:type="paragraph" w:styleId="Header">
    <w:name w:val="header"/>
    <w:basedOn w:val="Normal"/>
    <w:link w:val="HeaderChar"/>
    <w:rsid w:val="00AC2DBC"/>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AC2DBC"/>
    <w:rPr>
      <w:rFonts w:ascii="Times New Roman" w:eastAsia="Times New Roman" w:hAnsi="Times New Roman" w:cs="Times New Roman"/>
      <w:sz w:val="20"/>
      <w:szCs w:val="20"/>
      <w:lang w:eastAsia="en-GB"/>
    </w:rPr>
  </w:style>
  <w:style w:type="paragraph" w:styleId="NormalWeb">
    <w:name w:val="Normal (Web)"/>
    <w:basedOn w:val="Normal"/>
    <w:uiPriority w:val="99"/>
    <w:rsid w:val="00AC2DBC"/>
    <w:pPr>
      <w:spacing w:before="100" w:after="100" w:line="240" w:lineRule="auto"/>
    </w:pPr>
    <w:rPr>
      <w:rFonts w:ascii="Times New Roman" w:eastAsia="Times New Roman" w:hAnsi="Times New Roman" w:cs="Times New Roman"/>
      <w:sz w:val="24"/>
      <w:szCs w:val="20"/>
    </w:rPr>
  </w:style>
  <w:style w:type="paragraph" w:styleId="Title">
    <w:name w:val="Title"/>
    <w:basedOn w:val="Normal"/>
    <w:next w:val="Normal"/>
    <w:link w:val="TitleChar"/>
    <w:rsid w:val="00AC2DBC"/>
    <w:pPr>
      <w:keepNext/>
      <w:keepLines/>
      <w:spacing w:before="480" w:after="120"/>
    </w:pPr>
    <w:rPr>
      <w:rFonts w:ascii="Calibri" w:eastAsia="Calibri" w:hAnsi="Calibri" w:cs="Calibri"/>
      <w:b/>
      <w:sz w:val="72"/>
      <w:szCs w:val="72"/>
      <w:lang w:eastAsia="en-GB"/>
    </w:rPr>
  </w:style>
  <w:style w:type="character" w:customStyle="1" w:styleId="TitleChar">
    <w:name w:val="Title Char"/>
    <w:basedOn w:val="DefaultParagraphFont"/>
    <w:link w:val="Title"/>
    <w:rsid w:val="00AC2DBC"/>
    <w:rPr>
      <w:rFonts w:ascii="Calibri" w:eastAsia="Calibri" w:hAnsi="Calibri" w:cs="Calibri"/>
      <w:b/>
      <w:sz w:val="72"/>
      <w:szCs w:val="7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7432</Words>
  <Characters>42365</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Williams (1807253)</dc:creator>
  <cp:keywords/>
  <dc:description/>
  <cp:lastModifiedBy>Gemma Williams (1807253)</cp:lastModifiedBy>
  <cp:revision>2</cp:revision>
  <dcterms:created xsi:type="dcterms:W3CDTF">2019-05-13T22:59:00Z</dcterms:created>
  <dcterms:modified xsi:type="dcterms:W3CDTF">2019-05-13T22:59:00Z</dcterms:modified>
</cp:coreProperties>
</file>