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6C12" w:rsidRPr="00786C12" w:rsidRDefault="00786C12" w:rsidP="00786C12">
      <w:pPr>
        <w:spacing w:before="0" w:after="200" w:line="276" w:lineRule="auto"/>
        <w:jc w:val="center"/>
        <w:rPr>
          <w:b/>
          <w:bCs/>
          <w:lang w:val="en-GB"/>
        </w:rPr>
      </w:pPr>
      <w:r w:rsidRPr="00786C12">
        <w:rPr>
          <w:b/>
          <w:bCs/>
          <w:noProof/>
          <w:lang w:val="en-GB" w:eastAsia="en-GB"/>
        </w:rPr>
        <w:drawing>
          <wp:inline distT="0" distB="0" distL="0" distR="0" wp14:anchorId="1118CA7C" wp14:editId="7F1CB310">
            <wp:extent cx="3858895" cy="1718875"/>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0982" cy="1724259"/>
                    </a:xfrm>
                    <a:prstGeom prst="rect">
                      <a:avLst/>
                    </a:prstGeom>
                    <a:noFill/>
                  </pic:spPr>
                </pic:pic>
              </a:graphicData>
            </a:graphic>
          </wp:inline>
        </w:drawing>
      </w:r>
    </w:p>
    <w:p w:rsidR="00786C12" w:rsidRPr="00786C12" w:rsidRDefault="00786C12" w:rsidP="00786C12">
      <w:pPr>
        <w:spacing w:before="0" w:after="200" w:line="276" w:lineRule="auto"/>
        <w:jc w:val="center"/>
        <w:rPr>
          <w:b/>
          <w:bCs/>
          <w:lang w:val="en-GB"/>
        </w:rPr>
      </w:pPr>
      <w:r w:rsidRPr="00786C12">
        <w:rPr>
          <w:b/>
          <w:bCs/>
          <w:lang w:val="en-GB"/>
        </w:rPr>
        <w:t>Programme: Master of Business Administration</w:t>
      </w:r>
    </w:p>
    <w:p w:rsidR="00786C12" w:rsidRPr="00786C12" w:rsidRDefault="00786C12" w:rsidP="00786C12">
      <w:pPr>
        <w:spacing w:before="0" w:after="200" w:line="276" w:lineRule="auto"/>
        <w:jc w:val="center"/>
        <w:rPr>
          <w:b/>
          <w:lang w:val="en-GB"/>
        </w:rPr>
      </w:pPr>
      <w:r w:rsidRPr="00786C12">
        <w:rPr>
          <w:b/>
          <w:bCs/>
          <w:lang w:val="en-GB"/>
        </w:rPr>
        <w:t>Module Code:</w:t>
      </w:r>
      <w:r w:rsidRPr="00786C12">
        <w:rPr>
          <w:lang w:val="en-GB"/>
        </w:rPr>
        <w:t xml:space="preserve"> </w:t>
      </w:r>
      <w:r w:rsidR="00D45A08" w:rsidRPr="00D45A08">
        <w:rPr>
          <w:b/>
          <w:lang w:val="en-GB"/>
        </w:rPr>
        <w:t>LCMB7002</w:t>
      </w:r>
    </w:p>
    <w:p w:rsidR="00786C12" w:rsidRPr="00786C12" w:rsidRDefault="00786C12" w:rsidP="00786C12">
      <w:pPr>
        <w:spacing w:before="0" w:after="200" w:line="276" w:lineRule="auto"/>
        <w:jc w:val="center"/>
        <w:rPr>
          <w:b/>
          <w:lang w:val="en-GB"/>
        </w:rPr>
      </w:pPr>
      <w:r w:rsidRPr="00786C12">
        <w:rPr>
          <w:b/>
          <w:lang w:val="en-GB"/>
        </w:rPr>
        <w:t xml:space="preserve">Module: Financial Management </w:t>
      </w:r>
    </w:p>
    <w:p w:rsidR="00786C12" w:rsidRPr="00786C12" w:rsidRDefault="00786C12" w:rsidP="00786C12">
      <w:pPr>
        <w:spacing w:before="0" w:after="200" w:line="276" w:lineRule="auto"/>
        <w:jc w:val="center"/>
        <w:rPr>
          <w:b/>
          <w:lang w:val="en-GB"/>
        </w:rPr>
      </w:pPr>
      <w:r w:rsidRPr="00786C12">
        <w:rPr>
          <w:b/>
          <w:lang w:val="en-GB"/>
        </w:rPr>
        <w:t xml:space="preserve">Lecturer: </w:t>
      </w:r>
      <w:proofErr w:type="spellStart"/>
      <w:r w:rsidR="00D45A08" w:rsidRPr="00D45A08">
        <w:rPr>
          <w:b/>
          <w:lang w:val="en-GB"/>
        </w:rPr>
        <w:t>Shengfeng</w:t>
      </w:r>
      <w:proofErr w:type="spellEnd"/>
      <w:r w:rsidR="00D45A08" w:rsidRPr="00D45A08">
        <w:rPr>
          <w:b/>
          <w:lang w:val="en-GB"/>
        </w:rPr>
        <w:t xml:space="preserve"> Mei (London) </w:t>
      </w:r>
    </w:p>
    <w:p w:rsidR="00786C12" w:rsidRDefault="00E006B8" w:rsidP="00E006B8">
      <w:pPr>
        <w:spacing w:before="0" w:after="200" w:line="276" w:lineRule="auto"/>
        <w:jc w:val="center"/>
        <w:rPr>
          <w:b/>
          <w:lang w:val="en-GB"/>
        </w:rPr>
      </w:pPr>
      <w:r>
        <w:rPr>
          <w:b/>
          <w:lang w:val="en-GB"/>
        </w:rPr>
        <w:t xml:space="preserve">Assignment Title: </w:t>
      </w:r>
      <w:r w:rsidR="00D45A08">
        <w:rPr>
          <w:b/>
          <w:lang w:val="en-GB"/>
        </w:rPr>
        <w:t xml:space="preserve">Financial performance and </w:t>
      </w:r>
      <w:r w:rsidR="00D45A08" w:rsidRPr="00D45A08">
        <w:rPr>
          <w:b/>
          <w:lang w:val="en-GB"/>
        </w:rPr>
        <w:t>management</w:t>
      </w:r>
    </w:p>
    <w:p w:rsidR="00D45A08" w:rsidRPr="00786C12" w:rsidRDefault="00D45A08" w:rsidP="00D45A08">
      <w:pPr>
        <w:spacing w:before="0" w:after="200" w:line="276" w:lineRule="auto"/>
        <w:jc w:val="center"/>
        <w:rPr>
          <w:b/>
          <w:lang w:val="en-GB"/>
        </w:rPr>
      </w:pPr>
      <w:r>
        <w:rPr>
          <w:b/>
          <w:lang w:val="en-GB"/>
        </w:rPr>
        <w:t xml:space="preserve">Topic: </w:t>
      </w:r>
      <w:r w:rsidRPr="00D45A08">
        <w:rPr>
          <w:b/>
          <w:lang w:val="en-GB"/>
        </w:rPr>
        <w:t xml:space="preserve">Strategic CFO Challenge: Saving a Failing Global Firm </w:t>
      </w:r>
    </w:p>
    <w:p w:rsidR="00786C12" w:rsidRPr="00786C12" w:rsidRDefault="00786C12" w:rsidP="00786C12">
      <w:pPr>
        <w:spacing w:before="0" w:after="200" w:line="276" w:lineRule="auto"/>
        <w:jc w:val="center"/>
        <w:rPr>
          <w:b/>
          <w:lang w:val="en-GB"/>
        </w:rPr>
      </w:pPr>
      <w:r w:rsidRPr="00786C12">
        <w:rPr>
          <w:b/>
          <w:bCs/>
          <w:lang w:val="en-GB"/>
        </w:rPr>
        <w:t>Student Name: Rabbi Islam</w:t>
      </w:r>
    </w:p>
    <w:p w:rsidR="00786C12" w:rsidRPr="00786C12" w:rsidRDefault="00786C12" w:rsidP="00786C12">
      <w:pPr>
        <w:spacing w:before="0" w:after="200" w:line="276" w:lineRule="auto"/>
        <w:jc w:val="center"/>
        <w:rPr>
          <w:b/>
          <w:bCs/>
          <w:lang w:val="en-GB"/>
        </w:rPr>
      </w:pPr>
      <w:r w:rsidRPr="00786C12">
        <w:rPr>
          <w:b/>
          <w:bCs/>
          <w:lang w:val="en-GB"/>
        </w:rPr>
        <w:t>Student ID:</w:t>
      </w:r>
      <w:r w:rsidRPr="00786C12">
        <w:rPr>
          <w:lang w:val="en-GB"/>
        </w:rPr>
        <w:t xml:space="preserve"> </w:t>
      </w:r>
      <w:r w:rsidRPr="00786C12">
        <w:rPr>
          <w:b/>
          <w:lang w:val="en-GB"/>
        </w:rPr>
        <w:t>2504996</w:t>
      </w:r>
    </w:p>
    <w:p w:rsidR="00FD22AD" w:rsidRDefault="00786C12" w:rsidP="00786C12">
      <w:pPr>
        <w:spacing w:before="0" w:after="200" w:line="276" w:lineRule="auto"/>
        <w:jc w:val="center"/>
        <w:rPr>
          <w:b/>
          <w:bCs/>
          <w:lang w:val="en-GB"/>
        </w:rPr>
      </w:pPr>
      <w:r w:rsidRPr="00786C12">
        <w:rPr>
          <w:b/>
          <w:bCs/>
          <w:lang w:val="en-GB"/>
        </w:rPr>
        <w:t xml:space="preserve">Word Count: </w:t>
      </w:r>
      <w:r w:rsidR="00E006B8">
        <w:rPr>
          <w:b/>
          <w:bCs/>
          <w:lang w:val="en-GB"/>
        </w:rPr>
        <w:t>5416</w:t>
      </w:r>
    </w:p>
    <w:p w:rsidR="00FD22AD" w:rsidRDefault="00FD22AD">
      <w:pPr>
        <w:spacing w:before="0" w:after="200" w:line="276" w:lineRule="auto"/>
        <w:jc w:val="left"/>
        <w:rPr>
          <w:b/>
          <w:bCs/>
          <w:lang w:val="en-GB"/>
        </w:rPr>
      </w:pPr>
      <w:r>
        <w:rPr>
          <w:b/>
          <w:bCs/>
          <w:lang w:val="en-GB"/>
        </w:rPr>
        <w:br w:type="page"/>
      </w:r>
    </w:p>
    <w:sdt>
      <w:sdtPr>
        <w:rPr>
          <w:rFonts w:ascii="Arial" w:eastAsiaTheme="minorEastAsia" w:hAnsi="Arial" w:cstheme="minorBidi"/>
          <w:color w:val="auto"/>
          <w:sz w:val="24"/>
          <w:szCs w:val="22"/>
        </w:rPr>
        <w:id w:val="-581306147"/>
        <w:docPartObj>
          <w:docPartGallery w:val="Table of Contents"/>
          <w:docPartUnique/>
        </w:docPartObj>
      </w:sdtPr>
      <w:sdtEndPr>
        <w:rPr>
          <w:b/>
          <w:bCs/>
          <w:noProof/>
        </w:rPr>
      </w:sdtEndPr>
      <w:sdtContent>
        <w:p w:rsidR="00FD22AD" w:rsidRDefault="00FD22AD">
          <w:pPr>
            <w:pStyle w:val="TOCHeading"/>
          </w:pPr>
          <w:r>
            <w:t>Table of Contents</w:t>
          </w:r>
        </w:p>
        <w:p w:rsidR="006E642D" w:rsidRDefault="00FD22AD">
          <w:pPr>
            <w:pStyle w:val="TOC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bookmarkStart w:id="0" w:name="_GoBack"/>
          <w:bookmarkEnd w:id="0"/>
          <w:r w:rsidR="006E642D" w:rsidRPr="00BD414E">
            <w:rPr>
              <w:rStyle w:val="Hyperlink"/>
              <w:noProof/>
            </w:rPr>
            <w:fldChar w:fldCharType="begin"/>
          </w:r>
          <w:r w:rsidR="006E642D" w:rsidRPr="00BD414E">
            <w:rPr>
              <w:rStyle w:val="Hyperlink"/>
              <w:noProof/>
            </w:rPr>
            <w:instrText xml:space="preserve"> </w:instrText>
          </w:r>
          <w:r w:rsidR="006E642D">
            <w:rPr>
              <w:noProof/>
            </w:rPr>
            <w:instrText>HYPERLINK \l "_Toc217278169"</w:instrText>
          </w:r>
          <w:r w:rsidR="006E642D" w:rsidRPr="00BD414E">
            <w:rPr>
              <w:rStyle w:val="Hyperlink"/>
              <w:noProof/>
            </w:rPr>
            <w:instrText xml:space="preserve"> </w:instrText>
          </w:r>
          <w:r w:rsidR="006E642D" w:rsidRPr="00BD414E">
            <w:rPr>
              <w:rStyle w:val="Hyperlink"/>
              <w:noProof/>
            </w:rPr>
          </w:r>
          <w:r w:rsidR="006E642D" w:rsidRPr="00BD414E">
            <w:rPr>
              <w:rStyle w:val="Hyperlink"/>
              <w:noProof/>
            </w:rPr>
            <w:fldChar w:fldCharType="separate"/>
          </w:r>
          <w:r w:rsidR="006E642D" w:rsidRPr="00BD414E">
            <w:rPr>
              <w:rStyle w:val="Hyperlink"/>
              <w:noProof/>
            </w:rPr>
            <w:t>Introduction</w:t>
          </w:r>
          <w:r w:rsidR="006E642D">
            <w:rPr>
              <w:noProof/>
              <w:webHidden/>
            </w:rPr>
            <w:tab/>
          </w:r>
          <w:r w:rsidR="006E642D">
            <w:rPr>
              <w:noProof/>
              <w:webHidden/>
            </w:rPr>
            <w:fldChar w:fldCharType="begin"/>
          </w:r>
          <w:r w:rsidR="006E642D">
            <w:rPr>
              <w:noProof/>
              <w:webHidden/>
            </w:rPr>
            <w:instrText xml:space="preserve"> PAGEREF _Toc217278169 \h </w:instrText>
          </w:r>
          <w:r w:rsidR="006E642D">
            <w:rPr>
              <w:noProof/>
              <w:webHidden/>
            </w:rPr>
          </w:r>
          <w:r w:rsidR="006E642D">
            <w:rPr>
              <w:noProof/>
              <w:webHidden/>
            </w:rPr>
            <w:fldChar w:fldCharType="separate"/>
          </w:r>
          <w:r w:rsidR="006E642D">
            <w:rPr>
              <w:noProof/>
              <w:webHidden/>
            </w:rPr>
            <w:t>4</w:t>
          </w:r>
          <w:r w:rsidR="006E642D">
            <w:rPr>
              <w:noProof/>
              <w:webHidden/>
            </w:rPr>
            <w:fldChar w:fldCharType="end"/>
          </w:r>
          <w:r w:rsidR="006E642D" w:rsidRPr="00BD414E">
            <w:rPr>
              <w:rStyle w:val="Hyperlink"/>
              <w:noProof/>
            </w:rPr>
            <w:fldChar w:fldCharType="end"/>
          </w:r>
        </w:p>
        <w:p w:rsidR="006E642D" w:rsidRDefault="006E642D">
          <w:pPr>
            <w:pStyle w:val="TOC1"/>
            <w:tabs>
              <w:tab w:val="right" w:leader="dot" w:pos="9350"/>
            </w:tabs>
            <w:rPr>
              <w:rFonts w:asciiTheme="minorHAnsi" w:hAnsiTheme="minorHAnsi"/>
              <w:noProof/>
              <w:sz w:val="22"/>
              <w:lang w:val="en-GB" w:eastAsia="en-GB"/>
            </w:rPr>
          </w:pPr>
          <w:hyperlink w:anchor="_Toc217278170" w:history="1">
            <w:r w:rsidRPr="00BD414E">
              <w:rPr>
                <w:rStyle w:val="Hyperlink"/>
                <w:noProof/>
              </w:rPr>
              <w:t>1. Financial Health Assessment</w:t>
            </w:r>
            <w:r>
              <w:rPr>
                <w:noProof/>
                <w:webHidden/>
              </w:rPr>
              <w:tab/>
            </w:r>
            <w:r>
              <w:rPr>
                <w:noProof/>
                <w:webHidden/>
              </w:rPr>
              <w:fldChar w:fldCharType="begin"/>
            </w:r>
            <w:r>
              <w:rPr>
                <w:noProof/>
                <w:webHidden/>
              </w:rPr>
              <w:instrText xml:space="preserve"> PAGEREF _Toc217278170 \h </w:instrText>
            </w:r>
            <w:r>
              <w:rPr>
                <w:noProof/>
                <w:webHidden/>
              </w:rPr>
            </w:r>
            <w:r>
              <w:rPr>
                <w:noProof/>
                <w:webHidden/>
              </w:rPr>
              <w:fldChar w:fldCharType="separate"/>
            </w:r>
            <w:r>
              <w:rPr>
                <w:noProof/>
                <w:webHidden/>
              </w:rPr>
              <w:t>4</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71" w:history="1">
            <w:r w:rsidRPr="00BD414E">
              <w:rPr>
                <w:rStyle w:val="Hyperlink"/>
                <w:noProof/>
              </w:rPr>
              <w:t>1.1 Profitability Ratios</w:t>
            </w:r>
            <w:r>
              <w:rPr>
                <w:noProof/>
                <w:webHidden/>
              </w:rPr>
              <w:tab/>
            </w:r>
            <w:r>
              <w:rPr>
                <w:noProof/>
                <w:webHidden/>
              </w:rPr>
              <w:fldChar w:fldCharType="begin"/>
            </w:r>
            <w:r>
              <w:rPr>
                <w:noProof/>
                <w:webHidden/>
              </w:rPr>
              <w:instrText xml:space="preserve"> PAGEREF _Toc217278171 \h </w:instrText>
            </w:r>
            <w:r>
              <w:rPr>
                <w:noProof/>
                <w:webHidden/>
              </w:rPr>
            </w:r>
            <w:r>
              <w:rPr>
                <w:noProof/>
                <w:webHidden/>
              </w:rPr>
              <w:fldChar w:fldCharType="separate"/>
            </w:r>
            <w:r>
              <w:rPr>
                <w:noProof/>
                <w:webHidden/>
              </w:rPr>
              <w:t>5</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72" w:history="1">
            <w:r w:rsidRPr="00BD414E">
              <w:rPr>
                <w:rStyle w:val="Hyperlink"/>
                <w:noProof/>
              </w:rPr>
              <w:t>1.2 Liquidity and Short-Term Solvency</w:t>
            </w:r>
            <w:r>
              <w:rPr>
                <w:noProof/>
                <w:webHidden/>
              </w:rPr>
              <w:tab/>
            </w:r>
            <w:r>
              <w:rPr>
                <w:noProof/>
                <w:webHidden/>
              </w:rPr>
              <w:fldChar w:fldCharType="begin"/>
            </w:r>
            <w:r>
              <w:rPr>
                <w:noProof/>
                <w:webHidden/>
              </w:rPr>
              <w:instrText xml:space="preserve"> PAGEREF _Toc217278172 \h </w:instrText>
            </w:r>
            <w:r>
              <w:rPr>
                <w:noProof/>
                <w:webHidden/>
              </w:rPr>
            </w:r>
            <w:r>
              <w:rPr>
                <w:noProof/>
                <w:webHidden/>
              </w:rPr>
              <w:fldChar w:fldCharType="separate"/>
            </w:r>
            <w:r>
              <w:rPr>
                <w:noProof/>
                <w:webHidden/>
              </w:rPr>
              <w:t>5</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73" w:history="1">
            <w:r w:rsidRPr="00BD414E">
              <w:rPr>
                <w:rStyle w:val="Hyperlink"/>
                <w:noProof/>
              </w:rPr>
              <w:t>1.3 Efficiency and Working Capital Performance</w:t>
            </w:r>
            <w:r>
              <w:rPr>
                <w:noProof/>
                <w:webHidden/>
              </w:rPr>
              <w:tab/>
            </w:r>
            <w:r>
              <w:rPr>
                <w:noProof/>
                <w:webHidden/>
              </w:rPr>
              <w:fldChar w:fldCharType="begin"/>
            </w:r>
            <w:r>
              <w:rPr>
                <w:noProof/>
                <w:webHidden/>
              </w:rPr>
              <w:instrText xml:space="preserve"> PAGEREF _Toc217278173 \h </w:instrText>
            </w:r>
            <w:r>
              <w:rPr>
                <w:noProof/>
                <w:webHidden/>
              </w:rPr>
            </w:r>
            <w:r>
              <w:rPr>
                <w:noProof/>
                <w:webHidden/>
              </w:rPr>
              <w:fldChar w:fldCharType="separate"/>
            </w:r>
            <w:r>
              <w:rPr>
                <w:noProof/>
                <w:webHidden/>
              </w:rPr>
              <w:t>6</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74" w:history="1">
            <w:r w:rsidRPr="00BD414E">
              <w:rPr>
                <w:rStyle w:val="Hyperlink"/>
                <w:noProof/>
              </w:rPr>
              <w:t>1.4 Capital Structure and Long-Term Solvency</w:t>
            </w:r>
            <w:r>
              <w:rPr>
                <w:noProof/>
                <w:webHidden/>
              </w:rPr>
              <w:tab/>
            </w:r>
            <w:r>
              <w:rPr>
                <w:noProof/>
                <w:webHidden/>
              </w:rPr>
              <w:fldChar w:fldCharType="begin"/>
            </w:r>
            <w:r>
              <w:rPr>
                <w:noProof/>
                <w:webHidden/>
              </w:rPr>
              <w:instrText xml:space="preserve"> PAGEREF _Toc217278174 \h </w:instrText>
            </w:r>
            <w:r>
              <w:rPr>
                <w:noProof/>
                <w:webHidden/>
              </w:rPr>
            </w:r>
            <w:r>
              <w:rPr>
                <w:noProof/>
                <w:webHidden/>
              </w:rPr>
              <w:fldChar w:fldCharType="separate"/>
            </w:r>
            <w:r>
              <w:rPr>
                <w:noProof/>
                <w:webHidden/>
              </w:rPr>
              <w:t>7</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75" w:history="1">
            <w:r w:rsidRPr="00BD414E">
              <w:rPr>
                <w:rStyle w:val="Hyperlink"/>
                <w:noProof/>
              </w:rPr>
              <w:t>1.5 Cash Flow Strength Indicators</w:t>
            </w:r>
            <w:r>
              <w:rPr>
                <w:noProof/>
                <w:webHidden/>
              </w:rPr>
              <w:tab/>
            </w:r>
            <w:r>
              <w:rPr>
                <w:noProof/>
                <w:webHidden/>
              </w:rPr>
              <w:fldChar w:fldCharType="begin"/>
            </w:r>
            <w:r>
              <w:rPr>
                <w:noProof/>
                <w:webHidden/>
              </w:rPr>
              <w:instrText xml:space="preserve"> PAGEREF _Toc217278175 \h </w:instrText>
            </w:r>
            <w:r>
              <w:rPr>
                <w:noProof/>
                <w:webHidden/>
              </w:rPr>
            </w:r>
            <w:r>
              <w:rPr>
                <w:noProof/>
                <w:webHidden/>
              </w:rPr>
              <w:fldChar w:fldCharType="separate"/>
            </w:r>
            <w:r>
              <w:rPr>
                <w:noProof/>
                <w:webHidden/>
              </w:rPr>
              <w:t>7</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76" w:history="1">
            <w:r w:rsidRPr="00BD414E">
              <w:rPr>
                <w:rStyle w:val="Hyperlink"/>
                <w:noProof/>
              </w:rPr>
              <w:t>1.6 Corporate Failure Risk - Altman Z Application</w:t>
            </w:r>
            <w:r>
              <w:rPr>
                <w:noProof/>
                <w:webHidden/>
              </w:rPr>
              <w:tab/>
            </w:r>
            <w:r>
              <w:rPr>
                <w:noProof/>
                <w:webHidden/>
              </w:rPr>
              <w:fldChar w:fldCharType="begin"/>
            </w:r>
            <w:r>
              <w:rPr>
                <w:noProof/>
                <w:webHidden/>
              </w:rPr>
              <w:instrText xml:space="preserve"> PAGEREF _Toc217278176 \h </w:instrText>
            </w:r>
            <w:r>
              <w:rPr>
                <w:noProof/>
                <w:webHidden/>
              </w:rPr>
            </w:r>
            <w:r>
              <w:rPr>
                <w:noProof/>
                <w:webHidden/>
              </w:rPr>
              <w:fldChar w:fldCharType="separate"/>
            </w:r>
            <w:r>
              <w:rPr>
                <w:noProof/>
                <w:webHidden/>
              </w:rPr>
              <w:t>8</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77" w:history="1">
            <w:r w:rsidRPr="00BD414E">
              <w:rPr>
                <w:rStyle w:val="Hyperlink"/>
                <w:noProof/>
              </w:rPr>
              <w:t>1.7 Key Strengths and Threats Summary</w:t>
            </w:r>
            <w:r>
              <w:rPr>
                <w:noProof/>
                <w:webHidden/>
              </w:rPr>
              <w:tab/>
            </w:r>
            <w:r>
              <w:rPr>
                <w:noProof/>
                <w:webHidden/>
              </w:rPr>
              <w:fldChar w:fldCharType="begin"/>
            </w:r>
            <w:r>
              <w:rPr>
                <w:noProof/>
                <w:webHidden/>
              </w:rPr>
              <w:instrText xml:space="preserve"> PAGEREF _Toc217278177 \h </w:instrText>
            </w:r>
            <w:r>
              <w:rPr>
                <w:noProof/>
                <w:webHidden/>
              </w:rPr>
            </w:r>
            <w:r>
              <w:rPr>
                <w:noProof/>
                <w:webHidden/>
              </w:rPr>
              <w:fldChar w:fldCharType="separate"/>
            </w:r>
            <w:r>
              <w:rPr>
                <w:noProof/>
                <w:webHidden/>
              </w:rPr>
              <w:t>8</w:t>
            </w:r>
            <w:r>
              <w:rPr>
                <w:noProof/>
                <w:webHidden/>
              </w:rPr>
              <w:fldChar w:fldCharType="end"/>
            </w:r>
          </w:hyperlink>
        </w:p>
        <w:p w:rsidR="006E642D" w:rsidRDefault="006E642D">
          <w:pPr>
            <w:pStyle w:val="TOC1"/>
            <w:tabs>
              <w:tab w:val="right" w:leader="dot" w:pos="9350"/>
            </w:tabs>
            <w:rPr>
              <w:rFonts w:asciiTheme="minorHAnsi" w:hAnsiTheme="minorHAnsi"/>
              <w:noProof/>
              <w:sz w:val="22"/>
              <w:lang w:val="en-GB" w:eastAsia="en-GB"/>
            </w:rPr>
          </w:pPr>
          <w:hyperlink w:anchor="_Toc217278178" w:history="1">
            <w:r w:rsidRPr="00BD414E">
              <w:rPr>
                <w:rStyle w:val="Hyperlink"/>
                <w:noProof/>
              </w:rPr>
              <w:t>2. Working Capital and Liquidity Management Evaluation</w:t>
            </w:r>
            <w:r>
              <w:rPr>
                <w:noProof/>
                <w:webHidden/>
              </w:rPr>
              <w:tab/>
            </w:r>
            <w:r>
              <w:rPr>
                <w:noProof/>
                <w:webHidden/>
              </w:rPr>
              <w:fldChar w:fldCharType="begin"/>
            </w:r>
            <w:r>
              <w:rPr>
                <w:noProof/>
                <w:webHidden/>
              </w:rPr>
              <w:instrText xml:space="preserve"> PAGEREF _Toc217278178 \h </w:instrText>
            </w:r>
            <w:r>
              <w:rPr>
                <w:noProof/>
                <w:webHidden/>
              </w:rPr>
            </w:r>
            <w:r>
              <w:rPr>
                <w:noProof/>
                <w:webHidden/>
              </w:rPr>
              <w:fldChar w:fldCharType="separate"/>
            </w:r>
            <w:r>
              <w:rPr>
                <w:noProof/>
                <w:webHidden/>
              </w:rPr>
              <w:t>8</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79" w:history="1">
            <w:r w:rsidRPr="00BD414E">
              <w:rPr>
                <w:rStyle w:val="Hyperlink"/>
                <w:noProof/>
              </w:rPr>
              <w:t>2.1 Cash Operating Cycle Analysis</w:t>
            </w:r>
            <w:r>
              <w:rPr>
                <w:noProof/>
                <w:webHidden/>
              </w:rPr>
              <w:tab/>
            </w:r>
            <w:r>
              <w:rPr>
                <w:noProof/>
                <w:webHidden/>
              </w:rPr>
              <w:fldChar w:fldCharType="begin"/>
            </w:r>
            <w:r>
              <w:rPr>
                <w:noProof/>
                <w:webHidden/>
              </w:rPr>
              <w:instrText xml:space="preserve"> PAGEREF _Toc217278179 \h </w:instrText>
            </w:r>
            <w:r>
              <w:rPr>
                <w:noProof/>
                <w:webHidden/>
              </w:rPr>
            </w:r>
            <w:r>
              <w:rPr>
                <w:noProof/>
                <w:webHidden/>
              </w:rPr>
              <w:fldChar w:fldCharType="separate"/>
            </w:r>
            <w:r>
              <w:rPr>
                <w:noProof/>
                <w:webHidden/>
              </w:rPr>
              <w:t>9</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80" w:history="1">
            <w:r w:rsidRPr="00BD414E">
              <w:rPr>
                <w:rStyle w:val="Hyperlink"/>
                <w:noProof/>
              </w:rPr>
              <w:t>2.2 Causes of Cash Pressure</w:t>
            </w:r>
            <w:r>
              <w:rPr>
                <w:noProof/>
                <w:webHidden/>
              </w:rPr>
              <w:tab/>
            </w:r>
            <w:r>
              <w:rPr>
                <w:noProof/>
                <w:webHidden/>
              </w:rPr>
              <w:fldChar w:fldCharType="begin"/>
            </w:r>
            <w:r>
              <w:rPr>
                <w:noProof/>
                <w:webHidden/>
              </w:rPr>
              <w:instrText xml:space="preserve"> PAGEREF _Toc217278180 \h </w:instrText>
            </w:r>
            <w:r>
              <w:rPr>
                <w:noProof/>
                <w:webHidden/>
              </w:rPr>
            </w:r>
            <w:r>
              <w:rPr>
                <w:noProof/>
                <w:webHidden/>
              </w:rPr>
              <w:fldChar w:fldCharType="separate"/>
            </w:r>
            <w:r>
              <w:rPr>
                <w:noProof/>
                <w:webHidden/>
              </w:rPr>
              <w:t>9</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81" w:history="1">
            <w:r w:rsidRPr="00BD414E">
              <w:rPr>
                <w:rStyle w:val="Hyperlink"/>
                <w:noProof/>
              </w:rPr>
              <w:t>2.3 Liquidity Improvement Strategy</w:t>
            </w:r>
            <w:r>
              <w:rPr>
                <w:noProof/>
                <w:webHidden/>
              </w:rPr>
              <w:tab/>
            </w:r>
            <w:r>
              <w:rPr>
                <w:noProof/>
                <w:webHidden/>
              </w:rPr>
              <w:fldChar w:fldCharType="begin"/>
            </w:r>
            <w:r>
              <w:rPr>
                <w:noProof/>
                <w:webHidden/>
              </w:rPr>
              <w:instrText xml:space="preserve"> PAGEREF _Toc217278181 \h </w:instrText>
            </w:r>
            <w:r>
              <w:rPr>
                <w:noProof/>
                <w:webHidden/>
              </w:rPr>
            </w:r>
            <w:r>
              <w:rPr>
                <w:noProof/>
                <w:webHidden/>
              </w:rPr>
              <w:fldChar w:fldCharType="separate"/>
            </w:r>
            <w:r>
              <w:rPr>
                <w:noProof/>
                <w:webHidden/>
              </w:rPr>
              <w:t>10</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82" w:history="1">
            <w:r w:rsidRPr="00BD414E">
              <w:rPr>
                <w:rStyle w:val="Hyperlink"/>
                <w:noProof/>
              </w:rPr>
              <w:t>2.4 Financing Pathway: Short vs Long-term Instruments</w:t>
            </w:r>
            <w:r>
              <w:rPr>
                <w:noProof/>
                <w:webHidden/>
              </w:rPr>
              <w:tab/>
            </w:r>
            <w:r>
              <w:rPr>
                <w:noProof/>
                <w:webHidden/>
              </w:rPr>
              <w:fldChar w:fldCharType="begin"/>
            </w:r>
            <w:r>
              <w:rPr>
                <w:noProof/>
                <w:webHidden/>
              </w:rPr>
              <w:instrText xml:space="preserve"> PAGEREF _Toc217278182 \h </w:instrText>
            </w:r>
            <w:r>
              <w:rPr>
                <w:noProof/>
                <w:webHidden/>
              </w:rPr>
            </w:r>
            <w:r>
              <w:rPr>
                <w:noProof/>
                <w:webHidden/>
              </w:rPr>
              <w:fldChar w:fldCharType="separate"/>
            </w:r>
            <w:r>
              <w:rPr>
                <w:noProof/>
                <w:webHidden/>
              </w:rPr>
              <w:t>11</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83" w:history="1">
            <w:r w:rsidRPr="00BD414E">
              <w:rPr>
                <w:rStyle w:val="Hyperlink"/>
                <w:noProof/>
              </w:rPr>
              <w:t>2.5 Evaluation and Implications.</w:t>
            </w:r>
            <w:r>
              <w:rPr>
                <w:noProof/>
                <w:webHidden/>
              </w:rPr>
              <w:tab/>
            </w:r>
            <w:r>
              <w:rPr>
                <w:noProof/>
                <w:webHidden/>
              </w:rPr>
              <w:fldChar w:fldCharType="begin"/>
            </w:r>
            <w:r>
              <w:rPr>
                <w:noProof/>
                <w:webHidden/>
              </w:rPr>
              <w:instrText xml:space="preserve"> PAGEREF _Toc217278183 \h </w:instrText>
            </w:r>
            <w:r>
              <w:rPr>
                <w:noProof/>
                <w:webHidden/>
              </w:rPr>
            </w:r>
            <w:r>
              <w:rPr>
                <w:noProof/>
                <w:webHidden/>
              </w:rPr>
              <w:fldChar w:fldCharType="separate"/>
            </w:r>
            <w:r>
              <w:rPr>
                <w:noProof/>
                <w:webHidden/>
              </w:rPr>
              <w:t>11</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84" w:history="1">
            <w:r w:rsidRPr="00BD414E">
              <w:rPr>
                <w:rStyle w:val="Hyperlink"/>
                <w:noProof/>
              </w:rPr>
              <w:t>Section Summary</w:t>
            </w:r>
            <w:r>
              <w:rPr>
                <w:noProof/>
                <w:webHidden/>
              </w:rPr>
              <w:tab/>
            </w:r>
            <w:r>
              <w:rPr>
                <w:noProof/>
                <w:webHidden/>
              </w:rPr>
              <w:fldChar w:fldCharType="begin"/>
            </w:r>
            <w:r>
              <w:rPr>
                <w:noProof/>
                <w:webHidden/>
              </w:rPr>
              <w:instrText xml:space="preserve"> PAGEREF _Toc217278184 \h </w:instrText>
            </w:r>
            <w:r>
              <w:rPr>
                <w:noProof/>
                <w:webHidden/>
              </w:rPr>
            </w:r>
            <w:r>
              <w:rPr>
                <w:noProof/>
                <w:webHidden/>
              </w:rPr>
              <w:fldChar w:fldCharType="separate"/>
            </w:r>
            <w:r>
              <w:rPr>
                <w:noProof/>
                <w:webHidden/>
              </w:rPr>
              <w:t>12</w:t>
            </w:r>
            <w:r>
              <w:rPr>
                <w:noProof/>
                <w:webHidden/>
              </w:rPr>
              <w:fldChar w:fldCharType="end"/>
            </w:r>
          </w:hyperlink>
        </w:p>
        <w:p w:rsidR="006E642D" w:rsidRDefault="006E642D">
          <w:pPr>
            <w:pStyle w:val="TOC1"/>
            <w:tabs>
              <w:tab w:val="right" w:leader="dot" w:pos="9350"/>
            </w:tabs>
            <w:rPr>
              <w:rFonts w:asciiTheme="minorHAnsi" w:hAnsiTheme="minorHAnsi"/>
              <w:noProof/>
              <w:sz w:val="22"/>
              <w:lang w:val="en-GB" w:eastAsia="en-GB"/>
            </w:rPr>
          </w:pPr>
          <w:hyperlink w:anchor="_Toc217278185" w:history="1">
            <w:r w:rsidRPr="00BD414E">
              <w:rPr>
                <w:rStyle w:val="Hyperlink"/>
                <w:noProof/>
              </w:rPr>
              <w:t>3. Strategic Restructuring and Financial Reorganisation Plan</w:t>
            </w:r>
            <w:r>
              <w:rPr>
                <w:noProof/>
                <w:webHidden/>
              </w:rPr>
              <w:tab/>
            </w:r>
            <w:r>
              <w:rPr>
                <w:noProof/>
                <w:webHidden/>
              </w:rPr>
              <w:fldChar w:fldCharType="begin"/>
            </w:r>
            <w:r>
              <w:rPr>
                <w:noProof/>
                <w:webHidden/>
              </w:rPr>
              <w:instrText xml:space="preserve"> PAGEREF _Toc217278185 \h </w:instrText>
            </w:r>
            <w:r>
              <w:rPr>
                <w:noProof/>
                <w:webHidden/>
              </w:rPr>
            </w:r>
            <w:r>
              <w:rPr>
                <w:noProof/>
                <w:webHidden/>
              </w:rPr>
              <w:fldChar w:fldCharType="separate"/>
            </w:r>
            <w:r>
              <w:rPr>
                <w:noProof/>
                <w:webHidden/>
              </w:rPr>
              <w:t>12</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86" w:history="1">
            <w:r w:rsidRPr="00BD414E">
              <w:rPr>
                <w:rStyle w:val="Hyperlink"/>
                <w:noProof/>
              </w:rPr>
              <w:t>3.1 Rationale of Restructuring</w:t>
            </w:r>
            <w:r>
              <w:rPr>
                <w:noProof/>
                <w:webHidden/>
              </w:rPr>
              <w:tab/>
            </w:r>
            <w:r>
              <w:rPr>
                <w:noProof/>
                <w:webHidden/>
              </w:rPr>
              <w:fldChar w:fldCharType="begin"/>
            </w:r>
            <w:r>
              <w:rPr>
                <w:noProof/>
                <w:webHidden/>
              </w:rPr>
              <w:instrText xml:space="preserve"> PAGEREF _Toc217278186 \h </w:instrText>
            </w:r>
            <w:r>
              <w:rPr>
                <w:noProof/>
                <w:webHidden/>
              </w:rPr>
            </w:r>
            <w:r>
              <w:rPr>
                <w:noProof/>
                <w:webHidden/>
              </w:rPr>
              <w:fldChar w:fldCharType="separate"/>
            </w:r>
            <w:r>
              <w:rPr>
                <w:noProof/>
                <w:webHidden/>
              </w:rPr>
              <w:t>12</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87" w:history="1">
            <w:r w:rsidRPr="00BD414E">
              <w:rPr>
                <w:rStyle w:val="Hyperlink"/>
                <w:noProof/>
              </w:rPr>
              <w:t>3.2 Release Capital through Asset Divestiture</w:t>
            </w:r>
            <w:r>
              <w:rPr>
                <w:noProof/>
                <w:webHidden/>
              </w:rPr>
              <w:tab/>
            </w:r>
            <w:r>
              <w:rPr>
                <w:noProof/>
                <w:webHidden/>
              </w:rPr>
              <w:fldChar w:fldCharType="begin"/>
            </w:r>
            <w:r>
              <w:rPr>
                <w:noProof/>
                <w:webHidden/>
              </w:rPr>
              <w:instrText xml:space="preserve"> PAGEREF _Toc217278187 \h </w:instrText>
            </w:r>
            <w:r>
              <w:rPr>
                <w:noProof/>
                <w:webHidden/>
              </w:rPr>
            </w:r>
            <w:r>
              <w:rPr>
                <w:noProof/>
                <w:webHidden/>
              </w:rPr>
              <w:fldChar w:fldCharType="separate"/>
            </w:r>
            <w:r>
              <w:rPr>
                <w:noProof/>
                <w:webHidden/>
              </w:rPr>
              <w:t>13</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88" w:history="1">
            <w:r w:rsidRPr="00BD414E">
              <w:rPr>
                <w:rStyle w:val="Hyperlink"/>
                <w:noProof/>
              </w:rPr>
              <w:t>3.3 Debt Restructuring and Covenant Redesign</w:t>
            </w:r>
            <w:r>
              <w:rPr>
                <w:noProof/>
                <w:webHidden/>
              </w:rPr>
              <w:tab/>
            </w:r>
            <w:r>
              <w:rPr>
                <w:noProof/>
                <w:webHidden/>
              </w:rPr>
              <w:fldChar w:fldCharType="begin"/>
            </w:r>
            <w:r>
              <w:rPr>
                <w:noProof/>
                <w:webHidden/>
              </w:rPr>
              <w:instrText xml:space="preserve"> PAGEREF _Toc217278188 \h </w:instrText>
            </w:r>
            <w:r>
              <w:rPr>
                <w:noProof/>
                <w:webHidden/>
              </w:rPr>
            </w:r>
            <w:r>
              <w:rPr>
                <w:noProof/>
                <w:webHidden/>
              </w:rPr>
              <w:fldChar w:fldCharType="separate"/>
            </w:r>
            <w:r>
              <w:rPr>
                <w:noProof/>
                <w:webHidden/>
              </w:rPr>
              <w:t>13</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89" w:history="1">
            <w:r w:rsidRPr="00BD414E">
              <w:rPr>
                <w:rStyle w:val="Hyperlink"/>
                <w:noProof/>
              </w:rPr>
              <w:t>3.4 Solvency Strengthening through Equity Injection</w:t>
            </w:r>
            <w:r>
              <w:rPr>
                <w:noProof/>
                <w:webHidden/>
              </w:rPr>
              <w:tab/>
            </w:r>
            <w:r>
              <w:rPr>
                <w:noProof/>
                <w:webHidden/>
              </w:rPr>
              <w:fldChar w:fldCharType="begin"/>
            </w:r>
            <w:r>
              <w:rPr>
                <w:noProof/>
                <w:webHidden/>
              </w:rPr>
              <w:instrText xml:space="preserve"> PAGEREF _Toc217278189 \h </w:instrText>
            </w:r>
            <w:r>
              <w:rPr>
                <w:noProof/>
                <w:webHidden/>
              </w:rPr>
            </w:r>
            <w:r>
              <w:rPr>
                <w:noProof/>
                <w:webHidden/>
              </w:rPr>
              <w:fldChar w:fldCharType="separate"/>
            </w:r>
            <w:r>
              <w:rPr>
                <w:noProof/>
                <w:webHidden/>
              </w:rPr>
              <w:t>14</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90" w:history="1">
            <w:r w:rsidRPr="00BD414E">
              <w:rPr>
                <w:rStyle w:val="Hyperlink"/>
                <w:noProof/>
              </w:rPr>
              <w:t>3.5 Merger and Acquisition Option</w:t>
            </w:r>
            <w:r>
              <w:rPr>
                <w:noProof/>
                <w:webHidden/>
              </w:rPr>
              <w:tab/>
            </w:r>
            <w:r>
              <w:rPr>
                <w:noProof/>
                <w:webHidden/>
              </w:rPr>
              <w:fldChar w:fldCharType="begin"/>
            </w:r>
            <w:r>
              <w:rPr>
                <w:noProof/>
                <w:webHidden/>
              </w:rPr>
              <w:instrText xml:space="preserve"> PAGEREF _Toc217278190 \h </w:instrText>
            </w:r>
            <w:r>
              <w:rPr>
                <w:noProof/>
                <w:webHidden/>
              </w:rPr>
            </w:r>
            <w:r>
              <w:rPr>
                <w:noProof/>
                <w:webHidden/>
              </w:rPr>
              <w:fldChar w:fldCharType="separate"/>
            </w:r>
            <w:r>
              <w:rPr>
                <w:noProof/>
                <w:webHidden/>
              </w:rPr>
              <w:t>14</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91" w:history="1">
            <w:r w:rsidRPr="00BD414E">
              <w:rPr>
                <w:rStyle w:val="Hyperlink"/>
                <w:noProof/>
              </w:rPr>
              <w:t>3.6 Operational Cost Realignment and Supply Chain Reform</w:t>
            </w:r>
            <w:r>
              <w:rPr>
                <w:noProof/>
                <w:webHidden/>
              </w:rPr>
              <w:tab/>
            </w:r>
            <w:r>
              <w:rPr>
                <w:noProof/>
                <w:webHidden/>
              </w:rPr>
              <w:fldChar w:fldCharType="begin"/>
            </w:r>
            <w:r>
              <w:rPr>
                <w:noProof/>
                <w:webHidden/>
              </w:rPr>
              <w:instrText xml:space="preserve"> PAGEREF _Toc217278191 \h </w:instrText>
            </w:r>
            <w:r>
              <w:rPr>
                <w:noProof/>
                <w:webHidden/>
              </w:rPr>
            </w:r>
            <w:r>
              <w:rPr>
                <w:noProof/>
                <w:webHidden/>
              </w:rPr>
              <w:fldChar w:fldCharType="separate"/>
            </w:r>
            <w:r>
              <w:rPr>
                <w:noProof/>
                <w:webHidden/>
              </w:rPr>
              <w:t>14</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92" w:history="1">
            <w:r w:rsidRPr="00BD414E">
              <w:rPr>
                <w:rStyle w:val="Hyperlink"/>
                <w:noProof/>
              </w:rPr>
              <w:t>3.7 International Financial Considerations</w:t>
            </w:r>
            <w:r>
              <w:rPr>
                <w:noProof/>
                <w:webHidden/>
              </w:rPr>
              <w:tab/>
            </w:r>
            <w:r>
              <w:rPr>
                <w:noProof/>
                <w:webHidden/>
              </w:rPr>
              <w:fldChar w:fldCharType="begin"/>
            </w:r>
            <w:r>
              <w:rPr>
                <w:noProof/>
                <w:webHidden/>
              </w:rPr>
              <w:instrText xml:space="preserve"> PAGEREF _Toc217278192 \h </w:instrText>
            </w:r>
            <w:r>
              <w:rPr>
                <w:noProof/>
                <w:webHidden/>
              </w:rPr>
            </w:r>
            <w:r>
              <w:rPr>
                <w:noProof/>
                <w:webHidden/>
              </w:rPr>
              <w:fldChar w:fldCharType="separate"/>
            </w:r>
            <w:r>
              <w:rPr>
                <w:noProof/>
                <w:webHidden/>
              </w:rPr>
              <w:t>15</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93" w:history="1">
            <w:r w:rsidRPr="00BD414E">
              <w:rPr>
                <w:rStyle w:val="Hyperlink"/>
                <w:noProof/>
              </w:rPr>
              <w:t>3.8 Corporate Governance and Ethical Responsibility.</w:t>
            </w:r>
            <w:r>
              <w:rPr>
                <w:noProof/>
                <w:webHidden/>
              </w:rPr>
              <w:tab/>
            </w:r>
            <w:r>
              <w:rPr>
                <w:noProof/>
                <w:webHidden/>
              </w:rPr>
              <w:fldChar w:fldCharType="begin"/>
            </w:r>
            <w:r>
              <w:rPr>
                <w:noProof/>
                <w:webHidden/>
              </w:rPr>
              <w:instrText xml:space="preserve"> PAGEREF _Toc217278193 \h </w:instrText>
            </w:r>
            <w:r>
              <w:rPr>
                <w:noProof/>
                <w:webHidden/>
              </w:rPr>
            </w:r>
            <w:r>
              <w:rPr>
                <w:noProof/>
                <w:webHidden/>
              </w:rPr>
              <w:fldChar w:fldCharType="separate"/>
            </w:r>
            <w:r>
              <w:rPr>
                <w:noProof/>
                <w:webHidden/>
              </w:rPr>
              <w:t>16</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94" w:history="1">
            <w:r w:rsidRPr="00BD414E">
              <w:rPr>
                <w:rStyle w:val="Hyperlink"/>
                <w:noProof/>
              </w:rPr>
              <w:t>3.9 Expected Effect on Shareholder Value and Risk Profile</w:t>
            </w:r>
            <w:r>
              <w:rPr>
                <w:noProof/>
                <w:webHidden/>
              </w:rPr>
              <w:tab/>
            </w:r>
            <w:r>
              <w:rPr>
                <w:noProof/>
                <w:webHidden/>
              </w:rPr>
              <w:fldChar w:fldCharType="begin"/>
            </w:r>
            <w:r>
              <w:rPr>
                <w:noProof/>
                <w:webHidden/>
              </w:rPr>
              <w:instrText xml:space="preserve"> PAGEREF _Toc217278194 \h </w:instrText>
            </w:r>
            <w:r>
              <w:rPr>
                <w:noProof/>
                <w:webHidden/>
              </w:rPr>
            </w:r>
            <w:r>
              <w:rPr>
                <w:noProof/>
                <w:webHidden/>
              </w:rPr>
              <w:fldChar w:fldCharType="separate"/>
            </w:r>
            <w:r>
              <w:rPr>
                <w:noProof/>
                <w:webHidden/>
              </w:rPr>
              <w:t>16</w:t>
            </w:r>
            <w:r>
              <w:rPr>
                <w:noProof/>
                <w:webHidden/>
              </w:rPr>
              <w:fldChar w:fldCharType="end"/>
            </w:r>
          </w:hyperlink>
        </w:p>
        <w:p w:rsidR="006E642D" w:rsidRDefault="006E642D">
          <w:pPr>
            <w:pStyle w:val="TOC1"/>
            <w:tabs>
              <w:tab w:val="right" w:leader="dot" w:pos="9350"/>
            </w:tabs>
            <w:rPr>
              <w:rFonts w:asciiTheme="minorHAnsi" w:hAnsiTheme="minorHAnsi"/>
              <w:noProof/>
              <w:sz w:val="22"/>
              <w:lang w:val="en-GB" w:eastAsia="en-GB"/>
            </w:rPr>
          </w:pPr>
          <w:hyperlink w:anchor="_Toc217278195" w:history="1">
            <w:r w:rsidRPr="00BD414E">
              <w:rPr>
                <w:rStyle w:val="Hyperlink"/>
                <w:noProof/>
              </w:rPr>
              <w:t>4. Investment Appraisal and Capital Allocation Strategy</w:t>
            </w:r>
            <w:r>
              <w:rPr>
                <w:noProof/>
                <w:webHidden/>
              </w:rPr>
              <w:tab/>
            </w:r>
            <w:r>
              <w:rPr>
                <w:noProof/>
                <w:webHidden/>
              </w:rPr>
              <w:fldChar w:fldCharType="begin"/>
            </w:r>
            <w:r>
              <w:rPr>
                <w:noProof/>
                <w:webHidden/>
              </w:rPr>
              <w:instrText xml:space="preserve"> PAGEREF _Toc217278195 \h </w:instrText>
            </w:r>
            <w:r>
              <w:rPr>
                <w:noProof/>
                <w:webHidden/>
              </w:rPr>
            </w:r>
            <w:r>
              <w:rPr>
                <w:noProof/>
                <w:webHidden/>
              </w:rPr>
              <w:fldChar w:fldCharType="separate"/>
            </w:r>
            <w:r>
              <w:rPr>
                <w:noProof/>
                <w:webHidden/>
              </w:rPr>
              <w:t>16</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96" w:history="1">
            <w:r w:rsidRPr="00BD414E">
              <w:rPr>
                <w:rStyle w:val="Hyperlink"/>
                <w:noProof/>
              </w:rPr>
              <w:t>4.1 Payback Period and Solvency Priorities</w:t>
            </w:r>
            <w:r>
              <w:rPr>
                <w:noProof/>
                <w:webHidden/>
              </w:rPr>
              <w:tab/>
            </w:r>
            <w:r>
              <w:rPr>
                <w:noProof/>
                <w:webHidden/>
              </w:rPr>
              <w:fldChar w:fldCharType="begin"/>
            </w:r>
            <w:r>
              <w:rPr>
                <w:noProof/>
                <w:webHidden/>
              </w:rPr>
              <w:instrText xml:space="preserve"> PAGEREF _Toc217278196 \h </w:instrText>
            </w:r>
            <w:r>
              <w:rPr>
                <w:noProof/>
                <w:webHidden/>
              </w:rPr>
            </w:r>
            <w:r>
              <w:rPr>
                <w:noProof/>
                <w:webHidden/>
              </w:rPr>
              <w:fldChar w:fldCharType="separate"/>
            </w:r>
            <w:r>
              <w:rPr>
                <w:noProof/>
                <w:webHidden/>
              </w:rPr>
              <w:t>17</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97" w:history="1">
            <w:r w:rsidRPr="00BD414E">
              <w:rPr>
                <w:rStyle w:val="Hyperlink"/>
                <w:noProof/>
              </w:rPr>
              <w:t>4.2 Accounting Rate of Return (ARR) and Profitability Signalling</w:t>
            </w:r>
            <w:r>
              <w:rPr>
                <w:noProof/>
                <w:webHidden/>
              </w:rPr>
              <w:tab/>
            </w:r>
            <w:r>
              <w:rPr>
                <w:noProof/>
                <w:webHidden/>
              </w:rPr>
              <w:fldChar w:fldCharType="begin"/>
            </w:r>
            <w:r>
              <w:rPr>
                <w:noProof/>
                <w:webHidden/>
              </w:rPr>
              <w:instrText xml:space="preserve"> PAGEREF _Toc217278197 \h </w:instrText>
            </w:r>
            <w:r>
              <w:rPr>
                <w:noProof/>
                <w:webHidden/>
              </w:rPr>
            </w:r>
            <w:r>
              <w:rPr>
                <w:noProof/>
                <w:webHidden/>
              </w:rPr>
              <w:fldChar w:fldCharType="separate"/>
            </w:r>
            <w:r>
              <w:rPr>
                <w:noProof/>
                <w:webHidden/>
              </w:rPr>
              <w:t>18</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98" w:history="1">
            <w:r w:rsidRPr="00BD414E">
              <w:rPr>
                <w:rStyle w:val="Hyperlink"/>
                <w:noProof/>
              </w:rPr>
              <w:t>4.3 Profitability Index (PI) and Capital Rationing Reason</w:t>
            </w:r>
            <w:r>
              <w:rPr>
                <w:noProof/>
                <w:webHidden/>
              </w:rPr>
              <w:tab/>
            </w:r>
            <w:r>
              <w:rPr>
                <w:noProof/>
                <w:webHidden/>
              </w:rPr>
              <w:fldChar w:fldCharType="begin"/>
            </w:r>
            <w:r>
              <w:rPr>
                <w:noProof/>
                <w:webHidden/>
              </w:rPr>
              <w:instrText xml:space="preserve"> PAGEREF _Toc217278198 \h </w:instrText>
            </w:r>
            <w:r>
              <w:rPr>
                <w:noProof/>
                <w:webHidden/>
              </w:rPr>
            </w:r>
            <w:r>
              <w:rPr>
                <w:noProof/>
                <w:webHidden/>
              </w:rPr>
              <w:fldChar w:fldCharType="separate"/>
            </w:r>
            <w:r>
              <w:rPr>
                <w:noProof/>
                <w:webHidden/>
              </w:rPr>
              <w:t>18</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199" w:history="1">
            <w:r w:rsidRPr="00BD414E">
              <w:rPr>
                <w:rStyle w:val="Hyperlink"/>
                <w:noProof/>
              </w:rPr>
              <w:t>4.4 Net Present Value (NPV) and Shareholder Value Creation</w:t>
            </w:r>
            <w:r>
              <w:rPr>
                <w:noProof/>
                <w:webHidden/>
              </w:rPr>
              <w:tab/>
            </w:r>
            <w:r>
              <w:rPr>
                <w:noProof/>
                <w:webHidden/>
              </w:rPr>
              <w:fldChar w:fldCharType="begin"/>
            </w:r>
            <w:r>
              <w:rPr>
                <w:noProof/>
                <w:webHidden/>
              </w:rPr>
              <w:instrText xml:space="preserve"> PAGEREF _Toc217278199 \h </w:instrText>
            </w:r>
            <w:r>
              <w:rPr>
                <w:noProof/>
                <w:webHidden/>
              </w:rPr>
            </w:r>
            <w:r>
              <w:rPr>
                <w:noProof/>
                <w:webHidden/>
              </w:rPr>
              <w:fldChar w:fldCharType="separate"/>
            </w:r>
            <w:r>
              <w:rPr>
                <w:noProof/>
                <w:webHidden/>
              </w:rPr>
              <w:t>19</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200" w:history="1">
            <w:r w:rsidRPr="00BD414E">
              <w:rPr>
                <w:rStyle w:val="Hyperlink"/>
                <w:noProof/>
              </w:rPr>
              <w:t>4.5 Internal Rate of Return (IRR) and Cost-of-Capital Comparison</w:t>
            </w:r>
            <w:r>
              <w:rPr>
                <w:noProof/>
                <w:webHidden/>
              </w:rPr>
              <w:tab/>
            </w:r>
            <w:r>
              <w:rPr>
                <w:noProof/>
                <w:webHidden/>
              </w:rPr>
              <w:fldChar w:fldCharType="begin"/>
            </w:r>
            <w:r>
              <w:rPr>
                <w:noProof/>
                <w:webHidden/>
              </w:rPr>
              <w:instrText xml:space="preserve"> PAGEREF _Toc217278200 \h </w:instrText>
            </w:r>
            <w:r>
              <w:rPr>
                <w:noProof/>
                <w:webHidden/>
              </w:rPr>
            </w:r>
            <w:r>
              <w:rPr>
                <w:noProof/>
                <w:webHidden/>
              </w:rPr>
              <w:fldChar w:fldCharType="separate"/>
            </w:r>
            <w:r>
              <w:rPr>
                <w:noProof/>
                <w:webHidden/>
              </w:rPr>
              <w:t>19</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201" w:history="1">
            <w:r w:rsidRPr="00BD414E">
              <w:rPr>
                <w:rStyle w:val="Hyperlink"/>
                <w:noProof/>
              </w:rPr>
              <w:t>4.6 Risk, Uncertainty and Cash-Flow Quality Assessment</w:t>
            </w:r>
            <w:r>
              <w:rPr>
                <w:noProof/>
                <w:webHidden/>
              </w:rPr>
              <w:tab/>
            </w:r>
            <w:r>
              <w:rPr>
                <w:noProof/>
                <w:webHidden/>
              </w:rPr>
              <w:fldChar w:fldCharType="begin"/>
            </w:r>
            <w:r>
              <w:rPr>
                <w:noProof/>
                <w:webHidden/>
              </w:rPr>
              <w:instrText xml:space="preserve"> PAGEREF _Toc217278201 \h </w:instrText>
            </w:r>
            <w:r>
              <w:rPr>
                <w:noProof/>
                <w:webHidden/>
              </w:rPr>
            </w:r>
            <w:r>
              <w:rPr>
                <w:noProof/>
                <w:webHidden/>
              </w:rPr>
              <w:fldChar w:fldCharType="separate"/>
            </w:r>
            <w:r>
              <w:rPr>
                <w:noProof/>
                <w:webHidden/>
              </w:rPr>
              <w:t>20</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202" w:history="1">
            <w:r w:rsidRPr="00BD414E">
              <w:rPr>
                <w:rStyle w:val="Hyperlink"/>
                <w:noProof/>
              </w:rPr>
              <w:t>4.7 Strategic Fit, Operational Alignment and Market Relevance</w:t>
            </w:r>
            <w:r>
              <w:rPr>
                <w:noProof/>
                <w:webHidden/>
              </w:rPr>
              <w:tab/>
            </w:r>
            <w:r>
              <w:rPr>
                <w:noProof/>
                <w:webHidden/>
              </w:rPr>
              <w:fldChar w:fldCharType="begin"/>
            </w:r>
            <w:r>
              <w:rPr>
                <w:noProof/>
                <w:webHidden/>
              </w:rPr>
              <w:instrText xml:space="preserve"> PAGEREF _Toc217278202 \h </w:instrText>
            </w:r>
            <w:r>
              <w:rPr>
                <w:noProof/>
                <w:webHidden/>
              </w:rPr>
            </w:r>
            <w:r>
              <w:rPr>
                <w:noProof/>
                <w:webHidden/>
              </w:rPr>
              <w:fldChar w:fldCharType="separate"/>
            </w:r>
            <w:r>
              <w:rPr>
                <w:noProof/>
                <w:webHidden/>
              </w:rPr>
              <w:t>20</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203" w:history="1">
            <w:r w:rsidRPr="00BD414E">
              <w:rPr>
                <w:rStyle w:val="Hyperlink"/>
                <w:noProof/>
              </w:rPr>
              <w:t>4.8 Capital Rationing Outcome and Feasibility Constraints</w:t>
            </w:r>
            <w:r>
              <w:rPr>
                <w:noProof/>
                <w:webHidden/>
              </w:rPr>
              <w:tab/>
            </w:r>
            <w:r>
              <w:rPr>
                <w:noProof/>
                <w:webHidden/>
              </w:rPr>
              <w:fldChar w:fldCharType="begin"/>
            </w:r>
            <w:r>
              <w:rPr>
                <w:noProof/>
                <w:webHidden/>
              </w:rPr>
              <w:instrText xml:space="preserve"> PAGEREF _Toc217278203 \h </w:instrText>
            </w:r>
            <w:r>
              <w:rPr>
                <w:noProof/>
                <w:webHidden/>
              </w:rPr>
            </w:r>
            <w:r>
              <w:rPr>
                <w:noProof/>
                <w:webHidden/>
              </w:rPr>
              <w:fldChar w:fldCharType="separate"/>
            </w:r>
            <w:r>
              <w:rPr>
                <w:noProof/>
                <w:webHidden/>
              </w:rPr>
              <w:t>21</w:t>
            </w:r>
            <w:r>
              <w:rPr>
                <w:noProof/>
                <w:webHidden/>
              </w:rPr>
              <w:fldChar w:fldCharType="end"/>
            </w:r>
          </w:hyperlink>
        </w:p>
        <w:p w:rsidR="006E642D" w:rsidRDefault="006E642D">
          <w:pPr>
            <w:pStyle w:val="TOC2"/>
            <w:tabs>
              <w:tab w:val="right" w:leader="dot" w:pos="9350"/>
            </w:tabs>
            <w:rPr>
              <w:rFonts w:asciiTheme="minorHAnsi" w:hAnsiTheme="minorHAnsi"/>
              <w:noProof/>
              <w:sz w:val="22"/>
              <w:lang w:val="en-GB" w:eastAsia="en-GB"/>
            </w:rPr>
          </w:pPr>
          <w:hyperlink w:anchor="_Toc217278204" w:history="1">
            <w:r w:rsidRPr="00BD414E">
              <w:rPr>
                <w:rStyle w:val="Hyperlink"/>
                <w:noProof/>
              </w:rPr>
              <w:t>4.9 Final Investment Recommendation</w:t>
            </w:r>
            <w:r>
              <w:rPr>
                <w:noProof/>
                <w:webHidden/>
              </w:rPr>
              <w:tab/>
            </w:r>
            <w:r>
              <w:rPr>
                <w:noProof/>
                <w:webHidden/>
              </w:rPr>
              <w:fldChar w:fldCharType="begin"/>
            </w:r>
            <w:r>
              <w:rPr>
                <w:noProof/>
                <w:webHidden/>
              </w:rPr>
              <w:instrText xml:space="preserve"> PAGEREF _Toc217278204 \h </w:instrText>
            </w:r>
            <w:r>
              <w:rPr>
                <w:noProof/>
                <w:webHidden/>
              </w:rPr>
            </w:r>
            <w:r>
              <w:rPr>
                <w:noProof/>
                <w:webHidden/>
              </w:rPr>
              <w:fldChar w:fldCharType="separate"/>
            </w:r>
            <w:r>
              <w:rPr>
                <w:noProof/>
                <w:webHidden/>
              </w:rPr>
              <w:t>21</w:t>
            </w:r>
            <w:r>
              <w:rPr>
                <w:noProof/>
                <w:webHidden/>
              </w:rPr>
              <w:fldChar w:fldCharType="end"/>
            </w:r>
          </w:hyperlink>
        </w:p>
        <w:p w:rsidR="006E642D" w:rsidRDefault="006E642D">
          <w:pPr>
            <w:pStyle w:val="TOC1"/>
            <w:tabs>
              <w:tab w:val="right" w:leader="dot" w:pos="9350"/>
            </w:tabs>
            <w:rPr>
              <w:rFonts w:asciiTheme="minorHAnsi" w:hAnsiTheme="minorHAnsi"/>
              <w:noProof/>
              <w:sz w:val="22"/>
              <w:lang w:val="en-GB" w:eastAsia="en-GB"/>
            </w:rPr>
          </w:pPr>
          <w:hyperlink w:anchor="_Toc217278205" w:history="1">
            <w:r w:rsidRPr="00BD414E">
              <w:rPr>
                <w:rStyle w:val="Hyperlink"/>
                <w:noProof/>
              </w:rPr>
              <w:t>Conclusion</w:t>
            </w:r>
            <w:r>
              <w:rPr>
                <w:noProof/>
                <w:webHidden/>
              </w:rPr>
              <w:tab/>
            </w:r>
            <w:r>
              <w:rPr>
                <w:noProof/>
                <w:webHidden/>
              </w:rPr>
              <w:fldChar w:fldCharType="begin"/>
            </w:r>
            <w:r>
              <w:rPr>
                <w:noProof/>
                <w:webHidden/>
              </w:rPr>
              <w:instrText xml:space="preserve"> PAGEREF _Toc217278205 \h </w:instrText>
            </w:r>
            <w:r>
              <w:rPr>
                <w:noProof/>
                <w:webHidden/>
              </w:rPr>
            </w:r>
            <w:r>
              <w:rPr>
                <w:noProof/>
                <w:webHidden/>
              </w:rPr>
              <w:fldChar w:fldCharType="separate"/>
            </w:r>
            <w:r>
              <w:rPr>
                <w:noProof/>
                <w:webHidden/>
              </w:rPr>
              <w:t>22</w:t>
            </w:r>
            <w:r>
              <w:rPr>
                <w:noProof/>
                <w:webHidden/>
              </w:rPr>
              <w:fldChar w:fldCharType="end"/>
            </w:r>
          </w:hyperlink>
        </w:p>
        <w:p w:rsidR="006E642D" w:rsidRDefault="006E642D">
          <w:pPr>
            <w:pStyle w:val="TOC1"/>
            <w:tabs>
              <w:tab w:val="right" w:leader="dot" w:pos="9350"/>
            </w:tabs>
            <w:rPr>
              <w:rFonts w:asciiTheme="minorHAnsi" w:hAnsiTheme="minorHAnsi"/>
              <w:noProof/>
              <w:sz w:val="22"/>
              <w:lang w:val="en-GB" w:eastAsia="en-GB"/>
            </w:rPr>
          </w:pPr>
          <w:hyperlink w:anchor="_Toc217278206" w:history="1">
            <w:r w:rsidRPr="00BD414E">
              <w:rPr>
                <w:rStyle w:val="Hyperlink"/>
                <w:noProof/>
              </w:rPr>
              <w:t>Reference List</w:t>
            </w:r>
            <w:r>
              <w:rPr>
                <w:noProof/>
                <w:webHidden/>
              </w:rPr>
              <w:tab/>
            </w:r>
            <w:r>
              <w:rPr>
                <w:noProof/>
                <w:webHidden/>
              </w:rPr>
              <w:fldChar w:fldCharType="begin"/>
            </w:r>
            <w:r>
              <w:rPr>
                <w:noProof/>
                <w:webHidden/>
              </w:rPr>
              <w:instrText xml:space="preserve"> PAGEREF _Toc217278206 \h </w:instrText>
            </w:r>
            <w:r>
              <w:rPr>
                <w:noProof/>
                <w:webHidden/>
              </w:rPr>
            </w:r>
            <w:r>
              <w:rPr>
                <w:noProof/>
                <w:webHidden/>
              </w:rPr>
              <w:fldChar w:fldCharType="separate"/>
            </w:r>
            <w:r>
              <w:rPr>
                <w:noProof/>
                <w:webHidden/>
              </w:rPr>
              <w:t>24</w:t>
            </w:r>
            <w:r>
              <w:rPr>
                <w:noProof/>
                <w:webHidden/>
              </w:rPr>
              <w:fldChar w:fldCharType="end"/>
            </w:r>
          </w:hyperlink>
        </w:p>
        <w:p w:rsidR="006E642D" w:rsidRDefault="006E642D">
          <w:pPr>
            <w:pStyle w:val="TOC1"/>
            <w:tabs>
              <w:tab w:val="right" w:leader="dot" w:pos="9350"/>
            </w:tabs>
            <w:rPr>
              <w:rFonts w:asciiTheme="minorHAnsi" w:hAnsiTheme="minorHAnsi"/>
              <w:noProof/>
              <w:sz w:val="22"/>
              <w:lang w:val="en-GB" w:eastAsia="en-GB"/>
            </w:rPr>
          </w:pPr>
          <w:hyperlink w:anchor="_Toc217278207" w:history="1">
            <w:r w:rsidRPr="00BD414E">
              <w:rPr>
                <w:rStyle w:val="Hyperlink"/>
                <w:noProof/>
              </w:rPr>
              <w:t>Appendices</w:t>
            </w:r>
            <w:r>
              <w:rPr>
                <w:noProof/>
                <w:webHidden/>
              </w:rPr>
              <w:tab/>
            </w:r>
            <w:r>
              <w:rPr>
                <w:noProof/>
                <w:webHidden/>
              </w:rPr>
              <w:fldChar w:fldCharType="begin"/>
            </w:r>
            <w:r>
              <w:rPr>
                <w:noProof/>
                <w:webHidden/>
              </w:rPr>
              <w:instrText xml:space="preserve"> PAGEREF _Toc217278207 \h </w:instrText>
            </w:r>
            <w:r>
              <w:rPr>
                <w:noProof/>
                <w:webHidden/>
              </w:rPr>
            </w:r>
            <w:r>
              <w:rPr>
                <w:noProof/>
                <w:webHidden/>
              </w:rPr>
              <w:fldChar w:fldCharType="separate"/>
            </w:r>
            <w:r>
              <w:rPr>
                <w:noProof/>
                <w:webHidden/>
              </w:rPr>
              <w:t>28</w:t>
            </w:r>
            <w:r>
              <w:rPr>
                <w:noProof/>
                <w:webHidden/>
              </w:rPr>
              <w:fldChar w:fldCharType="end"/>
            </w:r>
          </w:hyperlink>
        </w:p>
        <w:p w:rsidR="00FD22AD" w:rsidRDefault="00FD22AD">
          <w:r>
            <w:rPr>
              <w:b/>
              <w:bCs/>
              <w:noProof/>
            </w:rPr>
            <w:fldChar w:fldCharType="end"/>
          </w:r>
        </w:p>
      </w:sdtContent>
    </w:sdt>
    <w:p w:rsidR="00786C12" w:rsidRDefault="00786C12" w:rsidP="00FD22AD">
      <w:r>
        <w:br w:type="page"/>
      </w:r>
    </w:p>
    <w:p w:rsidR="00181BB8" w:rsidRDefault="00395AD4" w:rsidP="00FD22AD">
      <w:pPr>
        <w:pStyle w:val="Heading1"/>
      </w:pPr>
      <w:bookmarkStart w:id="1" w:name="_Toc217278169"/>
      <w:r>
        <w:lastRenderedPageBreak/>
        <w:t>Introduction</w:t>
      </w:r>
      <w:bookmarkEnd w:id="1"/>
    </w:p>
    <w:p w:rsidR="00E27D61" w:rsidRDefault="00E27D61" w:rsidP="00E27D61">
      <w:r>
        <w:t xml:space="preserve">General Electronics competes in an international consumer electronics sector, which is highly competitive in terms of price, brief innovation cycles and highly sensitive to macroeconomic fluctuations. The </w:t>
      </w:r>
      <w:proofErr w:type="spellStart"/>
      <w:r>
        <w:t>organisation</w:t>
      </w:r>
      <w:proofErr w:type="spellEnd"/>
      <w:r>
        <w:t xml:space="preserve"> has been in deep financial distress over the last five years, which is evidenced by the declining profitability, decreasing liquidity reserves, and increasing leverage level. The symptoms are congruent with typical signs of corporate distress, where strategic imbalance and financial mismanagement engage in a reciprocal relationship affecting the lo</w:t>
      </w:r>
      <w:r w:rsidR="00737F39">
        <w:t>ng-term competitiveness (</w:t>
      </w:r>
      <w:proofErr w:type="spellStart"/>
      <w:r w:rsidR="007638E7" w:rsidRPr="007638E7">
        <w:t>López</w:t>
      </w:r>
      <w:proofErr w:type="spellEnd"/>
      <w:r w:rsidR="007638E7" w:rsidRPr="007638E7">
        <w:t>-Gutiérrez</w:t>
      </w:r>
      <w:r w:rsidR="007638E7">
        <w:t xml:space="preserve"> </w:t>
      </w:r>
      <w:r w:rsidR="00737F39">
        <w:t>et al.,</w:t>
      </w:r>
      <w:r>
        <w:t xml:space="preserve"> 2005). </w:t>
      </w:r>
    </w:p>
    <w:p w:rsidR="00FC7742" w:rsidRDefault="00E27D61" w:rsidP="003703C4">
      <w:r>
        <w:t>This report presents a systematic</w:t>
      </w:r>
      <w:r w:rsidR="00737F39">
        <w:t xml:space="preserve"> financial analysis in order to</w:t>
      </w:r>
      <w:r>
        <w:t xml:space="preserve"> determine the corporate turnaround strategies. The evaluation combines a multi-year ratio analysis, with established failure-prediction models, to measure th</w:t>
      </w:r>
      <w:r w:rsidR="00737F39">
        <w:t>e solvency risk (</w:t>
      </w:r>
      <w:proofErr w:type="spellStart"/>
      <w:r w:rsidR="00737F39">
        <w:t>Taffler</w:t>
      </w:r>
      <w:proofErr w:type="spellEnd"/>
      <w:r w:rsidR="00737F39">
        <w:t>, 1983</w:t>
      </w:r>
      <w:r>
        <w:t>). The efficiency of working capital is also assessed to understand how the internal operational procedures are limiting the liquidity in line with research evidence that links low cash conversion to business failure (</w:t>
      </w:r>
      <w:proofErr w:type="spellStart"/>
      <w:r>
        <w:t>Howorth</w:t>
      </w:r>
      <w:proofErr w:type="spellEnd"/>
      <w:r>
        <w:t xml:space="preserve"> and Westhead, 2003). The report then proceeds to come up with a restructuring blueprint based on the divestment logic, redesigning capital structure and international financial considerations. Lastly, investment appraisal methods, such as NPV, IRR, ARR, PI and payback, are used to ensure efficient allocation of limited capital. The combined efforts of the study would provide a viable financial recovery plan and strategic recoverable approach to General Electronics.</w:t>
      </w:r>
    </w:p>
    <w:p w:rsidR="00FC7742" w:rsidRDefault="001A15FB" w:rsidP="00E27D61">
      <w:pPr>
        <w:pStyle w:val="Heading1"/>
      </w:pPr>
      <w:bookmarkStart w:id="2" w:name="_Toc217278170"/>
      <w:r w:rsidRPr="001A15FB">
        <w:t>1. Financial Health Assessment</w:t>
      </w:r>
      <w:bookmarkEnd w:id="2"/>
    </w:p>
    <w:p w:rsidR="001A15FB" w:rsidRDefault="00E27D61" w:rsidP="003703C4">
      <w:r w:rsidRPr="00E27D61">
        <w:t xml:space="preserve">Financial health assessment provides the basis of restructuring decisions and it defines the level of intervention that should be applied to </w:t>
      </w:r>
      <w:proofErr w:type="spellStart"/>
      <w:r w:rsidRPr="00E27D61">
        <w:t>stabilise</w:t>
      </w:r>
      <w:proofErr w:type="spellEnd"/>
      <w:r w:rsidRPr="00E27D61">
        <w:t xml:space="preserve"> a troubled </w:t>
      </w:r>
      <w:proofErr w:type="spellStart"/>
      <w:r w:rsidRPr="00E27D61">
        <w:t>organisation</w:t>
      </w:r>
      <w:proofErr w:type="spellEnd"/>
      <w:r w:rsidRPr="00E27D61">
        <w:t>. The multidimensional ratio analysis assists financial statement users to explain the performance trend</w:t>
      </w:r>
      <w:r w:rsidR="00737F39">
        <w:t xml:space="preserve"> and </w:t>
      </w:r>
      <w:proofErr w:type="spellStart"/>
      <w:r w:rsidR="00737F39">
        <w:t>organisational</w:t>
      </w:r>
      <w:proofErr w:type="spellEnd"/>
      <w:r w:rsidR="00737F39">
        <w:t xml:space="preserve"> risk (</w:t>
      </w:r>
      <w:r w:rsidR="00737F39" w:rsidRPr="00737F39">
        <w:t>Gerald</w:t>
      </w:r>
      <w:r w:rsidR="00737F39">
        <w:t xml:space="preserve"> et al.</w:t>
      </w:r>
      <w:r w:rsidRPr="00E27D61">
        <w:t xml:space="preserve">, 2003). In this section, the profitability, liquidity, efficiency, leverage, and strength of cash flow and bankruptcy probability of General Electronics in the preceding five financial years are analyzed. In contrast to single-year benchmarking models, multi-period ratio analysis is able to tell the </w:t>
      </w:r>
      <w:r w:rsidRPr="00E27D61">
        <w:lastRenderedPageBreak/>
        <w:t>direction and pace of decay, which forms the core of diagnosing</w:t>
      </w:r>
      <w:r w:rsidR="006D7EE4">
        <w:t xml:space="preserve"> structural financial fragility</w:t>
      </w:r>
      <w:r w:rsidRPr="00E27D61">
        <w:t>.</w:t>
      </w:r>
    </w:p>
    <w:p w:rsidR="00FC7742" w:rsidRDefault="00FC7742" w:rsidP="00E27D61">
      <w:pPr>
        <w:pStyle w:val="Heading2"/>
      </w:pPr>
      <w:bookmarkStart w:id="3" w:name="_Toc217278171"/>
      <w:r>
        <w:t xml:space="preserve">1.1 Profitability </w:t>
      </w:r>
      <w:r w:rsidR="00E27D61">
        <w:t>Ratios</w:t>
      </w:r>
      <w:bookmarkEnd w:id="3"/>
    </w:p>
    <w:p w:rsidR="00FC7742" w:rsidRDefault="00E27D61" w:rsidP="00FC7742">
      <w:r w:rsidRPr="00E27D61">
        <w:t xml:space="preserve">The profitability ratios indicate the efficiency of the management of revenue to earnings, and the constant decline of these indicators is typically linked to </w:t>
      </w:r>
      <w:r w:rsidR="007638E7">
        <w:t xml:space="preserve">the downfall of the corporation </w:t>
      </w:r>
      <w:r w:rsidR="007638E7" w:rsidRPr="007638E7">
        <w:t>(</w:t>
      </w:r>
      <w:proofErr w:type="spellStart"/>
      <w:r w:rsidR="007638E7" w:rsidRPr="007638E7">
        <w:t>Lazaridis</w:t>
      </w:r>
      <w:proofErr w:type="spellEnd"/>
      <w:r w:rsidR="007638E7" w:rsidRPr="007638E7">
        <w:t xml:space="preserve"> and </w:t>
      </w:r>
      <w:proofErr w:type="spellStart"/>
      <w:r w:rsidR="007638E7" w:rsidRPr="007638E7">
        <w:t>Tryfonidis</w:t>
      </w:r>
      <w:proofErr w:type="spellEnd"/>
      <w:r w:rsidR="007638E7" w:rsidRPr="007638E7">
        <w:t>, 2006)</w:t>
      </w:r>
      <w:r w:rsidRPr="00E27D61">
        <w:t>.</w:t>
      </w:r>
    </w:p>
    <w:p w:rsidR="00266CFB" w:rsidRDefault="001A15FB" w:rsidP="001A15FB">
      <w:pPr>
        <w:rPr>
          <w:rStyle w:val="Strong"/>
          <w:bCs w:val="0"/>
        </w:rPr>
      </w:pPr>
      <w:r w:rsidRPr="00E27D61">
        <w:rPr>
          <w:rStyle w:val="Strong"/>
          <w:bCs w:val="0"/>
        </w:rPr>
        <w:t>Margin Interpretation</w:t>
      </w:r>
    </w:p>
    <w:p w:rsidR="001A15FB" w:rsidRPr="00266CFB" w:rsidRDefault="00E27D61" w:rsidP="001A15FB">
      <w:pPr>
        <w:rPr>
          <w:rStyle w:val="Strong"/>
          <w:bCs w:val="0"/>
        </w:rPr>
      </w:pPr>
      <w:r w:rsidRPr="00E27D61">
        <w:rPr>
          <w:rStyle w:val="Strong"/>
          <w:b w:val="0"/>
          <w:bCs w:val="0"/>
        </w:rPr>
        <w:t>The margin resilience is moderate over the first three years and primarily with the help of brand strength and scale economies. Nonetheless, margins deteriorate drastically in 2023, as inventory impairments, declining demand as well as restructuring expenses, impact the margins negatively. The falling operating profit margins are frequently signs of structural cost inefficiencies but not volatile fluctuations (</w:t>
      </w:r>
      <w:proofErr w:type="spellStart"/>
      <w:r w:rsidRPr="00E27D61">
        <w:rPr>
          <w:rStyle w:val="Strong"/>
          <w:b w:val="0"/>
          <w:bCs w:val="0"/>
        </w:rPr>
        <w:t>Ko</w:t>
      </w:r>
      <w:r w:rsidR="000400C0">
        <w:rPr>
          <w:rStyle w:val="Strong"/>
          <w:b w:val="0"/>
          <w:bCs w:val="0"/>
        </w:rPr>
        <w:t>ller</w:t>
      </w:r>
      <w:proofErr w:type="spellEnd"/>
      <w:r w:rsidR="000400C0">
        <w:rPr>
          <w:rStyle w:val="Strong"/>
          <w:b w:val="0"/>
          <w:bCs w:val="0"/>
        </w:rPr>
        <w:t xml:space="preserve"> et al., 2025</w:t>
      </w:r>
      <w:r w:rsidRPr="00E27D61">
        <w:rPr>
          <w:rStyle w:val="Strong"/>
          <w:b w:val="0"/>
          <w:bCs w:val="0"/>
        </w:rPr>
        <w:t>). The improvement in the gross margin in 2024 is shallow and propelled by intensive cost reduction as opposed to growth in revenues.</w:t>
      </w:r>
    </w:p>
    <w:p w:rsidR="001A15FB" w:rsidRPr="00266CFB" w:rsidRDefault="001A15FB" w:rsidP="001A15FB">
      <w:pPr>
        <w:rPr>
          <w:b/>
        </w:rPr>
      </w:pPr>
      <w:r w:rsidRPr="00266CFB">
        <w:rPr>
          <w:b/>
        </w:rPr>
        <w:t>ROA and ROE Trend</w:t>
      </w:r>
    </w:p>
    <w:p w:rsidR="00E27D61" w:rsidRDefault="00E27D61" w:rsidP="00E27D61">
      <w:r>
        <w:t xml:space="preserve">This fall in ROA of 7.6 to -7.4 is an indication of poor </w:t>
      </w:r>
      <w:proofErr w:type="spellStart"/>
      <w:r>
        <w:t>utilisation</w:t>
      </w:r>
      <w:proofErr w:type="spellEnd"/>
      <w:r>
        <w:t xml:space="preserve"> of huge fixed asset base. ROE movements affirm that funds of the shareholders are being worn away. The five years of negative ROE trend is an indication of continued destruction of value, which supports a current body of research that declining ROE tends to herald the onset of an equity </w:t>
      </w:r>
      <w:r w:rsidR="005E1F41">
        <w:t>market meltdown (</w:t>
      </w:r>
      <w:proofErr w:type="spellStart"/>
      <w:r w:rsidR="005E1F41">
        <w:t>Damodaran</w:t>
      </w:r>
      <w:proofErr w:type="spellEnd"/>
      <w:r w:rsidR="005E1F41">
        <w:t>, 2012</w:t>
      </w:r>
      <w:r>
        <w:t>).</w:t>
      </w:r>
    </w:p>
    <w:p w:rsidR="001A15FB" w:rsidRPr="00266CFB" w:rsidRDefault="00266CFB" w:rsidP="001A15FB">
      <w:pPr>
        <w:rPr>
          <w:b/>
        </w:rPr>
      </w:pPr>
      <w:r w:rsidRPr="00266CFB">
        <w:rPr>
          <w:b/>
        </w:rPr>
        <w:t>Conclusion</w:t>
      </w:r>
      <w:r>
        <w:rPr>
          <w:b/>
        </w:rPr>
        <w:t xml:space="preserve">: </w:t>
      </w:r>
      <w:r w:rsidR="00E27D61">
        <w:t xml:space="preserve">Combined, these indicators suggest loss of competitive edge, a breakdown in cost management and deterioration in asset efficiency. These conclusions support drastic </w:t>
      </w:r>
      <w:proofErr w:type="spellStart"/>
      <w:r w:rsidR="00E27D61">
        <w:t>reorganisation</w:t>
      </w:r>
      <w:proofErr w:type="spellEnd"/>
      <w:r w:rsidR="00E27D61">
        <w:t>, instead of gradual redress.</w:t>
      </w:r>
    </w:p>
    <w:p w:rsidR="001A15FB" w:rsidRDefault="001A15FB" w:rsidP="00266CFB">
      <w:pPr>
        <w:pStyle w:val="Heading2"/>
      </w:pPr>
      <w:bookmarkStart w:id="4" w:name="_Toc217278172"/>
      <w:r w:rsidRPr="001A15FB">
        <w:t>1.2 Liquidity and Short-Term Solvency</w:t>
      </w:r>
      <w:bookmarkEnd w:id="4"/>
    </w:p>
    <w:p w:rsidR="001A15FB" w:rsidRDefault="00266CFB" w:rsidP="001A15FB">
      <w:r w:rsidRPr="00266CFB">
        <w:t xml:space="preserve">Liquidity ratios are used to indicate whether the firm has the capacity to cover the current liabilities, and the working capital needs. Companies that are experiencing a dwindling </w:t>
      </w:r>
      <w:r w:rsidRPr="00266CFB">
        <w:lastRenderedPageBreak/>
        <w:t>liquidity may often fail into formal insolvency since they are unable to fulf</w:t>
      </w:r>
      <w:r w:rsidR="007638E7">
        <w:t xml:space="preserve">il operational cash commitments </w:t>
      </w:r>
      <w:r w:rsidR="007638E7" w:rsidRPr="007638E7">
        <w:t>(</w:t>
      </w:r>
      <w:proofErr w:type="spellStart"/>
      <w:r w:rsidR="007638E7" w:rsidRPr="007638E7">
        <w:t>Koller</w:t>
      </w:r>
      <w:proofErr w:type="spellEnd"/>
      <w:r w:rsidR="007638E7" w:rsidRPr="007638E7">
        <w:t xml:space="preserve"> et al., 2025)</w:t>
      </w:r>
      <w:r w:rsidR="007638E7">
        <w:t>.</w:t>
      </w:r>
    </w:p>
    <w:p w:rsidR="00266CFB" w:rsidRPr="00266CFB" w:rsidRDefault="00266CFB" w:rsidP="001A15FB">
      <w:pPr>
        <w:rPr>
          <w:b/>
        </w:rPr>
      </w:pPr>
      <w:r w:rsidRPr="00266CFB">
        <w:rPr>
          <w:b/>
        </w:rPr>
        <w:t>Interpretation</w:t>
      </w:r>
    </w:p>
    <w:p w:rsidR="00266CFB" w:rsidRDefault="00266CFB" w:rsidP="00266CFB">
      <w:r>
        <w:t>The current ratio has been above 1.0, though the long-term downward trend indicates tight liquidity. The decline in the cash ratio to 0.17 demonstrates that the company does not have enough liquid assets to cover short term liabilities, which is also in line with financial stress measures in troubled compa</w:t>
      </w:r>
      <w:r w:rsidR="000E1C49">
        <w:t>nies (Altman and Hotchkiss, 2010</w:t>
      </w:r>
      <w:r>
        <w:t>). The quick ratio of less than 1.0 in four years of a row suggests more and more dependence on converting inventory to settle payables, which is not a sustainable position with poor revenue.</w:t>
      </w:r>
    </w:p>
    <w:p w:rsidR="00266CFB" w:rsidRPr="00266CFB" w:rsidRDefault="00266CFB" w:rsidP="00266CFB">
      <w:pPr>
        <w:rPr>
          <w:b/>
        </w:rPr>
      </w:pPr>
      <w:r w:rsidRPr="00266CFB">
        <w:rPr>
          <w:b/>
        </w:rPr>
        <w:t>Conclusion</w:t>
      </w:r>
      <w:r>
        <w:rPr>
          <w:b/>
        </w:rPr>
        <w:t xml:space="preserve">: </w:t>
      </w:r>
      <w:r>
        <w:t>These signs validate a liquidity crisis. In the absence of outside funding or reconfiguration of working capital, the company will run the risk of defaulting on payments and disputes with creditors.</w:t>
      </w:r>
    </w:p>
    <w:p w:rsidR="001A15FB" w:rsidRDefault="001A15FB" w:rsidP="000E1C49">
      <w:pPr>
        <w:pStyle w:val="Heading2"/>
      </w:pPr>
      <w:bookmarkStart w:id="5" w:name="_Toc217278173"/>
      <w:r w:rsidRPr="001A15FB">
        <w:t>1.3 Efficiency and Working Capital Performance</w:t>
      </w:r>
      <w:bookmarkEnd w:id="5"/>
    </w:p>
    <w:p w:rsidR="00266CFB" w:rsidRDefault="00266CFB" w:rsidP="00266CFB">
      <w:r>
        <w:t xml:space="preserve">Efficiency ratios show the level of effectiveness in the deployment of assets to generate revenue. The poor </w:t>
      </w:r>
      <w:proofErr w:type="spellStart"/>
      <w:r>
        <w:t>utilisation</w:t>
      </w:r>
      <w:proofErr w:type="spellEnd"/>
      <w:r>
        <w:t xml:space="preserve"> raises the financial expenses and decreases the flexibility of operations </w:t>
      </w:r>
      <w:r w:rsidR="000E1C49" w:rsidRPr="000E1C49">
        <w:t>(</w:t>
      </w:r>
      <w:proofErr w:type="spellStart"/>
      <w:r w:rsidR="000E1C49" w:rsidRPr="000E1C49">
        <w:t>Howorth</w:t>
      </w:r>
      <w:proofErr w:type="spellEnd"/>
      <w:r w:rsidR="000E1C49" w:rsidRPr="000E1C49">
        <w:t xml:space="preserve"> and Westhead, 2003</w:t>
      </w:r>
      <w:r w:rsidR="000E1C49">
        <w:t>)</w:t>
      </w:r>
      <w:r>
        <w:t>.</w:t>
      </w:r>
    </w:p>
    <w:p w:rsidR="00266CFB" w:rsidRPr="00DF7317" w:rsidRDefault="00DF7317" w:rsidP="00266CFB">
      <w:pPr>
        <w:rPr>
          <w:b/>
        </w:rPr>
      </w:pPr>
      <w:r w:rsidRPr="00DF7317">
        <w:rPr>
          <w:b/>
        </w:rPr>
        <w:t>Inventory Turnover</w:t>
      </w:r>
    </w:p>
    <w:p w:rsidR="001A15FB" w:rsidRDefault="00266CFB" w:rsidP="00266CFB">
      <w:r>
        <w:t xml:space="preserve">Although the inventory days become better in 2024, the increase was due to the reduction of production, and not to the rise in sales. There is an indication that increasing inventory days tend to be indicative of stretched out supply chain and forecasting mistakes (Hofmann and </w:t>
      </w:r>
      <w:proofErr w:type="spellStart"/>
      <w:r>
        <w:t>Kotzab</w:t>
      </w:r>
      <w:proofErr w:type="spellEnd"/>
      <w:r>
        <w:t>, 2010).</w:t>
      </w:r>
    </w:p>
    <w:p w:rsidR="00DF7317" w:rsidRPr="00DF7317" w:rsidRDefault="00DF7317" w:rsidP="00266CFB">
      <w:pPr>
        <w:rPr>
          <w:b/>
        </w:rPr>
      </w:pPr>
      <w:r w:rsidRPr="00DF7317">
        <w:rPr>
          <w:b/>
        </w:rPr>
        <w:t>Receivable Performance</w:t>
      </w:r>
    </w:p>
    <w:p w:rsidR="00DF7317" w:rsidRDefault="00DF7317" w:rsidP="00DF7317">
      <w:r w:rsidRPr="00DF7317">
        <w:t xml:space="preserve">The number of receivable days increases to 105 in 2024, which is a cause of concern. The rise shows a decline in customer payment discipline. Extending credit to customers with poor financial status compounds the risk of default and causes gridlock in cash </w:t>
      </w:r>
      <w:r w:rsidR="000E1C49" w:rsidRPr="000E1C49">
        <w:t>(</w:t>
      </w:r>
      <w:proofErr w:type="spellStart"/>
      <w:r w:rsidR="000E1C49" w:rsidRPr="000E1C49">
        <w:t>Koller</w:t>
      </w:r>
      <w:proofErr w:type="spellEnd"/>
      <w:r w:rsidR="000E1C49" w:rsidRPr="000E1C49">
        <w:t xml:space="preserve"> et al., 2025)</w:t>
      </w:r>
      <w:r w:rsidRPr="00DF7317">
        <w:t>.</w:t>
      </w:r>
    </w:p>
    <w:p w:rsidR="00DF7317" w:rsidRPr="00CB5554" w:rsidRDefault="00DF7317" w:rsidP="00266CFB">
      <w:pPr>
        <w:rPr>
          <w:b/>
        </w:rPr>
      </w:pPr>
      <w:r w:rsidRPr="00CB5554">
        <w:rPr>
          <w:b/>
        </w:rPr>
        <w:lastRenderedPageBreak/>
        <w:t>Payables Movement</w:t>
      </w:r>
    </w:p>
    <w:p w:rsidR="00DF7317" w:rsidRDefault="00DF7317" w:rsidP="00266CFB">
      <w:r>
        <w:t xml:space="preserve">Payable days have dropped drastically, indicating that the company has increased supplier payments in a period when it was experiencing deteriorating liquidity. This is contrary to the working-capital </w:t>
      </w:r>
      <w:proofErr w:type="spellStart"/>
      <w:r>
        <w:t>optimisation</w:t>
      </w:r>
      <w:proofErr w:type="spellEnd"/>
      <w:r>
        <w:t xml:space="preserve"> theory, which considers extending payables as a normal liquidity </w:t>
      </w:r>
      <w:proofErr w:type="spellStart"/>
      <w:r>
        <w:t>stabiliser</w:t>
      </w:r>
      <w:proofErr w:type="spellEnd"/>
      <w:r>
        <w:t xml:space="preserve"> (Hill, Kelly and </w:t>
      </w:r>
      <w:proofErr w:type="spellStart"/>
      <w:r>
        <w:t>Highfield</w:t>
      </w:r>
      <w:proofErr w:type="spellEnd"/>
      <w:r>
        <w:t>, 2010).</w:t>
      </w:r>
    </w:p>
    <w:p w:rsidR="00DF7317" w:rsidRPr="00CB5554" w:rsidRDefault="00DF7317" w:rsidP="00266CFB">
      <w:pPr>
        <w:rPr>
          <w:b/>
        </w:rPr>
      </w:pPr>
      <w:r w:rsidRPr="00CB5554">
        <w:rPr>
          <w:b/>
        </w:rPr>
        <w:t>Working Capital Cycle</w:t>
      </w:r>
    </w:p>
    <w:p w:rsidR="00DF7317" w:rsidRDefault="00DF7317" w:rsidP="00266CFB">
      <w:r w:rsidRPr="00DF7317">
        <w:t xml:space="preserve">The cash cycle increases by 128 days to 151 days which shows that the cash is slower to recover. An increase in cash conversion cycle is a major indicator of business failure because companies end up with </w:t>
      </w:r>
      <w:r w:rsidR="000E1C49">
        <w:t xml:space="preserve">insufficient funding to operate </w:t>
      </w:r>
      <w:r w:rsidR="000E1C49" w:rsidRPr="000E1C49">
        <w:t>(</w:t>
      </w:r>
      <w:proofErr w:type="spellStart"/>
      <w:r w:rsidR="000E1C49" w:rsidRPr="000E1C49">
        <w:t>Lazaridis</w:t>
      </w:r>
      <w:proofErr w:type="spellEnd"/>
      <w:r w:rsidR="000E1C49" w:rsidRPr="000E1C49">
        <w:t xml:space="preserve"> and </w:t>
      </w:r>
      <w:proofErr w:type="spellStart"/>
      <w:r w:rsidR="000E1C49" w:rsidRPr="000E1C49">
        <w:t>Tryfonidis</w:t>
      </w:r>
      <w:proofErr w:type="spellEnd"/>
      <w:r w:rsidR="000E1C49" w:rsidRPr="000E1C49">
        <w:t>, 2006)</w:t>
      </w:r>
      <w:r w:rsidRPr="00DF7317">
        <w:t>.</w:t>
      </w:r>
    </w:p>
    <w:p w:rsidR="001A15FB" w:rsidRDefault="001A15FB" w:rsidP="00DF7317">
      <w:pPr>
        <w:pStyle w:val="Heading2"/>
      </w:pPr>
      <w:bookmarkStart w:id="6" w:name="_Toc217278174"/>
      <w:r w:rsidRPr="001A15FB">
        <w:t>1.4 Capital Structure and Long-Term Solvency</w:t>
      </w:r>
      <w:bookmarkEnd w:id="6"/>
    </w:p>
    <w:p w:rsidR="00CB5554" w:rsidRPr="00916359" w:rsidRDefault="00DF7317" w:rsidP="00916359">
      <w:r w:rsidRPr="00DF7317">
        <w:t>Leverage ratios determine the manner in which the company will be financed and the level of financial risk. A high leverage enhances volatility and quickens the likelihood of</w:t>
      </w:r>
      <w:r w:rsidR="000E1C49">
        <w:t xml:space="preserve"> distress (Frank and Goyal, 2007</w:t>
      </w:r>
      <w:r w:rsidRPr="00DF7317">
        <w:t>).</w:t>
      </w:r>
    </w:p>
    <w:p w:rsidR="00CB5554" w:rsidRDefault="00CB5554" w:rsidP="00CB5554">
      <w:pPr>
        <w:rPr>
          <w:b/>
        </w:rPr>
      </w:pPr>
      <w:r w:rsidRPr="00DF7317">
        <w:rPr>
          <w:b/>
        </w:rPr>
        <w:t>Interpretation</w:t>
      </w:r>
    </w:p>
    <w:p w:rsidR="00CB5554" w:rsidRDefault="00CB5554" w:rsidP="00CB5554">
      <w:r w:rsidRPr="00DF7317">
        <w:t xml:space="preserve">The debt-to-equity ratio of more than 1.0 is a confirmation of excessive leverage. Combined with negative EBIT, the negative ratios of interest-coverage in 2023 and 2024 show that the operations to meet the finance charges would not be possible, which is a strong indication of weakness in </w:t>
      </w:r>
      <w:r w:rsidR="000E1C49" w:rsidRPr="00DF7317">
        <w:t>insolvency</w:t>
      </w:r>
      <w:r w:rsidR="00E24C67">
        <w:t xml:space="preserve"> </w:t>
      </w:r>
      <w:r w:rsidR="00E24C67" w:rsidRPr="00E24C67">
        <w:t>(</w:t>
      </w:r>
      <w:proofErr w:type="spellStart"/>
      <w:r w:rsidR="00E24C67" w:rsidRPr="00E24C67">
        <w:t>Gertner</w:t>
      </w:r>
      <w:proofErr w:type="spellEnd"/>
      <w:r w:rsidR="00E24C67" w:rsidRPr="00E24C67">
        <w:t xml:space="preserve"> and </w:t>
      </w:r>
      <w:proofErr w:type="spellStart"/>
      <w:r w:rsidR="00E24C67" w:rsidRPr="00E24C67">
        <w:t>Scharfstein</w:t>
      </w:r>
      <w:proofErr w:type="spellEnd"/>
      <w:r w:rsidR="00E24C67" w:rsidRPr="00E24C67">
        <w:t xml:space="preserve"> 1991)</w:t>
      </w:r>
      <w:r w:rsidR="000E1C49" w:rsidRPr="00DF7317">
        <w:t>.</w:t>
      </w:r>
    </w:p>
    <w:p w:rsidR="001A15FB" w:rsidRDefault="001A15FB" w:rsidP="00916359">
      <w:pPr>
        <w:pStyle w:val="Heading2"/>
      </w:pPr>
      <w:bookmarkStart w:id="7" w:name="_Toc217278175"/>
      <w:r w:rsidRPr="001A15FB">
        <w:t>1.5 Cash Flow Strength Indicators</w:t>
      </w:r>
      <w:bookmarkEnd w:id="7"/>
    </w:p>
    <w:p w:rsidR="00CB5554" w:rsidRDefault="00CB5554" w:rsidP="00CB5554">
      <w:r>
        <w:t>It is a well-recognized fact that operating cash flow is a more potent indicator of survival than profitability itself (</w:t>
      </w:r>
      <w:proofErr w:type="spellStart"/>
      <w:r w:rsidR="00E24C67" w:rsidRPr="00E24C67">
        <w:t>Sudarsanam</w:t>
      </w:r>
      <w:proofErr w:type="spellEnd"/>
      <w:r w:rsidR="00E24C67">
        <w:t>, 2003</w:t>
      </w:r>
      <w:r>
        <w:t>).</w:t>
      </w:r>
    </w:p>
    <w:p w:rsidR="001A15FB" w:rsidRDefault="00CB5554" w:rsidP="00CB5554">
      <w:r>
        <w:t>A negative free cash flow over three years shows a lack of internal capital required to support refinance debt or new investment made.</w:t>
      </w:r>
    </w:p>
    <w:p w:rsidR="00E27D61" w:rsidRDefault="00E27D61" w:rsidP="00CB5554">
      <w:pPr>
        <w:pStyle w:val="Heading2"/>
      </w:pPr>
      <w:bookmarkStart w:id="8" w:name="_Toc217278176"/>
      <w:r>
        <w:lastRenderedPageBreak/>
        <w:t>1.6 Corporate Failure Risk -</w:t>
      </w:r>
      <w:r w:rsidRPr="00E27D61">
        <w:t xml:space="preserve"> Altman Z Application</w:t>
      </w:r>
      <w:bookmarkEnd w:id="8"/>
    </w:p>
    <w:p w:rsidR="0059607E" w:rsidRPr="0059607E" w:rsidRDefault="0059607E" w:rsidP="0059607E">
      <w:r w:rsidRPr="0059607E">
        <w:t xml:space="preserve">The Altman Z-Score of liquidity, earnings, </w:t>
      </w:r>
      <w:r w:rsidR="00E006B8" w:rsidRPr="0059607E">
        <w:t>and leverage</w:t>
      </w:r>
      <w:r w:rsidRPr="0059607E">
        <w:t xml:space="preserve"> and productivity variables in determining bankruptcy </w:t>
      </w:r>
      <w:r w:rsidR="000E1C49">
        <w:t>risk (Altman and Hotchkiss, 2010</w:t>
      </w:r>
      <w:r w:rsidRPr="0059607E">
        <w:t xml:space="preserve">) shows cause of concern to General Electronics. The Z-value of about 1.21 is way below the 1.81 distress level, which would signal high risk of insolvency in the coming two years. This is consistent with other industry performance as noted by </w:t>
      </w:r>
      <w:proofErr w:type="spellStart"/>
      <w:r w:rsidRPr="0059607E">
        <w:t>Tinoco</w:t>
      </w:r>
      <w:proofErr w:type="spellEnd"/>
      <w:r w:rsidRPr="0059607E">
        <w:t xml:space="preserve"> and Wilson (2013) who note that manufacturing companies that are undergoing deteriorating earnings, poor liquidity status and negative operating margins tend to move into irreversible financial distress without restructuring.</w:t>
      </w:r>
    </w:p>
    <w:p w:rsidR="00CB5554" w:rsidRDefault="00CB5554" w:rsidP="00CB5554">
      <w:pPr>
        <w:pStyle w:val="Heading2"/>
      </w:pPr>
      <w:bookmarkStart w:id="9" w:name="_Toc217278177"/>
      <w:r w:rsidRPr="00CB5554">
        <w:t>1.7 Key Strengths and Threats Summary</w:t>
      </w:r>
      <w:bookmarkEnd w:id="9"/>
    </w:p>
    <w:p w:rsidR="00CB5554" w:rsidRDefault="00C57E99" w:rsidP="00CB5554">
      <w:r w:rsidRPr="00C57E99">
        <w:t>Even with all the distress, there are a few strengths: the high potential of gross margin indicates that it can recover its prices, a large asset base in which the company is located provides it with refinancing, and the presence of the time-tested global brand equity can be used to negotiate partnerships. Nonetheless, the negative coverage of interest and negative earnings are worsening insolvency exposure besides the threat of liquidity erosion jeopardizing operational survival. An extended cash cycle raises the cost of finances and high leverage limits flexibility. The default risk is obviously high when combined with the Z-Score result.</w:t>
      </w:r>
    </w:p>
    <w:p w:rsidR="00CB5554" w:rsidRDefault="00CB5554" w:rsidP="00DE061B">
      <w:pPr>
        <w:pStyle w:val="Heading1"/>
      </w:pPr>
      <w:bookmarkStart w:id="10" w:name="_Toc217278178"/>
      <w:r w:rsidRPr="00CB5554">
        <w:t>2. Working Capital and Liquidity Management Evaluation</w:t>
      </w:r>
      <w:bookmarkEnd w:id="10"/>
    </w:p>
    <w:p w:rsidR="00E27D61" w:rsidRDefault="00DE061B" w:rsidP="00E27D61">
      <w:r w:rsidRPr="00DE061B">
        <w:t>Effective management of the working capital plays a critical role in the continuity and liquidity of operations. Working capital is a measure of the relationship that exists between short-term assets and liabilities, and their management impacts profitability, risk exposure and cash availability (</w:t>
      </w:r>
      <w:proofErr w:type="spellStart"/>
      <w:r w:rsidRPr="00DE061B">
        <w:t>Lukason</w:t>
      </w:r>
      <w:proofErr w:type="spellEnd"/>
      <w:r w:rsidRPr="00DE061B">
        <w:t xml:space="preserve"> &amp; Camacho-</w:t>
      </w:r>
      <w:proofErr w:type="spellStart"/>
      <w:r w:rsidRPr="00DE061B">
        <w:t>Minano</w:t>
      </w:r>
      <w:proofErr w:type="spellEnd"/>
      <w:r w:rsidRPr="00DE061B">
        <w:t>, 2019). In the case of General Electronics, a declining revenue, increasing losses and growing level of debts imply that it is the internal cash management, instead of external financing that will decide on short-term survival. This section reviews the cash operating cycle of the firm, and provides reforms that would enhance the liquidity positions. It also considers funding options that are suitable in a troubled operating context.</w:t>
      </w:r>
    </w:p>
    <w:p w:rsidR="00DE061B" w:rsidRDefault="00DE061B" w:rsidP="00416B80">
      <w:pPr>
        <w:pStyle w:val="Heading2"/>
      </w:pPr>
      <w:bookmarkStart w:id="11" w:name="_Toc217278179"/>
      <w:r w:rsidRPr="00DE061B">
        <w:lastRenderedPageBreak/>
        <w:t xml:space="preserve">2.1 Cash Operating Cycle </w:t>
      </w:r>
      <w:r>
        <w:t>Analysis</w:t>
      </w:r>
      <w:bookmarkEnd w:id="11"/>
    </w:p>
    <w:p w:rsidR="00DE061B" w:rsidRDefault="00DE061B" w:rsidP="00DE061B">
      <w:r>
        <w:t>Cash Conversion Cycle (CCC) is a measurement of the duration of time during which the money was spent on purchases and recovered through receipts to the customer. The lengthening cycle means resource lock-up and decreased liquidity (Garcia-</w:t>
      </w:r>
      <w:proofErr w:type="spellStart"/>
      <w:r>
        <w:t>Teruel</w:t>
      </w:r>
      <w:proofErr w:type="spellEnd"/>
      <w:r>
        <w:t xml:space="preserve"> and Martinez-Solano, 2007).</w:t>
      </w:r>
    </w:p>
    <w:p w:rsidR="00DE061B" w:rsidRDefault="00DE061B" w:rsidP="00DE061B">
      <w:r>
        <w:t>The CCC ranged between 128 days (2020) and 151 days (2024) in the case of General Electronics, indicating that the company is becoming increasingly internally inefficient.</w:t>
      </w:r>
    </w:p>
    <w:p w:rsidR="00DE061B" w:rsidRDefault="00416B80" w:rsidP="00DE061B">
      <w:r w:rsidRPr="00416B80">
        <w:rPr>
          <w:b/>
        </w:rPr>
        <w:t>Inventory Days:</w:t>
      </w:r>
      <w:r w:rsidRPr="00416B80">
        <w:t xml:space="preserve"> The days of inventory increased to 131 in 2022 and decreased to 93 in 2024. The decline is, however, a scaled down production and not an increment in efficiency. Long inventory days also mean that the demand is slow, products are old and there is increased overheads in storage (Fullerton, Kennedy and Widener, 2014).</w:t>
      </w:r>
    </w:p>
    <w:p w:rsidR="00416B80" w:rsidRDefault="00416B80" w:rsidP="00DE061B">
      <w:r w:rsidRPr="00416B80">
        <w:rPr>
          <w:b/>
        </w:rPr>
        <w:t>Receivable Days:</w:t>
      </w:r>
      <w:r w:rsidRPr="00416B80">
        <w:t xml:space="preserve"> The receivable days have been increased by 77 to 105 days, which indicates slack credit terms and customer weakness. Companies that supply credit to the financially weakened clients are prone to slow receivables and bad-debts (Pike and </w:t>
      </w:r>
      <w:r w:rsidR="007638E7" w:rsidRPr="007638E7">
        <w:t>Neale, 2006</w:t>
      </w:r>
      <w:r w:rsidRPr="00416B80">
        <w:t>).</w:t>
      </w:r>
    </w:p>
    <w:p w:rsidR="00416B80" w:rsidRDefault="00416B80" w:rsidP="00416B80">
      <w:r w:rsidRPr="00416B80">
        <w:rPr>
          <w:b/>
        </w:rPr>
        <w:t>Payable Days:</w:t>
      </w:r>
      <w:r>
        <w:t xml:space="preserve"> The number of days payable fell to 47 days in the period, showing that suppliers receive their payment quicker even when the cash health is at a lower level. Increased speed of payment is counterintuitive to pressure on liquidity and decreases the unpaid supply of credit (Hill, Kelly and </w:t>
      </w:r>
      <w:proofErr w:type="spellStart"/>
      <w:r>
        <w:t>Highfield</w:t>
      </w:r>
      <w:proofErr w:type="spellEnd"/>
      <w:r>
        <w:t>, 2010).</w:t>
      </w:r>
    </w:p>
    <w:p w:rsidR="00416B80" w:rsidRDefault="00416B80" w:rsidP="00416B80">
      <w:r>
        <w:t>Collectively, these movements demonstrate that the working capital policies have failed to keep up with deteriorating operating conditions. The management decisions have put more liquidity in the operating cycle instead of freeing cash.</w:t>
      </w:r>
    </w:p>
    <w:p w:rsidR="00416B80" w:rsidRDefault="00416B80" w:rsidP="00416B80">
      <w:pPr>
        <w:pStyle w:val="Heading2"/>
      </w:pPr>
      <w:bookmarkStart w:id="12" w:name="_Toc217278180"/>
      <w:r w:rsidRPr="00416B80">
        <w:t>2.2 Causes of Cash Pressure</w:t>
      </w:r>
      <w:bookmarkEnd w:id="12"/>
    </w:p>
    <w:p w:rsidR="00416B80" w:rsidRDefault="00416B80" w:rsidP="00416B80">
      <w:r>
        <w:t>These outcomes are determined by a number of internal and external factors:</w:t>
      </w:r>
    </w:p>
    <w:p w:rsidR="00416B80" w:rsidRPr="00510508" w:rsidRDefault="00416B80" w:rsidP="00416B80">
      <w:pPr>
        <w:rPr>
          <w:b/>
        </w:rPr>
      </w:pPr>
      <w:r w:rsidRPr="00510508">
        <w:rPr>
          <w:b/>
        </w:rPr>
        <w:t>Demand S</w:t>
      </w:r>
      <w:r w:rsidR="00510508">
        <w:rPr>
          <w:b/>
        </w:rPr>
        <w:t>hock and Inventory Inefficiency</w:t>
      </w:r>
    </w:p>
    <w:p w:rsidR="00416B80" w:rsidRDefault="00416B80" w:rsidP="00416B80">
      <w:r>
        <w:t xml:space="preserve">Severe drop in volumes since 2022 implies that the production levels of stocks are not aligned with consumer demand anymore. The manufacturing-intensive industries with </w:t>
      </w:r>
      <w:r>
        <w:lastRenderedPageBreak/>
        <w:t>falling sales, tends to generate overproduction resulting to slow turnover and lock-up of capital (</w:t>
      </w:r>
      <w:proofErr w:type="spellStart"/>
      <w:r>
        <w:t>Mollenkopf</w:t>
      </w:r>
      <w:proofErr w:type="spellEnd"/>
      <w:r>
        <w:t xml:space="preserve"> et al., 2010).</w:t>
      </w:r>
    </w:p>
    <w:p w:rsidR="00416B80" w:rsidRPr="00510508" w:rsidRDefault="00416B80" w:rsidP="00416B80">
      <w:pPr>
        <w:rPr>
          <w:b/>
        </w:rPr>
      </w:pPr>
      <w:r w:rsidRPr="00510508">
        <w:rPr>
          <w:b/>
        </w:rPr>
        <w:t>We</w:t>
      </w:r>
      <w:r w:rsidR="00510508">
        <w:rPr>
          <w:b/>
        </w:rPr>
        <w:t>ak Governance on credit control</w:t>
      </w:r>
    </w:p>
    <w:p w:rsidR="00416B80" w:rsidRDefault="00416B80" w:rsidP="00416B80">
      <w:r>
        <w:t>Receivable inflation indicates poor processes of credit qualification. Scholarly articles indicate that troubled companies often trade credit discipline off to keep revenue going and end up with a greater liquidity risk (</w:t>
      </w:r>
      <w:proofErr w:type="spellStart"/>
      <w:r>
        <w:t>Nadiri</w:t>
      </w:r>
      <w:proofErr w:type="spellEnd"/>
      <w:r>
        <w:t>, 1969).</w:t>
      </w:r>
    </w:p>
    <w:p w:rsidR="00416B80" w:rsidRPr="00510508" w:rsidRDefault="00416B80" w:rsidP="00416B80">
      <w:pPr>
        <w:rPr>
          <w:b/>
        </w:rPr>
      </w:pPr>
      <w:r w:rsidRPr="00510508">
        <w:rPr>
          <w:b/>
        </w:rPr>
        <w:t>Suppli</w:t>
      </w:r>
      <w:r w:rsidR="00510508">
        <w:rPr>
          <w:b/>
        </w:rPr>
        <w:t>er Pressure and Reputation Lost</w:t>
      </w:r>
    </w:p>
    <w:p w:rsidR="00416B80" w:rsidRDefault="00416B80" w:rsidP="00416B80">
      <w:r>
        <w:t xml:space="preserve">The decline in creditworthiness may require suppliers to repay their loans early. Late entrants into distress are likely to have less access to trade credit in the advanced stage </w:t>
      </w:r>
      <w:r w:rsidR="007638E7" w:rsidRPr="007638E7">
        <w:t>(</w:t>
      </w:r>
      <w:proofErr w:type="spellStart"/>
      <w:r w:rsidR="007638E7" w:rsidRPr="007638E7">
        <w:t>López</w:t>
      </w:r>
      <w:proofErr w:type="spellEnd"/>
      <w:r w:rsidR="007638E7" w:rsidRPr="007638E7">
        <w:t>-Gutiérrez et al., 2005)</w:t>
      </w:r>
      <w:r>
        <w:t>.</w:t>
      </w:r>
    </w:p>
    <w:p w:rsidR="00416B80" w:rsidRDefault="00416B80" w:rsidP="00416B80">
      <w:r>
        <w:t>Strategic Treasury Forecasting deficiency.</w:t>
      </w:r>
    </w:p>
    <w:p w:rsidR="00416B80" w:rsidRDefault="00416B80" w:rsidP="00416B80">
      <w:r>
        <w:t>Integrated cash forecasting is not evidenced. In the absence of predictive planning, cash disequilibrium increases, and the need to borrow escalates (Wang, 2004).</w:t>
      </w:r>
    </w:p>
    <w:p w:rsidR="002C183A" w:rsidRDefault="002C183A" w:rsidP="00510508">
      <w:pPr>
        <w:pStyle w:val="Heading2"/>
      </w:pPr>
      <w:bookmarkStart w:id="13" w:name="_Toc217278181"/>
      <w:r w:rsidRPr="002C183A">
        <w:t>2.3 Liquidity Improvement Strategy</w:t>
      </w:r>
      <w:bookmarkEnd w:id="13"/>
    </w:p>
    <w:p w:rsidR="002C183A" w:rsidRDefault="00C57E99" w:rsidP="002C183A">
      <w:r w:rsidRPr="00C57E99">
        <w:t>General Electronics needs to remodel its working capital structure to enhance liquidity, and the first step here would be to tighten the control of its receivables. The existing collection days of over 100 are not sustainable; hence, the company needs to use formal credit scoring, reward early payments, automate the invoicing process, and increase digital settlement systems. It is empirically proven that effective governance of receivables substantially enhances the free cash flow and lowers the capital lock-up (</w:t>
      </w:r>
      <w:proofErr w:type="spellStart"/>
      <w:r w:rsidRPr="00C57E99">
        <w:t>Afrifa</w:t>
      </w:r>
      <w:proofErr w:type="spellEnd"/>
      <w:r w:rsidRPr="00C57E99">
        <w:t xml:space="preserve"> and </w:t>
      </w:r>
      <w:proofErr w:type="spellStart"/>
      <w:r w:rsidRPr="00C57E99">
        <w:t>Tingbani</w:t>
      </w:r>
      <w:proofErr w:type="spellEnd"/>
      <w:r w:rsidRPr="00C57E99">
        <w:t xml:space="preserve">, 2018). There must also be </w:t>
      </w:r>
      <w:proofErr w:type="spellStart"/>
      <w:r w:rsidRPr="00C57E99">
        <w:t>rationalisation</w:t>
      </w:r>
      <w:proofErr w:type="spellEnd"/>
      <w:r w:rsidRPr="00C57E99">
        <w:t xml:space="preserve"> in inventory. A lean, batch-based, production, SKU </w:t>
      </w:r>
      <w:proofErr w:type="spellStart"/>
      <w:r w:rsidRPr="00C57E99">
        <w:t>optimisation</w:t>
      </w:r>
      <w:proofErr w:type="spellEnd"/>
      <w:r w:rsidRPr="00C57E99">
        <w:t xml:space="preserve">, and demand-based forecasting will reduce the holding times and risk of obsolescence has been already proved to shorten conversion cycles (Hofmann &amp; </w:t>
      </w:r>
      <w:proofErr w:type="spellStart"/>
      <w:r w:rsidRPr="00C57E99">
        <w:t>Kotzab</w:t>
      </w:r>
      <w:proofErr w:type="spellEnd"/>
      <w:r w:rsidRPr="00C57E99">
        <w:t>, 2010). Lastly, the renegotiation of longer supplier payment terms - 90-120-day terms would enhance better liquidity retention without cash outflow. Companies that have better access to trade credit have better chances of surviving in times of recessions (</w:t>
      </w:r>
      <w:proofErr w:type="spellStart"/>
      <w:r w:rsidRPr="00C57E99">
        <w:t>Cunat</w:t>
      </w:r>
      <w:proofErr w:type="spellEnd"/>
      <w:r w:rsidRPr="00C57E99">
        <w:t>, 2007).</w:t>
      </w:r>
    </w:p>
    <w:p w:rsidR="00E27D61" w:rsidRDefault="002C183A" w:rsidP="002C183A">
      <w:pPr>
        <w:pStyle w:val="Heading2"/>
      </w:pPr>
      <w:bookmarkStart w:id="14" w:name="_Toc217278182"/>
      <w:r w:rsidRPr="002C183A">
        <w:lastRenderedPageBreak/>
        <w:t>2.4 Financing Pathway: Short vs Long-term Instruments</w:t>
      </w:r>
      <w:bookmarkEnd w:id="14"/>
    </w:p>
    <w:p w:rsidR="00856E8E" w:rsidRDefault="002C183A" w:rsidP="002C183A">
      <w:r>
        <w:t xml:space="preserve">Financial distress implies that internal cash </w:t>
      </w:r>
      <w:proofErr w:type="spellStart"/>
      <w:r>
        <w:t>optimisation</w:t>
      </w:r>
      <w:proofErr w:type="spellEnd"/>
      <w:r>
        <w:t xml:space="preserve"> has to be supplemented by external financing. The appropriate choice of a financing approach is related to the risk, cost, and time balance (</w:t>
      </w:r>
      <w:proofErr w:type="spellStart"/>
      <w:r>
        <w:t>B</w:t>
      </w:r>
      <w:r w:rsidR="00C57E99">
        <w:t>realey</w:t>
      </w:r>
      <w:proofErr w:type="spellEnd"/>
      <w:r w:rsidR="00C57E99">
        <w:t>, Myers and Allen, 2022).</w:t>
      </w:r>
    </w:p>
    <w:p w:rsidR="002C183A" w:rsidRPr="002C183A" w:rsidRDefault="00510508" w:rsidP="002C183A">
      <w:pPr>
        <w:rPr>
          <w:b/>
        </w:rPr>
      </w:pPr>
      <w:r>
        <w:rPr>
          <w:b/>
        </w:rPr>
        <w:t>Short-Term Financing Options</w:t>
      </w:r>
    </w:p>
    <w:p w:rsidR="002C183A" w:rsidRDefault="002C183A" w:rsidP="002C183A">
      <w:r>
        <w:t>Short term options involve overdrafts, extension of trade credit, invoice factoring and revolving credit facilities. These tools enhance liquidity in the day-to-day operations and provide a flexible approach. An example is factoring where the conversion of the receivables can be quickened in a very short period (Pike, and Neale, 2006).</w:t>
      </w:r>
    </w:p>
    <w:p w:rsidR="002C183A" w:rsidRDefault="002C183A" w:rsidP="002C183A">
      <w:r>
        <w:t>Nevertheless, short-term borrowing augment refinancing risk and interest risk. Lenders might charge high premiums and restrictive collateral requirements due to a declining credit score of the firm.</w:t>
      </w:r>
    </w:p>
    <w:p w:rsidR="002C183A" w:rsidRPr="002C183A" w:rsidRDefault="002C183A" w:rsidP="002C183A">
      <w:pPr>
        <w:rPr>
          <w:b/>
        </w:rPr>
      </w:pPr>
      <w:r w:rsidRPr="002C183A">
        <w:rPr>
          <w:b/>
        </w:rPr>
        <w:t>Long-Term Financing Options</w:t>
      </w:r>
    </w:p>
    <w:p w:rsidR="002C183A" w:rsidRDefault="002C183A" w:rsidP="002C183A">
      <w:r>
        <w:t>The long-term funding options are bond issues, syndicated bank loans and equity issues. Restructuring long-term debt eliminates the pressure of maturity and safeguards the liquidity (</w:t>
      </w:r>
      <w:proofErr w:type="spellStart"/>
      <w:r>
        <w:t>Stulz</w:t>
      </w:r>
      <w:proofErr w:type="spellEnd"/>
      <w:r>
        <w:t>, 2020).</w:t>
      </w:r>
    </w:p>
    <w:p w:rsidR="002C183A" w:rsidRDefault="002C183A" w:rsidP="002C183A">
      <w:r>
        <w:t>Nonetheless, a growing leverage is inconsistent with the existing financial risk profile. The more suitable one is the equity capital: despite being dilutive, equity lowers the risk of insolvency and opens the door of financing available in operational reorganization (Graham and Harvey, 2001).</w:t>
      </w:r>
    </w:p>
    <w:p w:rsidR="002C183A" w:rsidRDefault="002C183A" w:rsidP="002C183A">
      <w:pPr>
        <w:pStyle w:val="Heading2"/>
      </w:pPr>
      <w:bookmarkStart w:id="15" w:name="_Toc217278183"/>
      <w:r>
        <w:t>2.5 Evaluation and Implications.</w:t>
      </w:r>
      <w:bookmarkEnd w:id="15"/>
    </w:p>
    <w:p w:rsidR="002C183A" w:rsidRDefault="002C183A" w:rsidP="002C183A">
      <w:r>
        <w:t>Enhancement of working capital efficiency would directly lessen cash strain, enhance credit ratings and decrease borrowing needs. Reducing a 151-day cycle to less than 120 days would free hundreds of millions of operational cash, eliminate debt reliance and help with restructuring implementation.</w:t>
      </w:r>
    </w:p>
    <w:p w:rsidR="002C183A" w:rsidRDefault="002C183A" w:rsidP="002C183A">
      <w:r>
        <w:lastRenderedPageBreak/>
        <w:t xml:space="preserve">Moreover, working capital is </w:t>
      </w:r>
      <w:proofErr w:type="spellStart"/>
      <w:r>
        <w:t>optimised</w:t>
      </w:r>
      <w:proofErr w:type="spellEnd"/>
      <w:r>
        <w:t>, which strengthens profitability. Companies that have a short cash cycle perform better in ROA and ROE ratios (</w:t>
      </w:r>
      <w:proofErr w:type="spellStart"/>
      <w:r>
        <w:t>Lazaridis</w:t>
      </w:r>
      <w:proofErr w:type="spellEnd"/>
      <w:r>
        <w:t xml:space="preserve"> and </w:t>
      </w:r>
      <w:proofErr w:type="spellStart"/>
      <w:r>
        <w:t>Tryfonidis</w:t>
      </w:r>
      <w:proofErr w:type="spellEnd"/>
      <w:r>
        <w:t>, 2006).</w:t>
      </w:r>
    </w:p>
    <w:p w:rsidR="002C183A" w:rsidRDefault="002C183A" w:rsidP="002C183A">
      <w:r>
        <w:t>Above all, the working capital reform creates a platform of the long-term restructuring. In the absence of proper adjustment of the inventory quantities, the quality of receivables and the supplier financing the company is subject to going into the formal insolvency regardless of the so</w:t>
      </w:r>
      <w:r w:rsidR="00856E8E">
        <w:t>lvency restructuring exercises.</w:t>
      </w:r>
    </w:p>
    <w:p w:rsidR="002C183A" w:rsidRDefault="002C183A" w:rsidP="002C183A">
      <w:pPr>
        <w:pStyle w:val="Heading2"/>
      </w:pPr>
      <w:bookmarkStart w:id="16" w:name="_Toc217278184"/>
      <w:r>
        <w:t>Section Summary</w:t>
      </w:r>
      <w:bookmarkEnd w:id="16"/>
    </w:p>
    <w:p w:rsidR="002C183A" w:rsidRDefault="002C183A" w:rsidP="002C183A">
      <w:r>
        <w:t xml:space="preserve">The working capital structure of General Electronics has worsened significantly. The long operating cycle, inadequate receivable management, low </w:t>
      </w:r>
      <w:proofErr w:type="spellStart"/>
      <w:r>
        <w:t>utilisation</w:t>
      </w:r>
      <w:proofErr w:type="spellEnd"/>
      <w:r>
        <w:t xml:space="preserve"> of payables and misalignment of inventories portrays systemic liquidity mismanagement. These conditions, in combination with the debt pressure and loss of profitability, put the firm in acute financial risk. By managing specific reforms - receive tightening, lean inventory management, supplier credit renegotiation and treasury forecasting - the </w:t>
      </w:r>
      <w:proofErr w:type="spellStart"/>
      <w:r>
        <w:t>organisation</w:t>
      </w:r>
      <w:proofErr w:type="spellEnd"/>
      <w:r>
        <w:t xml:space="preserve"> will be able to cut investment in working assets, </w:t>
      </w:r>
      <w:proofErr w:type="spellStart"/>
      <w:r>
        <w:t>stabilise</w:t>
      </w:r>
      <w:proofErr w:type="spellEnd"/>
      <w:r>
        <w:t xml:space="preserve"> liquidity and develop turnaround resiliency.</w:t>
      </w:r>
    </w:p>
    <w:p w:rsidR="002C183A" w:rsidRDefault="00FF69C1" w:rsidP="00FF69C1">
      <w:pPr>
        <w:pStyle w:val="Heading1"/>
      </w:pPr>
      <w:bookmarkStart w:id="17" w:name="_Toc217278185"/>
      <w:r>
        <w:t xml:space="preserve">3. Strategic Restructuring and Financial </w:t>
      </w:r>
      <w:proofErr w:type="spellStart"/>
      <w:r>
        <w:t>Reorganisation</w:t>
      </w:r>
      <w:proofErr w:type="spellEnd"/>
      <w:r>
        <w:t xml:space="preserve"> Plan</w:t>
      </w:r>
      <w:bookmarkEnd w:id="17"/>
    </w:p>
    <w:p w:rsidR="007F390A" w:rsidRDefault="007F390A" w:rsidP="007F390A">
      <w:r>
        <w:t xml:space="preserve">The financial troubles of General Electronics need not be addressed through incremental cost correction, but in the systematic way of restructuring the whole company. The persistent losses, excessive leverage, declining liquidity, and worsening shareholder value reflect distress levels that can be associated with the features of turnaround literature (Pearce and Robbins, 2008). The following restructuring plan suggests divestiture, debt </w:t>
      </w:r>
      <w:proofErr w:type="spellStart"/>
      <w:r>
        <w:t>reorganisation</w:t>
      </w:r>
      <w:proofErr w:type="spellEnd"/>
      <w:r>
        <w:t xml:space="preserve">, equity </w:t>
      </w:r>
      <w:proofErr w:type="spellStart"/>
      <w:r>
        <w:t>recapitalisation</w:t>
      </w:r>
      <w:proofErr w:type="spellEnd"/>
      <w:r>
        <w:t xml:space="preserve"> and operational repositioning to recap the solvency and enhance future competitiveness.</w:t>
      </w:r>
    </w:p>
    <w:p w:rsidR="007F390A" w:rsidRDefault="007F390A" w:rsidP="007F390A">
      <w:pPr>
        <w:pStyle w:val="Heading2"/>
      </w:pPr>
      <w:bookmarkStart w:id="18" w:name="_Toc217278186"/>
      <w:r>
        <w:t>3.1 Rationale of Restructuring</w:t>
      </w:r>
      <w:bookmarkEnd w:id="18"/>
    </w:p>
    <w:p w:rsidR="007F390A" w:rsidRDefault="007F390A" w:rsidP="007F390A">
      <w:r>
        <w:t xml:space="preserve">Consumer electronics is experiencing declining margins, fierce innovation and cost turmoil due to currency volatility, structural stress on companies with little financial </w:t>
      </w:r>
      <w:r>
        <w:lastRenderedPageBreak/>
        <w:t>cushion (</w:t>
      </w:r>
      <w:r w:rsidR="000400C0" w:rsidRPr="000400C0">
        <w:t>(World Bank Group et al., 2017)</w:t>
      </w:r>
      <w:r>
        <w:t xml:space="preserve">). Consequently, General Electronics needs to be restructured at the capital and operational and strategic levels. The first phase should be </w:t>
      </w:r>
      <w:proofErr w:type="spellStart"/>
      <w:r>
        <w:t>stabilisation</w:t>
      </w:r>
      <w:proofErr w:type="spellEnd"/>
      <w:r>
        <w:t xml:space="preserve"> that is achieved by enhancing balance sheets to make room to carry out operational reform (Gilson, 2012).</w:t>
      </w:r>
    </w:p>
    <w:p w:rsidR="007F390A" w:rsidRDefault="007F390A" w:rsidP="007F390A">
      <w:pPr>
        <w:pStyle w:val="Heading2"/>
      </w:pPr>
      <w:bookmarkStart w:id="19" w:name="_Toc217278187"/>
      <w:r w:rsidRPr="007F390A">
        <w:t>3.2 Release Ca</w:t>
      </w:r>
      <w:r>
        <w:t>pital through Asset Divestiture</w:t>
      </w:r>
      <w:bookmarkEnd w:id="19"/>
    </w:p>
    <w:p w:rsidR="007F390A" w:rsidRDefault="007F390A" w:rsidP="007F390A">
      <w:r>
        <w:t xml:space="preserve">The appropriate starting reform is divestiture to create liquidity, a decrease in the cost of fixed loads, and enhanced strategic focus. Divestment is often beneficial in terms of improving the post-sale profitability where the proceeds of the asset are greater than the present value of the future losses (Kaplan and </w:t>
      </w:r>
      <w:proofErr w:type="spellStart"/>
      <w:r>
        <w:t>Weisbach</w:t>
      </w:r>
      <w:proofErr w:type="spellEnd"/>
      <w:r>
        <w:t>, 1992).</w:t>
      </w:r>
    </w:p>
    <w:p w:rsidR="007F390A" w:rsidRDefault="007F390A" w:rsidP="007F390A">
      <w:r>
        <w:t xml:space="preserve">General Electronics should sell at least one nonperforming manufacturing subsidiary, preferably an established European plant having decreasing asset turns. Proceeds of </w:t>
      </w:r>
      <w:r w:rsidRPr="007F390A">
        <w:t>£200–£250</w:t>
      </w:r>
      <w:r>
        <w:t xml:space="preserve"> million would allow repaying the debt immediately, which would decrease the interest burden and decrease gearing.</w:t>
      </w:r>
    </w:p>
    <w:p w:rsidR="007F390A" w:rsidRDefault="007F390A" w:rsidP="007F390A">
      <w:r w:rsidRPr="007F390A">
        <w:t xml:space="preserve">Divestiture is also a way of increasing agility by eliminating legacy cost structures. Nevertheless, ethical issues must be handled through responsible reorganization: </w:t>
      </w:r>
      <w:proofErr w:type="spellStart"/>
      <w:r w:rsidRPr="007F390A">
        <w:t>severage</w:t>
      </w:r>
      <w:proofErr w:type="spellEnd"/>
      <w:r w:rsidRPr="007F390A">
        <w:t xml:space="preserve"> support, relocation of employees, and open communication will maintain reputation capital </w:t>
      </w:r>
      <w:r w:rsidR="00E006B8" w:rsidRPr="00E006B8">
        <w:t>(Arnold, 2019)</w:t>
      </w:r>
      <w:r w:rsidRPr="007F390A">
        <w:t>.</w:t>
      </w:r>
    </w:p>
    <w:p w:rsidR="007F390A" w:rsidRDefault="007F390A" w:rsidP="007F390A">
      <w:pPr>
        <w:pStyle w:val="Heading2"/>
      </w:pPr>
      <w:bookmarkStart w:id="20" w:name="_Toc217278188"/>
      <w:r>
        <w:t>3.3 Debt Restructuring and Covenant Redesign</w:t>
      </w:r>
      <w:bookmarkEnd w:id="20"/>
    </w:p>
    <w:p w:rsidR="007F390A" w:rsidRDefault="007F390A" w:rsidP="007F390A">
      <w:r>
        <w:t>The cost of interest and restrictive covenants are hampering flexibility in operations. Rebooking of debt through lengthening of repayment periods and lowering interest margins should be emphasized. Companies that refinance early in distress normally have greater survival rates and reduced insolvency price (Frank &amp; Goyal, 2007).</w:t>
      </w:r>
    </w:p>
    <w:p w:rsidR="007F390A" w:rsidRDefault="007F390A" w:rsidP="007F390A">
      <w:r>
        <w:t xml:space="preserve">Part of the long-term borrowing could be converted to debt in order to decrease gearing and increase net worth. Literature indicates that swaps cause a reduction in the level of bankruptcy but they do not cause a continuation of </w:t>
      </w:r>
      <w:proofErr w:type="spellStart"/>
      <w:r>
        <w:t>organisation</w:t>
      </w:r>
      <w:proofErr w:type="spellEnd"/>
      <w:r>
        <w:t xml:space="preserve"> (</w:t>
      </w:r>
      <w:proofErr w:type="spellStart"/>
      <w:r>
        <w:t>Gertner</w:t>
      </w:r>
      <w:proofErr w:type="spellEnd"/>
      <w:r>
        <w:t xml:space="preserve"> and </w:t>
      </w:r>
      <w:proofErr w:type="spellStart"/>
      <w:r>
        <w:t>Scharfstein</w:t>
      </w:r>
      <w:proofErr w:type="spellEnd"/>
      <w:r>
        <w:t xml:space="preserve"> 1991).</w:t>
      </w:r>
    </w:p>
    <w:p w:rsidR="007F390A" w:rsidRDefault="007F390A" w:rsidP="007F390A">
      <w:r>
        <w:t xml:space="preserve">In addition, the company needs to transform floating-rate exposure to fixed-rate borrowing in order to reduce volatility. As the rates of inflation all over the world are increasing </w:t>
      </w:r>
      <w:r>
        <w:lastRenderedPageBreak/>
        <w:t>interest rates, the cash planning is aided by the fixed rate stability (Bank for International Settlement, 2022).</w:t>
      </w:r>
    </w:p>
    <w:p w:rsidR="007F390A" w:rsidRDefault="007F390A" w:rsidP="007F390A">
      <w:pPr>
        <w:pStyle w:val="Heading2"/>
      </w:pPr>
      <w:bookmarkStart w:id="21" w:name="_Toc217278189"/>
      <w:r>
        <w:t>3.4 Solvency Strengthening through Equity Injection</w:t>
      </w:r>
      <w:bookmarkEnd w:id="21"/>
    </w:p>
    <w:p w:rsidR="007F390A" w:rsidRDefault="007F390A" w:rsidP="007F390A">
      <w:r>
        <w:t>The capital injection is required to restore liquidity and finance operational changes. A strategic investor entry or a private equity placement is better than a general public issue, which is prone to undervaluation of shares.</w:t>
      </w:r>
    </w:p>
    <w:p w:rsidR="007F390A" w:rsidRDefault="007F390A" w:rsidP="007F390A">
      <w:r>
        <w:t xml:space="preserve">The purchase of equity by an Asian company trying to find European distribution may introduce synergy and enhance with the supplier. Investment in the sovereign wealth fund can also be appealing as these funds focus on the long-term equity investment in technology sectors (Megginson and </w:t>
      </w:r>
      <w:proofErr w:type="spellStart"/>
      <w:r>
        <w:t>Fotak</w:t>
      </w:r>
      <w:proofErr w:type="spellEnd"/>
      <w:r>
        <w:t>, 2021).</w:t>
      </w:r>
    </w:p>
    <w:p w:rsidR="007F390A" w:rsidRDefault="007F390A" w:rsidP="007F390A">
      <w:r>
        <w:t>Equity financing can also dilute the ownership, but it lowers the bankruptcy risk, enhances creditworthiness and offers strategic flexibility, which is in line with empirical findings in troubled markets (</w:t>
      </w:r>
      <w:proofErr w:type="spellStart"/>
      <w:r>
        <w:t>Hagendorff</w:t>
      </w:r>
      <w:proofErr w:type="spellEnd"/>
      <w:r>
        <w:t xml:space="preserve"> et al., 2014).</w:t>
      </w:r>
    </w:p>
    <w:p w:rsidR="007F390A" w:rsidRDefault="007F390A" w:rsidP="007F390A">
      <w:pPr>
        <w:pStyle w:val="Heading2"/>
      </w:pPr>
      <w:bookmarkStart w:id="22" w:name="_Toc217278190"/>
      <w:r>
        <w:t>3.5 Merger and Acquisition Option</w:t>
      </w:r>
      <w:bookmarkEnd w:id="22"/>
    </w:p>
    <w:p w:rsidR="007F390A" w:rsidRDefault="007F390A" w:rsidP="007F390A">
      <w:r>
        <w:t>The acquisition of a mid-sized electronic company that is a horizontal merger would generate R&amp;D and procurement synergies. The idea of mergers and acquisitions under distressing circumstances is becoming more frequent, especially when technology transfer could alleviate redundancy and improve the pricing strength (</w:t>
      </w:r>
      <w:proofErr w:type="spellStart"/>
      <w:r>
        <w:t>Erel</w:t>
      </w:r>
      <w:proofErr w:type="spellEnd"/>
      <w:r>
        <w:t xml:space="preserve">, Jang and </w:t>
      </w:r>
      <w:proofErr w:type="spellStart"/>
      <w:r>
        <w:t>Weisbach</w:t>
      </w:r>
      <w:proofErr w:type="spellEnd"/>
      <w:r>
        <w:t>, 2015).</w:t>
      </w:r>
    </w:p>
    <w:p w:rsidR="007F390A" w:rsidRDefault="007F390A" w:rsidP="007F390A">
      <w:r>
        <w:t>However, there is a high risk of integration. Expected shareholder gains are often destroyed by culture clashes and incompatible systems (Cartwright and Schoenberg, 2006). Thus, mergers can only be the second resort in case of the incompetence of the divestiture and capital raising.</w:t>
      </w:r>
    </w:p>
    <w:p w:rsidR="007F390A" w:rsidRDefault="007F390A" w:rsidP="007F390A">
      <w:pPr>
        <w:pStyle w:val="Heading2"/>
      </w:pPr>
      <w:bookmarkStart w:id="23" w:name="_Toc217278191"/>
      <w:r>
        <w:t>3.6 Operational Cost Realignment and Supply Chain Reform</w:t>
      </w:r>
      <w:bookmarkEnd w:id="23"/>
    </w:p>
    <w:p w:rsidR="00856E8E" w:rsidRDefault="007F390A" w:rsidP="007F390A">
      <w:r>
        <w:t xml:space="preserve">Financial restructuring should be accompanied by operational restructuring. The production base of the company is still too cost intensive in part due to the reliance on </w:t>
      </w:r>
      <w:r>
        <w:lastRenderedPageBreak/>
        <w:t>parts priced in dollars. Depreciation of currency raises material c</w:t>
      </w:r>
      <w:r w:rsidR="00E24C67">
        <w:t>ost which reduces gross margin.</w:t>
      </w:r>
    </w:p>
    <w:p w:rsidR="007F390A" w:rsidRPr="007F390A" w:rsidRDefault="007F390A" w:rsidP="007F390A">
      <w:pPr>
        <w:rPr>
          <w:b/>
        </w:rPr>
      </w:pPr>
      <w:r w:rsidRPr="007F390A">
        <w:rPr>
          <w:b/>
        </w:rPr>
        <w:t>Actions include:</w:t>
      </w:r>
    </w:p>
    <w:p w:rsidR="007F390A" w:rsidRDefault="007F390A" w:rsidP="007F390A">
      <w:pPr>
        <w:pStyle w:val="ListParagraph"/>
        <w:numPr>
          <w:ilvl w:val="0"/>
          <w:numId w:val="3"/>
        </w:numPr>
      </w:pPr>
      <w:r>
        <w:t>re-pricing supplier contracts in multi-currencies,</w:t>
      </w:r>
    </w:p>
    <w:p w:rsidR="007F390A" w:rsidRDefault="007F390A" w:rsidP="007F390A">
      <w:pPr>
        <w:pStyle w:val="ListParagraph"/>
        <w:numPr>
          <w:ilvl w:val="0"/>
          <w:numId w:val="3"/>
        </w:numPr>
      </w:pPr>
      <w:r>
        <w:t>negotiating energy efficient production contracts,</w:t>
      </w:r>
    </w:p>
    <w:p w:rsidR="007F390A" w:rsidRDefault="007F390A" w:rsidP="007F390A">
      <w:pPr>
        <w:pStyle w:val="ListParagraph"/>
        <w:numPr>
          <w:ilvl w:val="0"/>
          <w:numId w:val="3"/>
        </w:numPr>
      </w:pPr>
      <w:r>
        <w:t>and accelerating the adoption of lean manufacturing</w:t>
      </w:r>
    </w:p>
    <w:p w:rsidR="007F390A" w:rsidRDefault="007F390A" w:rsidP="007F390A">
      <w:r>
        <w:t>Lean production proved to minimize waste and allow recovery of margin in electronics production (</w:t>
      </w:r>
      <w:proofErr w:type="spellStart"/>
      <w:r>
        <w:t>Filippini</w:t>
      </w:r>
      <w:proofErr w:type="spellEnd"/>
      <w:r>
        <w:t xml:space="preserve">, </w:t>
      </w:r>
      <w:proofErr w:type="spellStart"/>
      <w:r>
        <w:t>Guttel</w:t>
      </w:r>
      <w:proofErr w:type="spellEnd"/>
      <w:r>
        <w:t xml:space="preserve"> &amp; </w:t>
      </w:r>
      <w:proofErr w:type="spellStart"/>
      <w:r>
        <w:t>Nosella</w:t>
      </w:r>
      <w:proofErr w:type="spellEnd"/>
      <w:r>
        <w:t>, 2012).</w:t>
      </w:r>
    </w:p>
    <w:p w:rsidR="007F390A" w:rsidRDefault="007F390A" w:rsidP="007F390A">
      <w:r>
        <w:t>In addition, the procurement redesign reduces the dependency risk. Geopolitical and logistic disruption Sourcing diversification is consistent with resilience theory, which safeguards the operation against these types of disruption.</w:t>
      </w:r>
    </w:p>
    <w:p w:rsidR="007F390A" w:rsidRDefault="007F390A" w:rsidP="007F390A">
      <w:pPr>
        <w:pStyle w:val="Heading2"/>
      </w:pPr>
      <w:bookmarkStart w:id="24" w:name="_Toc217278192"/>
      <w:r>
        <w:t>3.7 International Financial Considerations</w:t>
      </w:r>
      <w:bookmarkEnd w:id="24"/>
    </w:p>
    <w:p w:rsidR="007F390A" w:rsidRPr="007F390A" w:rsidRDefault="007F390A" w:rsidP="007F390A">
      <w:pPr>
        <w:rPr>
          <w:b/>
        </w:rPr>
      </w:pPr>
      <w:r w:rsidRPr="007F390A">
        <w:rPr>
          <w:b/>
        </w:rPr>
        <w:t>Tax efficiency</w:t>
      </w:r>
    </w:p>
    <w:p w:rsidR="007F390A" w:rsidRDefault="007F390A" w:rsidP="007F390A">
      <w:r>
        <w:t xml:space="preserve">The company must take advantage of the legitimate tax </w:t>
      </w:r>
      <w:proofErr w:type="spellStart"/>
      <w:r>
        <w:t>optimisation</w:t>
      </w:r>
      <w:proofErr w:type="spellEnd"/>
      <w:r>
        <w:t xml:space="preserve"> measures through global structuring. Effective tax rates can be reduced through relocation of R&amp;D intellectual property to lower tax jurisdiction, which is in line with the OECD regulation (Hanlon and </w:t>
      </w:r>
      <w:proofErr w:type="spellStart"/>
      <w:r>
        <w:t>Heitzman</w:t>
      </w:r>
      <w:proofErr w:type="spellEnd"/>
      <w:r>
        <w:t>, 2010).</w:t>
      </w:r>
    </w:p>
    <w:p w:rsidR="007F390A" w:rsidRPr="007F390A" w:rsidRDefault="007F390A" w:rsidP="007F390A">
      <w:pPr>
        <w:rPr>
          <w:b/>
        </w:rPr>
      </w:pPr>
      <w:r>
        <w:rPr>
          <w:b/>
        </w:rPr>
        <w:t>Currency hedging</w:t>
      </w:r>
    </w:p>
    <w:p w:rsidR="007F390A" w:rsidRDefault="007F390A" w:rsidP="007F390A">
      <w:r>
        <w:t>Foreign exchange exposure--especially the dollar elements that have been acquired against sterling revenue--need to be hedged with forwards and options. Foreign Exchange (FX) hedging plays a major role in minimizing the volatility of earnings and the risk</w:t>
      </w:r>
      <w:r w:rsidR="00E24C67">
        <w:t>s of market valuation (Bartram</w:t>
      </w:r>
      <w:r>
        <w:t>,</w:t>
      </w:r>
      <w:r w:rsidR="00E24C67">
        <w:t xml:space="preserve"> et al.</w:t>
      </w:r>
      <w:r>
        <w:t xml:space="preserve"> 2011).</w:t>
      </w:r>
    </w:p>
    <w:p w:rsidR="007F390A" w:rsidRPr="002054A3" w:rsidRDefault="007F390A" w:rsidP="002054A3">
      <w:pPr>
        <w:rPr>
          <w:b/>
        </w:rPr>
      </w:pPr>
      <w:r w:rsidRPr="002054A3">
        <w:rPr>
          <w:b/>
        </w:rPr>
        <w:t>Inflation sensitivity</w:t>
      </w:r>
    </w:p>
    <w:p w:rsidR="007F390A" w:rsidRDefault="007F390A" w:rsidP="007F390A">
      <w:r>
        <w:t>To capture persistent inflation, price-adjustment channels should be developed. Unless prices are pegged to inflation, the margins on earnings will be diminished further, and valuation will decline.</w:t>
      </w:r>
    </w:p>
    <w:p w:rsidR="007F390A" w:rsidRDefault="007F390A" w:rsidP="00E73A2E">
      <w:pPr>
        <w:pStyle w:val="Heading2"/>
      </w:pPr>
      <w:bookmarkStart w:id="25" w:name="_Toc217278193"/>
      <w:r>
        <w:lastRenderedPageBreak/>
        <w:t>3.8 Corporate Governance and Ethical Responsibility.</w:t>
      </w:r>
      <w:bookmarkEnd w:id="25"/>
    </w:p>
    <w:p w:rsidR="007F390A" w:rsidRDefault="007F390A" w:rsidP="007F390A">
      <w:r>
        <w:t>Ethical decision-making can be destroyed quite easily by financial distress, which motivates cost reduction at the cost of employees and sustainability initiatives. Nevertheless, the stakeholder theory maintains that restructuring success relies on ethical transparency and trust among the stakeholders (Freeman, 1984).</w:t>
      </w:r>
    </w:p>
    <w:p w:rsidR="007F390A" w:rsidRDefault="007F390A" w:rsidP="007F390A">
      <w:r>
        <w:t>Restructuring should therefore safeguard:</w:t>
      </w:r>
    </w:p>
    <w:p w:rsidR="007F390A" w:rsidRDefault="007F390A" w:rsidP="007F390A">
      <w:pPr>
        <w:pStyle w:val="ListParagraph"/>
        <w:numPr>
          <w:ilvl w:val="0"/>
          <w:numId w:val="4"/>
        </w:numPr>
      </w:pPr>
      <w:r>
        <w:t>employee consultation,</w:t>
      </w:r>
    </w:p>
    <w:p w:rsidR="007F390A" w:rsidRDefault="007F390A" w:rsidP="007F390A">
      <w:pPr>
        <w:pStyle w:val="ListParagraph"/>
        <w:numPr>
          <w:ilvl w:val="0"/>
          <w:numId w:val="4"/>
        </w:numPr>
      </w:pPr>
      <w:r>
        <w:t>environmental procurement standards,</w:t>
      </w:r>
    </w:p>
    <w:p w:rsidR="007F390A" w:rsidRDefault="007F390A" w:rsidP="007F390A">
      <w:pPr>
        <w:pStyle w:val="ListParagraph"/>
        <w:numPr>
          <w:ilvl w:val="0"/>
          <w:numId w:val="4"/>
        </w:numPr>
      </w:pPr>
      <w:r>
        <w:t>responsible downsizing, and</w:t>
      </w:r>
    </w:p>
    <w:p w:rsidR="007F390A" w:rsidRDefault="007F390A" w:rsidP="007F390A">
      <w:pPr>
        <w:pStyle w:val="ListParagraph"/>
        <w:numPr>
          <w:ilvl w:val="0"/>
          <w:numId w:val="4"/>
        </w:numPr>
      </w:pPr>
      <w:r>
        <w:t>honest investor disclosure</w:t>
      </w:r>
    </w:p>
    <w:p w:rsidR="007F390A" w:rsidRDefault="007F390A" w:rsidP="007F390A">
      <w:r>
        <w:t>Businesses with high CSR performance in the process of restructuring experience consumer loyalty and investor confidence (Porter and Kramer, 2011).</w:t>
      </w:r>
    </w:p>
    <w:p w:rsidR="007F390A" w:rsidRDefault="007F390A" w:rsidP="007F390A">
      <w:pPr>
        <w:pStyle w:val="Heading2"/>
      </w:pPr>
      <w:bookmarkStart w:id="26" w:name="_Toc217278194"/>
      <w:r>
        <w:t>3.9 Expected Effect on Shareholder Value and Risk Profile</w:t>
      </w:r>
      <w:bookmarkEnd w:id="26"/>
    </w:p>
    <w:p w:rsidR="00FF69C1" w:rsidRDefault="00C57E99" w:rsidP="007F390A">
      <w:r w:rsidRPr="00C57E99">
        <w:t xml:space="preserve">The effective execution of the restructuring blueprint must increase the shareholder value through reduced financial risk and increased earnings power in the long run. The leverage reduction would lead to the reduction of default probability and equity risk premiums, and debt </w:t>
      </w:r>
      <w:proofErr w:type="spellStart"/>
      <w:r w:rsidRPr="00C57E99">
        <w:t>reprofiling</w:t>
      </w:r>
      <w:proofErr w:type="spellEnd"/>
      <w:r w:rsidRPr="00C57E99">
        <w:t xml:space="preserve"> would enhance profitability with the reduced interest payment. Divestiture and cost of operation reform would most likely enhance ROA, asset </w:t>
      </w:r>
      <w:proofErr w:type="spellStart"/>
      <w:r w:rsidRPr="00C57E99">
        <w:t>utilisation</w:t>
      </w:r>
      <w:proofErr w:type="spellEnd"/>
      <w:r w:rsidRPr="00C57E99">
        <w:t xml:space="preserve"> and margins, which would </w:t>
      </w:r>
      <w:proofErr w:type="spellStart"/>
      <w:r w:rsidRPr="00C57E99">
        <w:t>favour</w:t>
      </w:r>
      <w:proofErr w:type="spellEnd"/>
      <w:r w:rsidRPr="00C57E99">
        <w:t xml:space="preserve"> higher valuation multiples. A capital injection will strengthen liquidity and credit, increasing the level of investment. All of these result in decreased weighted average cost of capital of the firm, thereby augmenting intrinsic valuation (</w:t>
      </w:r>
      <w:proofErr w:type="spellStart"/>
      <w:r w:rsidRPr="00C57E99">
        <w:t>Damodaran</w:t>
      </w:r>
      <w:proofErr w:type="spellEnd"/>
      <w:r w:rsidRPr="00C57E99">
        <w:t>, 2015), and enhancing resilience to the fact that the market or the technology will break down.</w:t>
      </w:r>
    </w:p>
    <w:p w:rsidR="00E73A2E" w:rsidRDefault="00E73A2E" w:rsidP="008A1ED6">
      <w:pPr>
        <w:pStyle w:val="Heading1"/>
      </w:pPr>
      <w:bookmarkStart w:id="27" w:name="_Toc217278195"/>
      <w:r w:rsidRPr="00E73A2E">
        <w:t>4. Investment Appraisal and Capital Allocation Strategy</w:t>
      </w:r>
      <w:bookmarkEnd w:id="27"/>
    </w:p>
    <w:p w:rsidR="00675826" w:rsidRDefault="00675826" w:rsidP="00675826">
      <w:r>
        <w:t xml:space="preserve">The selection of capital investment is an important stage of the turnaround strategy of General Electronics because the </w:t>
      </w:r>
      <w:proofErr w:type="spellStart"/>
      <w:r>
        <w:t>organisation</w:t>
      </w:r>
      <w:proofErr w:type="spellEnd"/>
      <w:r>
        <w:t xml:space="preserve"> needs to ensure that limited capital is invested in projects that are financially stable, strategically appropriate and restructuring </w:t>
      </w:r>
      <w:r>
        <w:lastRenderedPageBreak/>
        <w:t>objectives. The investment appraisal theory points out that significant capital investments must be assessed through a variety of methods to avoid making decisions that are biased in the methods used (</w:t>
      </w:r>
      <w:r w:rsidR="00E24C67">
        <w:t xml:space="preserve">(Megginson and </w:t>
      </w:r>
      <w:proofErr w:type="spellStart"/>
      <w:r w:rsidR="00E24C67">
        <w:t>Fotak</w:t>
      </w:r>
      <w:proofErr w:type="spellEnd"/>
      <w:r w:rsidR="00E24C67">
        <w:t>, 2021</w:t>
      </w:r>
      <w:r>
        <w:t>). This discussion considers three mutually exclusive projects in guidelines of corporate capital budgeting Project A (</w:t>
      </w:r>
      <w:r w:rsidR="008E5EF0" w:rsidRPr="008E5EF0">
        <w:t>£</w:t>
      </w:r>
      <w:r>
        <w:t>40m), Project B</w:t>
      </w:r>
      <w:r w:rsidR="008E5EF0">
        <w:t xml:space="preserve"> </w:t>
      </w:r>
      <w:r>
        <w:t>(</w:t>
      </w:r>
      <w:r w:rsidR="008E5EF0" w:rsidRPr="008E5EF0">
        <w:t>£</w:t>
      </w:r>
      <w:r>
        <w:t>30m) and Project C (</w:t>
      </w:r>
      <w:r w:rsidR="008E5EF0" w:rsidRPr="008E5EF0">
        <w:t>£</w:t>
      </w:r>
      <w:r>
        <w:t>50m) and produces net annual cash inflows in the next five years. Discounting is 10% and zero straight-line depreciation are a result of typical valuation assumptions (</w:t>
      </w:r>
      <w:proofErr w:type="spellStart"/>
      <w:r>
        <w:t>Brealey</w:t>
      </w:r>
      <w:proofErr w:type="spellEnd"/>
      <w:r>
        <w:t>, Myers and Allen, 2022). Since the senior management has made it very capital-limiting (</w:t>
      </w:r>
      <w:r w:rsidR="008E5EF0" w:rsidRPr="008E5EF0">
        <w:t>£</w:t>
      </w:r>
      <w:r>
        <w:t>60m), the company has to pursue a capital-rationing logic, thereby determining which project is best at boosting shareholder wealth and at helping a company to meet the liquidity needs in the short run.</w:t>
      </w:r>
    </w:p>
    <w:p w:rsidR="00675826" w:rsidRDefault="00675826" w:rsidP="00E006B8">
      <w:pPr>
        <w:pStyle w:val="Heading2"/>
      </w:pPr>
      <w:bookmarkStart w:id="28" w:name="_Toc217278196"/>
      <w:r>
        <w:t xml:space="preserve">4.1 </w:t>
      </w:r>
      <w:r w:rsidRPr="00675826">
        <w:t>Payback Period and Solvency Priorities</w:t>
      </w:r>
      <w:bookmarkEnd w:id="28"/>
    </w:p>
    <w:p w:rsidR="00675826" w:rsidRDefault="00675826" w:rsidP="00675826">
      <w:r>
        <w:t>Payback Period (PBP) is used to estimate the time at which the initial investment is recovered. Payback, despite widespread criticism that it does not take into account discounting and post-payback value (Watson and Head, 2020), is an informative tool in a distressed setting, as it prioritizes a quick recovery of liquidity and mitigates the risk of a long-term forecasting error (</w:t>
      </w:r>
      <w:proofErr w:type="spellStart"/>
      <w:r>
        <w:t>Atrill</w:t>
      </w:r>
      <w:proofErr w:type="spellEnd"/>
      <w:r>
        <w:t xml:space="preserve"> and </w:t>
      </w:r>
      <w:proofErr w:type="spellStart"/>
      <w:r>
        <w:t>McLaney</w:t>
      </w:r>
      <w:proofErr w:type="spellEnd"/>
      <w:r>
        <w:t>, 2020).</w:t>
      </w:r>
    </w:p>
    <w:p w:rsidR="00675826" w:rsidRDefault="00675826" w:rsidP="00675826">
      <w:r>
        <w:t xml:space="preserve">Project A has the quickest payback, and the capital is recovered slightly after the Year 3. This quick turnover is of great importance to the solvency position of General Electronics since working capital restraint and high refinancing obligations necessitate prompt cash infusion. According to Truong, </w:t>
      </w:r>
      <w:proofErr w:type="spellStart"/>
      <w:r>
        <w:t>Partington</w:t>
      </w:r>
      <w:proofErr w:type="spellEnd"/>
      <w:r>
        <w:t xml:space="preserve"> and Peat (2008), short-payback investments are more often given priority in financially distressed </w:t>
      </w:r>
      <w:proofErr w:type="spellStart"/>
      <w:r>
        <w:t>organisations</w:t>
      </w:r>
      <w:proofErr w:type="spellEnd"/>
      <w:r>
        <w:t xml:space="preserve"> to facilitate liquidity </w:t>
      </w:r>
      <w:proofErr w:type="spellStart"/>
      <w:r>
        <w:t>stabilisation</w:t>
      </w:r>
      <w:proofErr w:type="spellEnd"/>
      <w:r>
        <w:t>.</w:t>
      </w:r>
    </w:p>
    <w:p w:rsidR="00675826" w:rsidRDefault="00675826" w:rsidP="00675826">
      <w:r>
        <w:t xml:space="preserve">Project C recovers capital later in the Year 4 which is decent, but the inflows are delayed in the early stages which means that liquidity strains are heightened during the restructuring period. On the other hand, Project B does not pay back until the fifth year and has a marginal liquidity value. Since the success of restructuring relies on internal cash financing the trade creditor cuts, inventory </w:t>
      </w:r>
      <w:proofErr w:type="spellStart"/>
      <w:r>
        <w:t>optimisation</w:t>
      </w:r>
      <w:proofErr w:type="spellEnd"/>
      <w:r>
        <w:t xml:space="preserve"> and debt servicing, the lengthy return profile of Project B is not </w:t>
      </w:r>
      <w:proofErr w:type="spellStart"/>
      <w:r>
        <w:t>favourable</w:t>
      </w:r>
      <w:proofErr w:type="spellEnd"/>
      <w:r>
        <w:t>.</w:t>
      </w:r>
    </w:p>
    <w:p w:rsidR="00675826" w:rsidRDefault="00675826" w:rsidP="00675826">
      <w:r>
        <w:lastRenderedPageBreak/>
        <w:t>According to the payback logic, the Project A is most suitable to the immediate solvency strategy of the firm.</w:t>
      </w:r>
    </w:p>
    <w:p w:rsidR="00675826" w:rsidRDefault="00675826" w:rsidP="00675826">
      <w:pPr>
        <w:pStyle w:val="Heading2"/>
      </w:pPr>
      <w:bookmarkStart w:id="29" w:name="_Toc217278197"/>
      <w:r>
        <w:t xml:space="preserve">4.2 </w:t>
      </w:r>
      <w:r w:rsidRPr="00675826">
        <w:t xml:space="preserve">Accounting Rate of Return (ARR) and Profitability </w:t>
      </w:r>
      <w:proofErr w:type="spellStart"/>
      <w:r w:rsidRPr="00675826">
        <w:t>Signalling</w:t>
      </w:r>
      <w:bookmarkEnd w:id="29"/>
      <w:proofErr w:type="spellEnd"/>
    </w:p>
    <w:p w:rsidR="00675826" w:rsidRDefault="00675826" w:rsidP="00675826">
      <w:r>
        <w:t>ARR measures managing accounting profit in relation to average capital used and is commonly considered to be helpful in managerial decision communication, despite the abs</w:t>
      </w:r>
      <w:r w:rsidR="00E006B8">
        <w:t xml:space="preserve">ence of the time value of money </w:t>
      </w:r>
      <w:r w:rsidR="00E006B8" w:rsidRPr="00E006B8">
        <w:t>(</w:t>
      </w:r>
      <w:proofErr w:type="spellStart"/>
      <w:r w:rsidR="00E006B8" w:rsidRPr="00E006B8">
        <w:t>Alkaraan</w:t>
      </w:r>
      <w:proofErr w:type="spellEnd"/>
      <w:r w:rsidR="00E006B8" w:rsidRPr="00E006B8">
        <w:t xml:space="preserve"> and </w:t>
      </w:r>
      <w:proofErr w:type="spellStart"/>
      <w:r w:rsidR="00E006B8" w:rsidRPr="00E006B8">
        <w:t>Northcott</w:t>
      </w:r>
      <w:proofErr w:type="spellEnd"/>
      <w:r w:rsidR="00E006B8" w:rsidRPr="00E006B8">
        <w:t>, 2006)</w:t>
      </w:r>
      <w:r>
        <w:t>. ARR is also useful in capital restructuring settings since decisions made at the board level are still sensitive to earnings based signals after they have lost (Arnold, 2019).</w:t>
      </w:r>
    </w:p>
    <w:p w:rsidR="00675826" w:rsidRDefault="00675826" w:rsidP="00675826">
      <w:r>
        <w:t>Project C shows the best ARR value due to its large cash flows in the later-year, which means that its profit potential is high in the medium term. But these profits are between years three and five which creates a disconnect risk: profits are high at a time when liquidity pressure has already hit a level of critical mass.</w:t>
      </w:r>
    </w:p>
    <w:p w:rsidR="00675826" w:rsidRDefault="00675826" w:rsidP="00675826">
      <w:r>
        <w:t>The ARR outcome of project A is less than C but significantly higher compared to Project B. It thus supports a performance balanced profile: it provides profitability increase without postponing returns. Project B once again does poorly in terms of earning relative to its capital expenditure, meaning it would not contribute much to recovery of returns on capital invested or retained earnings.</w:t>
      </w:r>
    </w:p>
    <w:p w:rsidR="00675826" w:rsidRDefault="00675826" w:rsidP="00675826">
      <w:r>
        <w:t xml:space="preserve">ARR thus </w:t>
      </w:r>
      <w:proofErr w:type="spellStart"/>
      <w:r>
        <w:t>favours</w:t>
      </w:r>
      <w:proofErr w:type="spellEnd"/>
      <w:r>
        <w:t xml:space="preserve"> Project A and C but the latter is diluted by timing and liquidity issues.</w:t>
      </w:r>
    </w:p>
    <w:p w:rsidR="00675826" w:rsidRDefault="00675826" w:rsidP="00675826">
      <w:pPr>
        <w:pStyle w:val="Heading2"/>
      </w:pPr>
      <w:bookmarkStart w:id="30" w:name="_Toc217278198"/>
      <w:r>
        <w:t>4.3 Profitability Index (PI) and Capital Rationing Reason</w:t>
      </w:r>
      <w:bookmarkEnd w:id="30"/>
    </w:p>
    <w:p w:rsidR="00675826" w:rsidRDefault="00675826" w:rsidP="00675826">
      <w:r>
        <w:t xml:space="preserve">NPV is the most theoretically sound assessment measure, as it considers discounting and is directly connected to shareholder wealth </w:t>
      </w:r>
      <w:proofErr w:type="spellStart"/>
      <w:r>
        <w:t>maximisation</w:t>
      </w:r>
      <w:proofErr w:type="spellEnd"/>
      <w:r>
        <w:t xml:space="preserve"> (</w:t>
      </w:r>
      <w:proofErr w:type="spellStart"/>
      <w:r>
        <w:t>Damodaran</w:t>
      </w:r>
      <w:proofErr w:type="spellEnd"/>
      <w:r>
        <w:t xml:space="preserve">, 2015; </w:t>
      </w:r>
      <w:proofErr w:type="spellStart"/>
      <w:r>
        <w:t>Brealey</w:t>
      </w:r>
      <w:proofErr w:type="spellEnd"/>
      <w:r>
        <w:t xml:space="preserve"> et al., 2022).</w:t>
      </w:r>
    </w:p>
    <w:p w:rsidR="00675826" w:rsidRDefault="00675826" w:rsidP="00675826">
      <w:r>
        <w:t>Project A has the greatest positive NPV which is a critical result of investment justification. Project C also generates a positive value, but the NPV is lower even though project C has higher initial outlay. Project B is very low in value creation, and hardly above cost of capital assumptions.</w:t>
      </w:r>
    </w:p>
    <w:p w:rsidR="00675826" w:rsidRDefault="00675826" w:rsidP="00675826">
      <w:r>
        <w:lastRenderedPageBreak/>
        <w:t xml:space="preserve">General Electronics is actively in financial distress and thus a positive NPV is of great significance. According to </w:t>
      </w:r>
      <w:proofErr w:type="spellStart"/>
      <w:r>
        <w:t>Sudarsanam</w:t>
      </w:r>
      <w:proofErr w:type="spellEnd"/>
      <w:r>
        <w:t xml:space="preserve"> (2003), the successful cases of corporate turn arounds are based on investments that will lead to wealth creation and not just safeguarding of liquidity. In this regard, NPV is consistent with restructuring interests and long-term recovery goals.</w:t>
      </w:r>
    </w:p>
    <w:p w:rsidR="00675826" w:rsidRDefault="00675826" w:rsidP="00675826">
      <w:r>
        <w:t>The outcomes of NPV thus favor Project A in comparison to Project C and rule out Project B categorically.</w:t>
      </w:r>
    </w:p>
    <w:p w:rsidR="00675826" w:rsidRDefault="00675826" w:rsidP="00675826">
      <w:pPr>
        <w:pStyle w:val="Heading2"/>
      </w:pPr>
      <w:bookmarkStart w:id="31" w:name="_Toc217278199"/>
      <w:r>
        <w:t>4.4 Net Present Value (NPV) and Shareholder Value Creation</w:t>
      </w:r>
      <w:bookmarkEnd w:id="31"/>
    </w:p>
    <w:p w:rsidR="00675826" w:rsidRDefault="00675826" w:rsidP="00675826">
      <w:r>
        <w:t>PI measure is especially relevant in the environments where capital investments are rationed since it displays the value created per pound of invested capital (Watson and Head, 2020).</w:t>
      </w:r>
    </w:p>
    <w:p w:rsidR="00675826" w:rsidRDefault="00675826" w:rsidP="00675826">
      <w:r>
        <w:t xml:space="preserve">Project </w:t>
      </w:r>
      <w:proofErr w:type="gramStart"/>
      <w:r>
        <w:t>A</w:t>
      </w:r>
      <w:proofErr w:type="gramEnd"/>
      <w:r>
        <w:t xml:space="preserve"> shows the best PI value which implies that every pound invested would have the best economic returns compared to Project C. Even though the PI of Project C exceeds the acceptability threshold, it is less efficient in its operations due to the greater initial commitment and the longer duration to </w:t>
      </w:r>
      <w:proofErr w:type="spellStart"/>
      <w:r>
        <w:t>realise</w:t>
      </w:r>
      <w:proofErr w:type="spellEnd"/>
      <w:r>
        <w:t xml:space="preserve"> the value. The PI of Project B is less than one indicating that it is financially unacceptable.</w:t>
      </w:r>
    </w:p>
    <w:p w:rsidR="00675826" w:rsidRDefault="00675826" w:rsidP="00675826">
      <w:r>
        <w:t xml:space="preserve">PI is very convincing given the capital constraint of </w:t>
      </w:r>
      <w:r w:rsidR="008E5EF0" w:rsidRPr="008E5EF0">
        <w:t>£</w:t>
      </w:r>
      <w:r>
        <w:t>60m: Project A requires less capital, but the marginal benefit is higher and this means that the firm can maintain liquidity to restructure debt, tighten working capital and covenant.</w:t>
      </w:r>
      <w:r>
        <w:tab/>
      </w:r>
    </w:p>
    <w:p w:rsidR="00675826" w:rsidRDefault="00675826" w:rsidP="00675826">
      <w:pPr>
        <w:pStyle w:val="Heading2"/>
      </w:pPr>
      <w:bookmarkStart w:id="32" w:name="_Toc217278200"/>
      <w:r>
        <w:t xml:space="preserve">4.5 </w:t>
      </w:r>
      <w:r w:rsidRPr="00675826">
        <w:t>Internal Rate of Return (IRR) and Cost-of-Capital Comparison</w:t>
      </w:r>
      <w:bookmarkEnd w:id="32"/>
    </w:p>
    <w:p w:rsidR="00675826" w:rsidRDefault="00675826" w:rsidP="00675826">
      <w:r>
        <w:t xml:space="preserve">Although IRR is conceptually sensitive to the assumptions of reinvestment (Block, 1997), it can still be influential since it can be compared with </w:t>
      </w:r>
      <w:proofErr w:type="spellStart"/>
      <w:r>
        <w:t>organisational</w:t>
      </w:r>
      <w:proofErr w:type="spellEnd"/>
      <w:r>
        <w:t xml:space="preserve"> cost of capital benchmarks.</w:t>
      </w:r>
    </w:p>
    <w:p w:rsidR="00675826" w:rsidRDefault="00675826" w:rsidP="00675826">
      <w:r>
        <w:t>Both Project C and Project A are above the 10 percent impediment rate. Project B is lower and this means that it will cause destruction of value. The results of the IRR also support the positioning of risk: A higher IRR excess of Project A proves to be more resilient to the changes in macroeconomic factors, which is especially applicable in the times of high inflation and shifts in demand.</w:t>
      </w:r>
    </w:p>
    <w:p w:rsidR="00675826" w:rsidRDefault="00675826" w:rsidP="00675826">
      <w:r>
        <w:lastRenderedPageBreak/>
        <w:t>Although the IRR of Project C can be attractive, the concentration of the gains later in the project enhances the sensitivity of the valuation. Project A has an advantage in terms of IRR due to its ability to provide a firm in distress with steady and prompt income to reestablish share price and rating credibility, which is a strategic fit.</w:t>
      </w:r>
    </w:p>
    <w:p w:rsidR="00675826" w:rsidRDefault="00675826" w:rsidP="00675826">
      <w:pPr>
        <w:pStyle w:val="Heading2"/>
      </w:pPr>
      <w:bookmarkStart w:id="33" w:name="_Toc217278201"/>
      <w:r>
        <w:t>4.6 Risk, Uncertainty and Cash-Flow Quality Assessment</w:t>
      </w:r>
      <w:bookmarkEnd w:id="33"/>
    </w:p>
    <w:p w:rsidR="00675826" w:rsidRDefault="00675826" w:rsidP="00675826">
      <w:r>
        <w:t>The results of investment appraisal should not be taken in isolation of risk situations. Mao (1970) pointed out that methods like NPV cannot be sure when the uncertainty and volatility are high.</w:t>
      </w:r>
    </w:p>
    <w:p w:rsidR="00675826" w:rsidRDefault="00675826" w:rsidP="00675826">
      <w:r>
        <w:t>The cash flows of project C are heavily skewed in the later years and hence more sensitive to the error and economic interruption in the forecast. The slow inflows increase the probability of insolvency on General Electronics as it experiences recessionary demand pressure, technological substitution risk, and lacks a substantial reserve of cash.</w:t>
      </w:r>
    </w:p>
    <w:p w:rsidR="00675826" w:rsidRDefault="00675826" w:rsidP="00675826">
      <w:r>
        <w:t>Project B has a low volatility but does not create any significant value. The low earnings profile increases the opportunity cost risk and would not help in restoring credit ratings.</w:t>
      </w:r>
    </w:p>
    <w:p w:rsidR="00675826" w:rsidRDefault="00675826" w:rsidP="00675826">
      <w:r>
        <w:t>Project A is more efficient in terms of risk and returns. Its prior and smoother inflow trend lessens the use of forward estimates and assists in restoring credit value. Bargaining position can also be enhanced by early cash recovery in the process of restructuring a debt.</w:t>
      </w:r>
    </w:p>
    <w:p w:rsidR="00675826" w:rsidRDefault="00675826" w:rsidP="00675826">
      <w:r>
        <w:t>Thus, the evidence of cash-flow risks is consistent with the conclusions of PBP and NPV: The lowest strategic risk is associated with Project A.</w:t>
      </w:r>
    </w:p>
    <w:p w:rsidR="0098532B" w:rsidRDefault="0085451D" w:rsidP="0098532B">
      <w:pPr>
        <w:pStyle w:val="Heading2"/>
      </w:pPr>
      <w:r w:rsidRPr="0085451D">
        <w:t xml:space="preserve"> </w:t>
      </w:r>
      <w:bookmarkStart w:id="34" w:name="_Toc217278202"/>
      <w:r w:rsidR="0098532B">
        <w:t>4.7 Strategic Fit, Operational Alignment and Market Relevance</w:t>
      </w:r>
      <w:bookmarkEnd w:id="34"/>
    </w:p>
    <w:p w:rsidR="00A12308" w:rsidRDefault="00A12308" w:rsidP="00A12308">
      <w:r>
        <w:t xml:space="preserve">Literature on capital budgeting emphasizes that projects with high returns need to be strategically aligned: projects with high returns fail to work when they are not aligned with </w:t>
      </w:r>
      <w:proofErr w:type="spellStart"/>
      <w:r>
        <w:t>organisational</w:t>
      </w:r>
      <w:proofErr w:type="spellEnd"/>
      <w:r>
        <w:t xml:space="preserve"> capacity, customer base or expertise in doing things (</w:t>
      </w:r>
      <w:proofErr w:type="spellStart"/>
      <w:r>
        <w:t>Alkaraan</w:t>
      </w:r>
      <w:proofErr w:type="spellEnd"/>
      <w:r>
        <w:t xml:space="preserve"> and </w:t>
      </w:r>
      <w:proofErr w:type="spellStart"/>
      <w:r>
        <w:t>Northcott</w:t>
      </w:r>
      <w:proofErr w:type="spellEnd"/>
      <w:r>
        <w:t>, 2006).</w:t>
      </w:r>
    </w:p>
    <w:p w:rsidR="00A12308" w:rsidRDefault="00A12308" w:rsidP="00A12308">
      <w:r>
        <w:t xml:space="preserve">Project C can bring a renewal of technology but needs to be integrated with the system, the supply chain redesigns and the state-of-the-art manufacturing facilities. In an </w:t>
      </w:r>
      <w:proofErr w:type="spellStart"/>
      <w:r>
        <w:lastRenderedPageBreak/>
        <w:t>organisation</w:t>
      </w:r>
      <w:proofErr w:type="spellEnd"/>
      <w:r>
        <w:t xml:space="preserve"> that is financially strained and undergoing workforce restructuring and simplification of processes, such demands may magnify the execution risk.</w:t>
      </w:r>
    </w:p>
    <w:p w:rsidR="00A12308" w:rsidRDefault="00A12308" w:rsidP="00A12308">
      <w:r>
        <w:t>There is no strategic renewal and little room to seriously reposition the market in project B.</w:t>
      </w:r>
    </w:p>
    <w:p w:rsidR="0098532B" w:rsidRPr="00A12308" w:rsidRDefault="00A12308" w:rsidP="00A12308">
      <w:pPr>
        <w:rPr>
          <w:highlight w:val="yellow"/>
        </w:rPr>
      </w:pPr>
      <w:r>
        <w:t xml:space="preserve">Project A is more consistent with the available competencies and can be assimilated into existing channels without causing much disruption to the </w:t>
      </w:r>
      <w:proofErr w:type="spellStart"/>
      <w:r>
        <w:t>organisation</w:t>
      </w:r>
      <w:proofErr w:type="spellEnd"/>
      <w:r>
        <w:t xml:space="preserve">. The project also contributes to the restructuring agenda of the firm as the project provides early cash and supports the profitability. </w:t>
      </w:r>
      <w:r w:rsidRPr="00A12308">
        <w:t>£</w:t>
      </w:r>
    </w:p>
    <w:p w:rsidR="0098532B" w:rsidRPr="00A12308" w:rsidRDefault="0098532B" w:rsidP="0098532B">
      <w:pPr>
        <w:pStyle w:val="Heading2"/>
      </w:pPr>
      <w:bookmarkStart w:id="35" w:name="_Toc217278203"/>
      <w:r w:rsidRPr="00A12308">
        <w:t>4.8 Capital Rationing Outcome and Feasibility Constraints</w:t>
      </w:r>
      <w:bookmarkEnd w:id="35"/>
    </w:p>
    <w:p w:rsidR="008E5EF0" w:rsidRDefault="008E5EF0" w:rsidP="008E5EF0">
      <w:r w:rsidRPr="008E5EF0">
        <w:t>£</w:t>
      </w:r>
      <w:r>
        <w:t>60m is the capital ceiling that implies that only a single project can be undertaken. A+B (</w:t>
      </w:r>
      <w:r w:rsidRPr="008E5EF0">
        <w:t>£</w:t>
      </w:r>
      <w:r>
        <w:t>70m) and C+B (</w:t>
      </w:r>
      <w:r w:rsidRPr="008E5EF0">
        <w:t>£</w:t>
      </w:r>
      <w:r>
        <w:t>80m) are out of funds. It is also impossible to allocate projects partially as the assets cannot be divided.</w:t>
      </w:r>
    </w:p>
    <w:p w:rsidR="008E5EF0" w:rsidRDefault="008E5EF0" w:rsidP="008E5EF0">
      <w:r>
        <w:t xml:space="preserve">Project A is a project costing </w:t>
      </w:r>
      <w:r w:rsidRPr="008E5EF0">
        <w:t>£</w:t>
      </w:r>
      <w:r>
        <w:t xml:space="preserve">40m that leaves </w:t>
      </w:r>
      <w:r w:rsidRPr="008E5EF0">
        <w:t>£</w:t>
      </w:r>
      <w:r>
        <w:t xml:space="preserve">20m unused capital that enhances liquidity buffers and decreases refinancing risk. Maintaining excess capital is not futile: Johnsen, </w:t>
      </w:r>
      <w:proofErr w:type="spellStart"/>
      <w:r>
        <w:t>Melicher</w:t>
      </w:r>
      <w:proofErr w:type="spellEnd"/>
      <w:r>
        <w:t xml:space="preserve"> and Click (2020) show that distressed </w:t>
      </w:r>
      <w:proofErr w:type="spellStart"/>
      <w:r>
        <w:t>organisations</w:t>
      </w:r>
      <w:proofErr w:type="spellEnd"/>
      <w:r>
        <w:t xml:space="preserve"> </w:t>
      </w:r>
      <w:proofErr w:type="spellStart"/>
      <w:r>
        <w:t>utilise</w:t>
      </w:r>
      <w:proofErr w:type="spellEnd"/>
      <w:r>
        <w:t xml:space="preserve"> cash reserves throughout the transitional stages of their operation to prevent the breach of covenants.</w:t>
      </w:r>
    </w:p>
    <w:p w:rsidR="0098532B" w:rsidRPr="00A12308" w:rsidRDefault="008E5EF0" w:rsidP="008E5EF0">
      <w:pPr>
        <w:rPr>
          <w:highlight w:val="yellow"/>
        </w:rPr>
      </w:pPr>
      <w:r>
        <w:t xml:space="preserve">Project C would leave </w:t>
      </w:r>
      <w:r w:rsidRPr="008E5EF0">
        <w:t>£</w:t>
      </w:r>
      <w:r>
        <w:t>10m which would reduce flexibility and raise the chances of external borrowing at oppressive rates. Less dependence on borrowing is a strategic requirement in a restructuring environment.</w:t>
      </w:r>
    </w:p>
    <w:p w:rsidR="0098532B" w:rsidRPr="008E5EF0" w:rsidRDefault="0098532B" w:rsidP="00A12308">
      <w:pPr>
        <w:pStyle w:val="Heading2"/>
      </w:pPr>
      <w:bookmarkStart w:id="36" w:name="_Toc217278204"/>
      <w:r w:rsidRPr="008E5EF0">
        <w:t>4.9 Final Investment Recommendation</w:t>
      </w:r>
      <w:bookmarkEnd w:id="36"/>
    </w:p>
    <w:p w:rsidR="008E5EF0" w:rsidRDefault="008E5EF0" w:rsidP="008E5EF0">
      <w:r>
        <w:t>Based on all the appraisal strategies, strategic goals and capital rationing needs, Project A is suggested as the best investment to make in General Electronics.</w:t>
      </w:r>
    </w:p>
    <w:p w:rsidR="008E5EF0" w:rsidRDefault="008E5EF0" w:rsidP="008E5EF0">
      <w:r>
        <w:t>This ruling is grounded on four overriding grounds:</w:t>
      </w:r>
    </w:p>
    <w:p w:rsidR="008E5EF0" w:rsidRPr="008E5EF0" w:rsidRDefault="008E5EF0" w:rsidP="008E5EF0">
      <w:pPr>
        <w:rPr>
          <w:b/>
        </w:rPr>
      </w:pPr>
      <w:r w:rsidRPr="008E5EF0">
        <w:rPr>
          <w:b/>
        </w:rPr>
        <w:t>Strong Value Creation:</w:t>
      </w:r>
    </w:p>
    <w:p w:rsidR="008E5EF0" w:rsidRDefault="008E5EF0" w:rsidP="008E5EF0">
      <w:r>
        <w:lastRenderedPageBreak/>
        <w:t>Project A offers the greatest NPV and best PI outcome. These results have a direct impact on upholding the principles of shareholder value and promote the process of the firm leaving the st</w:t>
      </w:r>
      <w:r w:rsidR="005E1F41">
        <w:t>ate of distress (</w:t>
      </w:r>
      <w:proofErr w:type="spellStart"/>
      <w:r w:rsidR="005E1F41">
        <w:t>Damodaran</w:t>
      </w:r>
      <w:proofErr w:type="spellEnd"/>
      <w:r w:rsidR="005E1F41">
        <w:t>, 2012</w:t>
      </w:r>
      <w:r>
        <w:t>).</w:t>
      </w:r>
    </w:p>
    <w:p w:rsidR="008E5EF0" w:rsidRPr="008E5EF0" w:rsidRDefault="008E5EF0" w:rsidP="008E5EF0">
      <w:pPr>
        <w:rPr>
          <w:b/>
        </w:rPr>
      </w:pPr>
      <w:r w:rsidRPr="008E5EF0">
        <w:rPr>
          <w:b/>
        </w:rPr>
        <w:t>Improved Liquidity Protection:</w:t>
      </w:r>
    </w:p>
    <w:p w:rsidR="00ED7146" w:rsidRDefault="008E5EF0" w:rsidP="008E5EF0">
      <w:r>
        <w:t>The short payback period greatly enhances cash flexibility, reforms the working capital and decreases insolvency probability- which is central to turnaround management (Truong et al., 2008).</w:t>
      </w:r>
    </w:p>
    <w:p w:rsidR="008E5EF0" w:rsidRPr="008E5EF0" w:rsidRDefault="008E5EF0" w:rsidP="008E5EF0">
      <w:pPr>
        <w:rPr>
          <w:b/>
        </w:rPr>
      </w:pPr>
      <w:r w:rsidRPr="008E5EF0">
        <w:rPr>
          <w:b/>
        </w:rPr>
        <w:t>Risk-Compatible Returns:</w:t>
      </w:r>
    </w:p>
    <w:p w:rsidR="008E5EF0" w:rsidRDefault="008E5EF0" w:rsidP="008E5EF0">
      <w:r>
        <w:t>The early inflows of Project A lower the uncertainty in the forecasting where Project C has its back-loaded returns clash with restructuring cash demands.</w:t>
      </w:r>
    </w:p>
    <w:p w:rsidR="008E5EF0" w:rsidRPr="008E5EF0" w:rsidRDefault="008E5EF0" w:rsidP="008E5EF0">
      <w:pPr>
        <w:rPr>
          <w:b/>
        </w:rPr>
      </w:pPr>
      <w:r w:rsidRPr="008E5EF0">
        <w:rPr>
          <w:b/>
        </w:rPr>
        <w:t>Capital Efficiency:</w:t>
      </w:r>
    </w:p>
    <w:p w:rsidR="008E5EF0" w:rsidRDefault="008E5EF0" w:rsidP="008E5EF0">
      <w:r>
        <w:t xml:space="preserve">This reduced capital requirement will maintain </w:t>
      </w:r>
      <w:r w:rsidRPr="008E5EF0">
        <w:t>£</w:t>
      </w:r>
      <w:r>
        <w:t xml:space="preserve">20m of headroom, which can be </w:t>
      </w:r>
      <w:proofErr w:type="spellStart"/>
      <w:r>
        <w:t>utilised</w:t>
      </w:r>
      <w:proofErr w:type="spellEnd"/>
      <w:r>
        <w:t xml:space="preserve"> in the restructuring costs, debt settlement and </w:t>
      </w:r>
      <w:proofErr w:type="spellStart"/>
      <w:r>
        <w:t>stabilisation</w:t>
      </w:r>
      <w:proofErr w:type="spellEnd"/>
      <w:r>
        <w:t xml:space="preserve"> of operations.</w:t>
      </w:r>
    </w:p>
    <w:p w:rsidR="008E5EF0" w:rsidRDefault="008E5EF0" w:rsidP="008E5EF0">
      <w:r>
        <w:t xml:space="preserve">Despite the maximum theoretical growth potential in the long-run of Project C, it is not consistent with the liquidity and solvency requirements. Through investment theory, firms that are in distress are advised to be welfare-seeking in the nature of returns that </w:t>
      </w:r>
      <w:proofErr w:type="spellStart"/>
      <w:r>
        <w:t>favour</w:t>
      </w:r>
      <w:proofErr w:type="spellEnd"/>
      <w:r>
        <w:t xml:space="preserve"> survival as opposed to </w:t>
      </w:r>
      <w:proofErr w:type="spellStart"/>
      <w:r>
        <w:t>maximisation</w:t>
      </w:r>
      <w:proofErr w:type="spellEnd"/>
      <w:r>
        <w:t xml:space="preserve"> of NPV (</w:t>
      </w:r>
      <w:proofErr w:type="spellStart"/>
      <w:r>
        <w:t>Sudarsanam</w:t>
      </w:r>
      <w:proofErr w:type="spellEnd"/>
      <w:r>
        <w:t>, 2003).</w:t>
      </w:r>
    </w:p>
    <w:p w:rsidR="006E642D" w:rsidRPr="006E642D" w:rsidRDefault="008E5EF0" w:rsidP="006E642D">
      <w:r>
        <w:t xml:space="preserve">As such, choosing Project A will help the </w:t>
      </w:r>
      <w:proofErr w:type="spellStart"/>
      <w:r>
        <w:t>organisation</w:t>
      </w:r>
      <w:proofErr w:type="spellEnd"/>
      <w:r>
        <w:t xml:space="preserve"> continue, enhance the principles of valuation, and meet the expectations of shareholders and creditors.</w:t>
      </w:r>
    </w:p>
    <w:p w:rsidR="001A640A" w:rsidRDefault="00EA0AEF" w:rsidP="00EA0AEF">
      <w:pPr>
        <w:pStyle w:val="Heading1"/>
      </w:pPr>
      <w:bookmarkStart w:id="37" w:name="_Toc217278205"/>
      <w:r>
        <w:t>Conclusion</w:t>
      </w:r>
      <w:bookmarkEnd w:id="37"/>
    </w:p>
    <w:p w:rsidR="00786C12" w:rsidRDefault="00EA0AEF" w:rsidP="001A640A">
      <w:r w:rsidRPr="00EA0AEF">
        <w:t xml:space="preserve">This report has showed that the financial distress of General Electronics indicates weaknesses in its structural operations, long-term deterioration of its profitability, liquidity inefficient operation, and high exposure to leverage. Ratio and working capital analysis revealed the need in capital strengthening, governance enhancement and redesigning operations. The restructuring plan - which focuses on divestiture, debt </w:t>
      </w:r>
      <w:proofErr w:type="spellStart"/>
      <w:r w:rsidRPr="00EA0AEF">
        <w:t>reprofiling</w:t>
      </w:r>
      <w:proofErr w:type="spellEnd"/>
      <w:r w:rsidRPr="00EA0AEF">
        <w:t xml:space="preserve">, </w:t>
      </w:r>
      <w:proofErr w:type="gramStart"/>
      <w:r w:rsidRPr="00EA0AEF">
        <w:t>supply</w:t>
      </w:r>
      <w:proofErr w:type="gramEnd"/>
      <w:r w:rsidRPr="00EA0AEF">
        <w:t xml:space="preserve"> chain redesign and equity infusion - provides plausible avenues of </w:t>
      </w:r>
      <w:proofErr w:type="spellStart"/>
      <w:r w:rsidRPr="00EA0AEF">
        <w:t>stabilising</w:t>
      </w:r>
      <w:proofErr w:type="spellEnd"/>
      <w:r w:rsidRPr="00EA0AEF">
        <w:t xml:space="preserve"> solvency, </w:t>
      </w:r>
      <w:r w:rsidRPr="00EA0AEF">
        <w:lastRenderedPageBreak/>
        <w:t xml:space="preserve">increasing flexibility and restoring shareholder value. Project B was financially unsound in terms of investment appraisal, whereas Project A offers best strategic fit within capital ratios, and liquidity restriction. The cumulative analysis of evidence merits a financially consistent turnaround plan based on scholarly studies, social accountability and value creation over time, which places the </w:t>
      </w:r>
      <w:proofErr w:type="spellStart"/>
      <w:r w:rsidRPr="00EA0AEF">
        <w:t>organisation</w:t>
      </w:r>
      <w:proofErr w:type="spellEnd"/>
      <w:r w:rsidRPr="00EA0AEF">
        <w:t xml:space="preserve"> in a position of restored competitiveness and sustainable recovery.</w:t>
      </w:r>
    </w:p>
    <w:p w:rsidR="00786C12" w:rsidRDefault="00786C12" w:rsidP="00786C12">
      <w:r>
        <w:br w:type="page"/>
      </w:r>
    </w:p>
    <w:p w:rsidR="00EA0AEF" w:rsidRDefault="00786C12" w:rsidP="00786C12">
      <w:pPr>
        <w:pStyle w:val="Heading1"/>
      </w:pPr>
      <w:bookmarkStart w:id="38" w:name="_Toc217278206"/>
      <w:r>
        <w:lastRenderedPageBreak/>
        <w:t>Reference List</w:t>
      </w:r>
      <w:bookmarkEnd w:id="38"/>
    </w:p>
    <w:p w:rsidR="00786C12" w:rsidRPr="00786C12" w:rsidRDefault="00786C12" w:rsidP="00786C12">
      <w:pPr>
        <w:rPr>
          <w:lang w:val="en-GB"/>
        </w:rPr>
      </w:pPr>
      <w:proofErr w:type="spellStart"/>
      <w:r w:rsidRPr="00786C12">
        <w:rPr>
          <w:lang w:val="en-GB"/>
        </w:rPr>
        <w:t>Afrifa</w:t>
      </w:r>
      <w:proofErr w:type="spellEnd"/>
      <w:r w:rsidRPr="00786C12">
        <w:rPr>
          <w:lang w:val="en-GB"/>
        </w:rPr>
        <w:t xml:space="preserve">, G. &amp; </w:t>
      </w:r>
      <w:proofErr w:type="spellStart"/>
      <w:r w:rsidRPr="00786C12">
        <w:rPr>
          <w:lang w:val="en-GB"/>
        </w:rPr>
        <w:t>Tingbani</w:t>
      </w:r>
      <w:proofErr w:type="spellEnd"/>
      <w:r w:rsidRPr="00786C12">
        <w:rPr>
          <w:lang w:val="en-GB"/>
        </w:rPr>
        <w:t xml:space="preserve">, I. (2018) ‘Working capital management, cash flow and SMEs’ performance’, </w:t>
      </w:r>
      <w:r w:rsidRPr="00786C12">
        <w:rPr>
          <w:i/>
          <w:iCs/>
          <w:lang w:val="en-GB"/>
        </w:rPr>
        <w:t>Journal of Small Business and Enterprise Development</w:t>
      </w:r>
      <w:r w:rsidRPr="00786C12">
        <w:rPr>
          <w:lang w:val="en-GB"/>
        </w:rPr>
        <w:t>, 25(1), pp. 66–87.</w:t>
      </w:r>
    </w:p>
    <w:p w:rsidR="00786C12" w:rsidRDefault="00786C12" w:rsidP="00786C12">
      <w:pPr>
        <w:rPr>
          <w:lang w:val="en-GB"/>
        </w:rPr>
      </w:pPr>
      <w:proofErr w:type="spellStart"/>
      <w:r w:rsidRPr="00786C12">
        <w:rPr>
          <w:lang w:val="en-GB"/>
        </w:rPr>
        <w:t>Alkaraan</w:t>
      </w:r>
      <w:proofErr w:type="spellEnd"/>
      <w:r w:rsidRPr="00786C12">
        <w:rPr>
          <w:lang w:val="en-GB"/>
        </w:rPr>
        <w:t xml:space="preserve">, F. &amp; </w:t>
      </w:r>
      <w:proofErr w:type="spellStart"/>
      <w:r w:rsidRPr="00786C12">
        <w:rPr>
          <w:lang w:val="en-GB"/>
        </w:rPr>
        <w:t>Northcott</w:t>
      </w:r>
      <w:proofErr w:type="spellEnd"/>
      <w:r w:rsidRPr="00786C12">
        <w:rPr>
          <w:lang w:val="en-GB"/>
        </w:rPr>
        <w:t xml:space="preserve">, D. (2006) ‘Strategic capital investment decision-making’, </w:t>
      </w:r>
      <w:r w:rsidRPr="00786C12">
        <w:rPr>
          <w:i/>
          <w:iCs/>
          <w:lang w:val="en-GB"/>
        </w:rPr>
        <w:t>The British Accounting Review</w:t>
      </w:r>
      <w:r w:rsidRPr="00786C12">
        <w:rPr>
          <w:lang w:val="en-GB"/>
        </w:rPr>
        <w:t>, 38(2), pp. 149–173.</w:t>
      </w:r>
    </w:p>
    <w:p w:rsidR="000E1C49" w:rsidRPr="00786C12" w:rsidRDefault="000E1C49" w:rsidP="00786C12">
      <w:pPr>
        <w:rPr>
          <w:lang w:val="en-GB"/>
        </w:rPr>
      </w:pPr>
      <w:r w:rsidRPr="000E1C49">
        <w:t xml:space="preserve">Altman, E.I. and Hotchkiss, E., </w:t>
      </w:r>
      <w:r>
        <w:t>(</w:t>
      </w:r>
      <w:r w:rsidRPr="000E1C49">
        <w:t>2010</w:t>
      </w:r>
      <w:r>
        <w:t>)</w:t>
      </w:r>
      <w:r w:rsidRPr="000E1C49">
        <w:t>. </w:t>
      </w:r>
      <w:r w:rsidRPr="000E1C49">
        <w:rPr>
          <w:i/>
          <w:iCs/>
        </w:rPr>
        <w:t>Corporate financial distress and bankruptcy: Predict and avoid bankruptcy, analyze and invest in distressed debt</w:t>
      </w:r>
      <w:r w:rsidRPr="000E1C49">
        <w:t> (Vol. 289). John Wiley &amp; Sons.</w:t>
      </w:r>
    </w:p>
    <w:p w:rsidR="00786C12" w:rsidRPr="00786C12" w:rsidRDefault="00786C12" w:rsidP="00786C12">
      <w:pPr>
        <w:rPr>
          <w:lang w:val="en-GB"/>
        </w:rPr>
      </w:pPr>
      <w:r w:rsidRPr="00786C12">
        <w:rPr>
          <w:lang w:val="en-GB"/>
        </w:rPr>
        <w:t xml:space="preserve">Arnold, G. (2019) </w:t>
      </w:r>
      <w:r w:rsidRPr="00786C12">
        <w:rPr>
          <w:i/>
          <w:iCs/>
          <w:lang w:val="en-GB"/>
        </w:rPr>
        <w:t>Corporate Financial Management</w:t>
      </w:r>
      <w:r w:rsidRPr="00786C12">
        <w:rPr>
          <w:lang w:val="en-GB"/>
        </w:rPr>
        <w:t xml:space="preserve">. 6th </w:t>
      </w:r>
      <w:proofErr w:type="spellStart"/>
      <w:r w:rsidRPr="00786C12">
        <w:rPr>
          <w:lang w:val="en-GB"/>
        </w:rPr>
        <w:t>edn</w:t>
      </w:r>
      <w:proofErr w:type="spellEnd"/>
      <w:r w:rsidRPr="00786C12">
        <w:rPr>
          <w:lang w:val="en-GB"/>
        </w:rPr>
        <w:t>. Harlow: Pearson.</w:t>
      </w:r>
    </w:p>
    <w:p w:rsidR="00786C12" w:rsidRPr="00786C12" w:rsidRDefault="00786C12" w:rsidP="00786C12">
      <w:pPr>
        <w:rPr>
          <w:lang w:val="en-GB"/>
        </w:rPr>
      </w:pPr>
      <w:r w:rsidRPr="00786C12">
        <w:rPr>
          <w:lang w:val="en-GB"/>
        </w:rPr>
        <w:t xml:space="preserve">Bartram, S., Brown, G. &amp; Conrad, J. (2011) ‘The effects of hedging on firm value’, </w:t>
      </w:r>
      <w:r w:rsidRPr="00786C12">
        <w:rPr>
          <w:i/>
          <w:iCs/>
          <w:lang w:val="en-GB"/>
        </w:rPr>
        <w:t>Journal of Financial and Quantitative Analysis</w:t>
      </w:r>
      <w:r w:rsidRPr="00786C12">
        <w:rPr>
          <w:lang w:val="en-GB"/>
        </w:rPr>
        <w:t>, 46(4), pp. 967–999.</w:t>
      </w:r>
    </w:p>
    <w:p w:rsidR="00786C12" w:rsidRPr="00786C12" w:rsidRDefault="00786C12" w:rsidP="00786C12">
      <w:pPr>
        <w:rPr>
          <w:lang w:val="en-GB"/>
        </w:rPr>
      </w:pPr>
      <w:r w:rsidRPr="00786C12">
        <w:rPr>
          <w:lang w:val="en-GB"/>
        </w:rPr>
        <w:t xml:space="preserve">Bank for International Settlements (2022) </w:t>
      </w:r>
      <w:r w:rsidRPr="00786C12">
        <w:rPr>
          <w:i/>
          <w:iCs/>
          <w:lang w:val="en-GB"/>
        </w:rPr>
        <w:t>Annual Economic Report</w:t>
      </w:r>
      <w:r w:rsidRPr="00786C12">
        <w:rPr>
          <w:lang w:val="en-GB"/>
        </w:rPr>
        <w:t>. Basel: BIS.</w:t>
      </w:r>
    </w:p>
    <w:p w:rsidR="00786C12" w:rsidRPr="00786C12" w:rsidRDefault="00786C12" w:rsidP="00786C12">
      <w:pPr>
        <w:rPr>
          <w:lang w:val="en-GB"/>
        </w:rPr>
      </w:pPr>
      <w:r w:rsidRPr="00786C12">
        <w:rPr>
          <w:lang w:val="en-GB"/>
        </w:rPr>
        <w:t xml:space="preserve">Block, S. (1997) ‘Capital budgeting techniques used by firms’, </w:t>
      </w:r>
      <w:r w:rsidRPr="00786C12">
        <w:rPr>
          <w:i/>
          <w:iCs/>
          <w:lang w:val="en-GB"/>
        </w:rPr>
        <w:t>The Engineering Economist</w:t>
      </w:r>
      <w:r w:rsidRPr="00786C12">
        <w:rPr>
          <w:lang w:val="en-GB"/>
        </w:rPr>
        <w:t>, 42(4), pp. 289–302.</w:t>
      </w:r>
    </w:p>
    <w:p w:rsidR="00786C12" w:rsidRPr="00786C12" w:rsidRDefault="00786C12" w:rsidP="00786C12">
      <w:pPr>
        <w:rPr>
          <w:lang w:val="en-GB"/>
        </w:rPr>
      </w:pPr>
      <w:proofErr w:type="spellStart"/>
      <w:r w:rsidRPr="00786C12">
        <w:rPr>
          <w:lang w:val="en-GB"/>
        </w:rPr>
        <w:t>Brealey</w:t>
      </w:r>
      <w:proofErr w:type="spellEnd"/>
      <w:r w:rsidRPr="00786C12">
        <w:rPr>
          <w:lang w:val="en-GB"/>
        </w:rPr>
        <w:t xml:space="preserve">, R., Myers, S. &amp; Allen, F. (2022) </w:t>
      </w:r>
      <w:r w:rsidRPr="00786C12">
        <w:rPr>
          <w:i/>
          <w:iCs/>
          <w:lang w:val="en-GB"/>
        </w:rPr>
        <w:t>Principles of Corporate Finance</w:t>
      </w:r>
      <w:r w:rsidRPr="00786C12">
        <w:rPr>
          <w:lang w:val="en-GB"/>
        </w:rPr>
        <w:t xml:space="preserve">. 14th </w:t>
      </w:r>
      <w:proofErr w:type="spellStart"/>
      <w:r w:rsidRPr="00786C12">
        <w:rPr>
          <w:lang w:val="en-GB"/>
        </w:rPr>
        <w:t>edn</w:t>
      </w:r>
      <w:proofErr w:type="spellEnd"/>
      <w:r w:rsidRPr="00786C12">
        <w:rPr>
          <w:lang w:val="en-GB"/>
        </w:rPr>
        <w:t>. New York: McGraw-Hill.</w:t>
      </w:r>
    </w:p>
    <w:p w:rsidR="00786C12" w:rsidRPr="00786C12" w:rsidRDefault="00786C12" w:rsidP="00786C12">
      <w:pPr>
        <w:rPr>
          <w:lang w:val="en-GB"/>
        </w:rPr>
      </w:pPr>
      <w:r w:rsidRPr="00786C12">
        <w:rPr>
          <w:lang w:val="en-GB"/>
        </w:rPr>
        <w:t xml:space="preserve">Cartwright, S. &amp; Schoenberg, R. (2006) ‘Thirty years of M&amp;A performance research’, </w:t>
      </w:r>
      <w:r w:rsidRPr="00786C12">
        <w:rPr>
          <w:i/>
          <w:iCs/>
          <w:lang w:val="en-GB"/>
        </w:rPr>
        <w:t>British Journal of Management</w:t>
      </w:r>
      <w:r w:rsidRPr="00786C12">
        <w:rPr>
          <w:lang w:val="en-GB"/>
        </w:rPr>
        <w:t>, 17(S1), pp. 1–7.</w:t>
      </w:r>
    </w:p>
    <w:p w:rsidR="00786C12" w:rsidRDefault="00786C12" w:rsidP="00786C12">
      <w:pPr>
        <w:rPr>
          <w:lang w:val="en-GB"/>
        </w:rPr>
      </w:pPr>
      <w:proofErr w:type="spellStart"/>
      <w:r w:rsidRPr="00786C12">
        <w:rPr>
          <w:lang w:val="en-GB"/>
        </w:rPr>
        <w:t>Damodaran</w:t>
      </w:r>
      <w:proofErr w:type="spellEnd"/>
      <w:r w:rsidRPr="00786C12">
        <w:rPr>
          <w:lang w:val="en-GB"/>
        </w:rPr>
        <w:t xml:space="preserve">, A. (2015) </w:t>
      </w:r>
      <w:r w:rsidRPr="00786C12">
        <w:rPr>
          <w:i/>
          <w:iCs/>
          <w:lang w:val="en-GB"/>
        </w:rPr>
        <w:t>Applied Corporate Finance</w:t>
      </w:r>
      <w:r w:rsidRPr="00786C12">
        <w:rPr>
          <w:lang w:val="en-GB"/>
        </w:rPr>
        <w:t xml:space="preserve">. 4th </w:t>
      </w:r>
      <w:proofErr w:type="spellStart"/>
      <w:r w:rsidRPr="00786C12">
        <w:rPr>
          <w:lang w:val="en-GB"/>
        </w:rPr>
        <w:t>edn</w:t>
      </w:r>
      <w:proofErr w:type="spellEnd"/>
      <w:r w:rsidRPr="00786C12">
        <w:rPr>
          <w:lang w:val="en-GB"/>
        </w:rPr>
        <w:t>. Hoboken: Wiley.</w:t>
      </w:r>
    </w:p>
    <w:p w:rsidR="005E1F41" w:rsidRPr="00786C12" w:rsidRDefault="005E1F41" w:rsidP="00786C12">
      <w:pPr>
        <w:rPr>
          <w:lang w:val="en-GB"/>
        </w:rPr>
      </w:pPr>
      <w:proofErr w:type="spellStart"/>
      <w:r w:rsidRPr="005E1F41">
        <w:t>Damodaran</w:t>
      </w:r>
      <w:proofErr w:type="spellEnd"/>
      <w:r w:rsidRPr="005E1F41">
        <w:t xml:space="preserve">, A., </w:t>
      </w:r>
      <w:r w:rsidR="00E24C67">
        <w:t>(</w:t>
      </w:r>
      <w:r w:rsidRPr="005E1F41">
        <w:t>2012</w:t>
      </w:r>
      <w:r w:rsidR="00E24C67">
        <w:t>)</w:t>
      </w:r>
      <w:r w:rsidRPr="005E1F41">
        <w:t>. </w:t>
      </w:r>
      <w:r w:rsidRPr="005E1F41">
        <w:rPr>
          <w:i/>
          <w:iCs/>
        </w:rPr>
        <w:t>Investment valuation: Tools and techniques for determining the value of any asset</w:t>
      </w:r>
      <w:r w:rsidRPr="005E1F41">
        <w:t>. John Wiley &amp; Sons.</w:t>
      </w:r>
    </w:p>
    <w:p w:rsidR="00786C12" w:rsidRPr="00786C12" w:rsidRDefault="00786C12" w:rsidP="00786C12">
      <w:pPr>
        <w:rPr>
          <w:lang w:val="en-GB"/>
        </w:rPr>
      </w:pPr>
      <w:proofErr w:type="spellStart"/>
      <w:r w:rsidRPr="00786C12">
        <w:rPr>
          <w:lang w:val="en-GB"/>
        </w:rPr>
        <w:t>Erel</w:t>
      </w:r>
      <w:proofErr w:type="spellEnd"/>
      <w:r w:rsidRPr="00786C12">
        <w:rPr>
          <w:lang w:val="en-GB"/>
        </w:rPr>
        <w:t xml:space="preserve">, I., Jang, Y. &amp; </w:t>
      </w:r>
      <w:proofErr w:type="spellStart"/>
      <w:r w:rsidRPr="00786C12">
        <w:rPr>
          <w:lang w:val="en-GB"/>
        </w:rPr>
        <w:t>Weisbach</w:t>
      </w:r>
      <w:proofErr w:type="spellEnd"/>
      <w:r w:rsidRPr="00786C12">
        <w:rPr>
          <w:lang w:val="en-GB"/>
        </w:rPr>
        <w:t xml:space="preserve">, M. (2015) ‘M&amp;A activity and macro conditions’, </w:t>
      </w:r>
      <w:r w:rsidRPr="00786C12">
        <w:rPr>
          <w:i/>
          <w:iCs/>
          <w:lang w:val="en-GB"/>
        </w:rPr>
        <w:t>Journal of Finance</w:t>
      </w:r>
      <w:r w:rsidRPr="00786C12">
        <w:rPr>
          <w:lang w:val="en-GB"/>
        </w:rPr>
        <w:t>, 70(4), pp. 1769–1805.</w:t>
      </w:r>
    </w:p>
    <w:p w:rsidR="00786C12" w:rsidRPr="00786C12" w:rsidRDefault="00786C12" w:rsidP="00786C12">
      <w:pPr>
        <w:rPr>
          <w:lang w:val="en-GB"/>
        </w:rPr>
      </w:pPr>
      <w:proofErr w:type="spellStart"/>
      <w:r w:rsidRPr="00786C12">
        <w:rPr>
          <w:lang w:val="en-GB"/>
        </w:rPr>
        <w:t>Filippini</w:t>
      </w:r>
      <w:proofErr w:type="spellEnd"/>
      <w:r w:rsidRPr="00786C12">
        <w:rPr>
          <w:lang w:val="en-GB"/>
        </w:rPr>
        <w:t xml:space="preserve">, R., </w:t>
      </w:r>
      <w:proofErr w:type="spellStart"/>
      <w:r w:rsidRPr="00786C12">
        <w:rPr>
          <w:lang w:val="en-GB"/>
        </w:rPr>
        <w:t>Güttel</w:t>
      </w:r>
      <w:proofErr w:type="spellEnd"/>
      <w:r w:rsidRPr="00786C12">
        <w:rPr>
          <w:lang w:val="en-GB"/>
        </w:rPr>
        <w:t xml:space="preserve">, W. &amp; </w:t>
      </w:r>
      <w:proofErr w:type="spellStart"/>
      <w:r w:rsidRPr="00786C12">
        <w:rPr>
          <w:lang w:val="en-GB"/>
        </w:rPr>
        <w:t>Nosella</w:t>
      </w:r>
      <w:proofErr w:type="spellEnd"/>
      <w:r w:rsidRPr="00786C12">
        <w:rPr>
          <w:lang w:val="en-GB"/>
        </w:rPr>
        <w:t xml:space="preserve">, A. (2012) ‘Ambidexterity in operations strategy’, </w:t>
      </w:r>
      <w:r w:rsidRPr="00786C12">
        <w:rPr>
          <w:i/>
          <w:iCs/>
          <w:lang w:val="en-GB"/>
        </w:rPr>
        <w:t>Journal of Operations Management</w:t>
      </w:r>
      <w:r w:rsidRPr="00786C12">
        <w:rPr>
          <w:lang w:val="en-GB"/>
        </w:rPr>
        <w:t>, 30(4), pp. 316–328.</w:t>
      </w:r>
    </w:p>
    <w:p w:rsidR="00786C12" w:rsidRPr="00786C12" w:rsidRDefault="00786C12" w:rsidP="00786C12">
      <w:pPr>
        <w:rPr>
          <w:lang w:val="en-GB"/>
        </w:rPr>
      </w:pPr>
      <w:r w:rsidRPr="00786C12">
        <w:rPr>
          <w:lang w:val="en-GB"/>
        </w:rPr>
        <w:lastRenderedPageBreak/>
        <w:t xml:space="preserve">Frank, M. &amp; Goyal, V. (2007) ‘Capital structure decisions’, </w:t>
      </w:r>
      <w:r w:rsidRPr="00786C12">
        <w:rPr>
          <w:i/>
          <w:iCs/>
          <w:lang w:val="en-GB"/>
        </w:rPr>
        <w:t>Journal of Financial Economics</w:t>
      </w:r>
      <w:r w:rsidRPr="00786C12">
        <w:rPr>
          <w:lang w:val="en-GB"/>
        </w:rPr>
        <w:t>, 82(3), pp. 567–591.</w:t>
      </w:r>
    </w:p>
    <w:p w:rsidR="00786C12" w:rsidRDefault="00786C12" w:rsidP="00786C12">
      <w:pPr>
        <w:rPr>
          <w:lang w:val="en-GB"/>
        </w:rPr>
      </w:pPr>
      <w:r w:rsidRPr="00786C12">
        <w:rPr>
          <w:lang w:val="en-GB"/>
        </w:rPr>
        <w:t xml:space="preserve">Freeman, R. (1984) </w:t>
      </w:r>
      <w:r w:rsidRPr="00786C12">
        <w:rPr>
          <w:i/>
          <w:iCs/>
          <w:lang w:val="en-GB"/>
        </w:rPr>
        <w:t>Strategic Management: A Stakeholder Approach</w:t>
      </w:r>
      <w:r w:rsidRPr="00786C12">
        <w:rPr>
          <w:lang w:val="en-GB"/>
        </w:rPr>
        <w:t>. Boston: Pitman.</w:t>
      </w:r>
    </w:p>
    <w:p w:rsidR="00737F39" w:rsidRPr="00786C12" w:rsidRDefault="00737F39" w:rsidP="00786C12">
      <w:pPr>
        <w:rPr>
          <w:lang w:val="en-GB"/>
        </w:rPr>
      </w:pPr>
      <w:r w:rsidRPr="00737F39">
        <w:rPr>
          <w:lang w:val="en-GB"/>
        </w:rPr>
        <w:t xml:space="preserve">Gerald, I., White, S., </w:t>
      </w:r>
      <w:proofErr w:type="spellStart"/>
      <w:r w:rsidRPr="00737F39">
        <w:rPr>
          <w:lang w:val="en-GB"/>
        </w:rPr>
        <w:t>Ashwinpaul</w:t>
      </w:r>
      <w:proofErr w:type="spellEnd"/>
      <w:r w:rsidRPr="00737F39">
        <w:rPr>
          <w:lang w:val="en-GB"/>
        </w:rPr>
        <w:t xml:space="preserve">, C. and Fried, D., </w:t>
      </w:r>
      <w:r>
        <w:rPr>
          <w:lang w:val="en-GB"/>
        </w:rPr>
        <w:t>(</w:t>
      </w:r>
      <w:r w:rsidRPr="00737F39">
        <w:rPr>
          <w:lang w:val="en-GB"/>
        </w:rPr>
        <w:t>2003</w:t>
      </w:r>
      <w:r>
        <w:rPr>
          <w:lang w:val="en-GB"/>
        </w:rPr>
        <w:t>)</w:t>
      </w:r>
      <w:r w:rsidRPr="00737F39">
        <w:rPr>
          <w:lang w:val="en-GB"/>
        </w:rPr>
        <w:t>. AIMR Annual Report Supplement to Accompany the Analysis and Use of Financial Statements. John Wiley &amp; Sons.</w:t>
      </w:r>
    </w:p>
    <w:p w:rsidR="00786C12" w:rsidRPr="00786C12" w:rsidRDefault="00786C12" w:rsidP="00786C12">
      <w:pPr>
        <w:rPr>
          <w:lang w:val="en-GB"/>
        </w:rPr>
      </w:pPr>
      <w:proofErr w:type="spellStart"/>
      <w:r w:rsidRPr="00786C12">
        <w:rPr>
          <w:lang w:val="en-GB"/>
        </w:rPr>
        <w:t>Gertner</w:t>
      </w:r>
      <w:proofErr w:type="spellEnd"/>
      <w:r w:rsidRPr="00786C12">
        <w:rPr>
          <w:lang w:val="en-GB"/>
        </w:rPr>
        <w:t xml:space="preserve">, R. &amp; </w:t>
      </w:r>
      <w:proofErr w:type="spellStart"/>
      <w:r w:rsidRPr="00786C12">
        <w:rPr>
          <w:lang w:val="en-GB"/>
        </w:rPr>
        <w:t>Scharfstein</w:t>
      </w:r>
      <w:proofErr w:type="spellEnd"/>
      <w:r w:rsidRPr="00786C12">
        <w:rPr>
          <w:lang w:val="en-GB"/>
        </w:rPr>
        <w:t xml:space="preserve">, D. (1991) ‘Financial restructuring’, </w:t>
      </w:r>
      <w:r w:rsidRPr="00786C12">
        <w:rPr>
          <w:i/>
          <w:iCs/>
          <w:lang w:val="en-GB"/>
        </w:rPr>
        <w:t>Brookings Papers on Economic Activity</w:t>
      </w:r>
      <w:r w:rsidRPr="00786C12">
        <w:rPr>
          <w:lang w:val="en-GB"/>
        </w:rPr>
        <w:t>, 1, pp. 43–136.</w:t>
      </w:r>
    </w:p>
    <w:p w:rsidR="00786C12" w:rsidRPr="00786C12" w:rsidRDefault="00786C12" w:rsidP="00786C12">
      <w:pPr>
        <w:rPr>
          <w:lang w:val="en-GB"/>
        </w:rPr>
      </w:pPr>
      <w:r w:rsidRPr="00786C12">
        <w:rPr>
          <w:lang w:val="en-GB"/>
        </w:rPr>
        <w:t xml:space="preserve">Gilson, S. (2012) </w:t>
      </w:r>
      <w:r w:rsidRPr="00786C12">
        <w:rPr>
          <w:i/>
          <w:iCs/>
          <w:lang w:val="en-GB"/>
        </w:rPr>
        <w:t>Creating Value through Corporate Restructuring</w:t>
      </w:r>
      <w:r w:rsidRPr="00786C12">
        <w:rPr>
          <w:lang w:val="en-GB"/>
        </w:rPr>
        <w:t xml:space="preserve">. 2nd </w:t>
      </w:r>
      <w:proofErr w:type="spellStart"/>
      <w:r w:rsidRPr="00786C12">
        <w:rPr>
          <w:lang w:val="en-GB"/>
        </w:rPr>
        <w:t>edn</w:t>
      </w:r>
      <w:proofErr w:type="spellEnd"/>
      <w:r w:rsidRPr="00786C12">
        <w:rPr>
          <w:lang w:val="en-GB"/>
        </w:rPr>
        <w:t>. Hoboken: Wiley.</w:t>
      </w:r>
    </w:p>
    <w:p w:rsidR="00786C12" w:rsidRPr="00786C12" w:rsidRDefault="00786C12" w:rsidP="00786C12">
      <w:pPr>
        <w:rPr>
          <w:lang w:val="en-GB"/>
        </w:rPr>
      </w:pPr>
      <w:r w:rsidRPr="00786C12">
        <w:rPr>
          <w:lang w:val="en-GB"/>
        </w:rPr>
        <w:t xml:space="preserve">Graham, J. &amp; Harvey, C. (2001) ‘The theory and practice of corporate finance’, </w:t>
      </w:r>
      <w:r w:rsidRPr="00786C12">
        <w:rPr>
          <w:i/>
          <w:iCs/>
          <w:lang w:val="en-GB"/>
        </w:rPr>
        <w:t>Journal of Financial Economics</w:t>
      </w:r>
      <w:r w:rsidRPr="00786C12">
        <w:rPr>
          <w:lang w:val="en-GB"/>
        </w:rPr>
        <w:t>, 60(2–3), pp. 187–243.</w:t>
      </w:r>
    </w:p>
    <w:p w:rsidR="007638E7" w:rsidRPr="007638E7" w:rsidRDefault="007638E7" w:rsidP="007638E7">
      <w:pPr>
        <w:rPr>
          <w:lang w:val="en-GB"/>
        </w:rPr>
      </w:pPr>
      <w:proofErr w:type="spellStart"/>
      <w:r w:rsidRPr="007638E7">
        <w:rPr>
          <w:lang w:val="en-GB"/>
        </w:rPr>
        <w:t>López</w:t>
      </w:r>
      <w:proofErr w:type="spellEnd"/>
      <w:r w:rsidRPr="007638E7">
        <w:rPr>
          <w:lang w:val="en-GB"/>
        </w:rPr>
        <w:t xml:space="preserve">-Gutiérrez, C., </w:t>
      </w:r>
      <w:proofErr w:type="spellStart"/>
      <w:r w:rsidRPr="007638E7">
        <w:rPr>
          <w:lang w:val="en-GB"/>
        </w:rPr>
        <w:t>Sanfilippo-Azofra</w:t>
      </w:r>
      <w:proofErr w:type="spellEnd"/>
      <w:r w:rsidRPr="007638E7">
        <w:rPr>
          <w:lang w:val="en-GB"/>
        </w:rPr>
        <w:t>, S. and Torre-</w:t>
      </w:r>
      <w:proofErr w:type="spellStart"/>
      <w:r w:rsidRPr="007638E7">
        <w:rPr>
          <w:lang w:val="en-GB"/>
        </w:rPr>
        <w:t>Olmo</w:t>
      </w:r>
      <w:proofErr w:type="spellEnd"/>
      <w:r w:rsidRPr="007638E7">
        <w:rPr>
          <w:lang w:val="en-GB"/>
        </w:rPr>
        <w:t xml:space="preserve">, B. (2015). Investment decisions of companies in financial distress. </w:t>
      </w:r>
      <w:r w:rsidRPr="007638E7">
        <w:rPr>
          <w:i/>
          <w:iCs/>
          <w:lang w:val="en-GB"/>
        </w:rPr>
        <w:t>BRQ Business Research Quarterly</w:t>
      </w:r>
      <w:r w:rsidRPr="007638E7">
        <w:rPr>
          <w:lang w:val="en-GB"/>
        </w:rPr>
        <w:t xml:space="preserve">, 18(3), pp.174–187. </w:t>
      </w:r>
      <w:proofErr w:type="spellStart"/>
      <w:r w:rsidRPr="007638E7">
        <w:rPr>
          <w:lang w:val="en-GB"/>
        </w:rPr>
        <w:t>doi:https</w:t>
      </w:r>
      <w:proofErr w:type="spellEnd"/>
      <w:r w:rsidRPr="007638E7">
        <w:rPr>
          <w:lang w:val="en-GB"/>
        </w:rPr>
        <w:t>://doi.org/10.1016/j.brq.2014.09.001.</w:t>
      </w:r>
    </w:p>
    <w:p w:rsidR="00786C12" w:rsidRPr="00786C12" w:rsidRDefault="00786C12" w:rsidP="00786C12">
      <w:pPr>
        <w:rPr>
          <w:lang w:val="en-GB"/>
        </w:rPr>
      </w:pPr>
      <w:proofErr w:type="spellStart"/>
      <w:r w:rsidRPr="00786C12">
        <w:rPr>
          <w:lang w:val="en-GB"/>
        </w:rPr>
        <w:t>Hagendorff</w:t>
      </w:r>
      <w:proofErr w:type="spellEnd"/>
      <w:r w:rsidRPr="00786C12">
        <w:rPr>
          <w:lang w:val="en-GB"/>
        </w:rPr>
        <w:t xml:space="preserve">, B., </w:t>
      </w:r>
      <w:proofErr w:type="spellStart"/>
      <w:r w:rsidRPr="00786C12">
        <w:rPr>
          <w:lang w:val="en-GB"/>
        </w:rPr>
        <w:t>Hagendorff</w:t>
      </w:r>
      <w:proofErr w:type="spellEnd"/>
      <w:r w:rsidRPr="00786C12">
        <w:rPr>
          <w:lang w:val="en-GB"/>
        </w:rPr>
        <w:t xml:space="preserve">, J. &amp; </w:t>
      </w:r>
      <w:proofErr w:type="spellStart"/>
      <w:r w:rsidRPr="00786C12">
        <w:rPr>
          <w:lang w:val="en-GB"/>
        </w:rPr>
        <w:t>Keasey</w:t>
      </w:r>
      <w:proofErr w:type="spellEnd"/>
      <w:r w:rsidRPr="00786C12">
        <w:rPr>
          <w:lang w:val="en-GB"/>
        </w:rPr>
        <w:t xml:space="preserve">, K. (2014) ‘Financial restructuring and shareholder value’, </w:t>
      </w:r>
      <w:r w:rsidRPr="00786C12">
        <w:rPr>
          <w:i/>
          <w:iCs/>
          <w:lang w:val="en-GB"/>
        </w:rPr>
        <w:t>Journal of Corporate Finance</w:t>
      </w:r>
      <w:r w:rsidRPr="00786C12">
        <w:rPr>
          <w:lang w:val="en-GB"/>
        </w:rPr>
        <w:t>, 26, pp. 331–349.</w:t>
      </w:r>
    </w:p>
    <w:p w:rsidR="00786C12" w:rsidRPr="00786C12" w:rsidRDefault="00786C12" w:rsidP="00786C12">
      <w:pPr>
        <w:rPr>
          <w:lang w:val="en-GB"/>
        </w:rPr>
      </w:pPr>
      <w:r w:rsidRPr="00786C12">
        <w:rPr>
          <w:lang w:val="en-GB"/>
        </w:rPr>
        <w:t xml:space="preserve">Hanlon, M. &amp; </w:t>
      </w:r>
      <w:proofErr w:type="spellStart"/>
      <w:r w:rsidRPr="00786C12">
        <w:rPr>
          <w:lang w:val="en-GB"/>
        </w:rPr>
        <w:t>Heitzman</w:t>
      </w:r>
      <w:proofErr w:type="spellEnd"/>
      <w:r w:rsidRPr="00786C12">
        <w:rPr>
          <w:lang w:val="en-GB"/>
        </w:rPr>
        <w:t xml:space="preserve">, S. (2010) ‘A review of tax research’, </w:t>
      </w:r>
      <w:r w:rsidRPr="00786C12">
        <w:rPr>
          <w:i/>
          <w:iCs/>
          <w:lang w:val="en-GB"/>
        </w:rPr>
        <w:t>Journal of Accounting and Economics</w:t>
      </w:r>
      <w:r w:rsidRPr="00786C12">
        <w:rPr>
          <w:lang w:val="en-GB"/>
        </w:rPr>
        <w:t>, 50(2–3), pp. 127–178.</w:t>
      </w:r>
    </w:p>
    <w:p w:rsidR="00786C12" w:rsidRDefault="00786C12" w:rsidP="00786C12">
      <w:pPr>
        <w:rPr>
          <w:lang w:val="en-GB"/>
        </w:rPr>
      </w:pPr>
      <w:r w:rsidRPr="00786C12">
        <w:rPr>
          <w:lang w:val="en-GB"/>
        </w:rPr>
        <w:t xml:space="preserve">Hill, M., Kelly, G. &amp; Highfield, M. (2010) ‘Net operating working capital behaviour’, </w:t>
      </w:r>
      <w:r w:rsidRPr="00786C12">
        <w:rPr>
          <w:i/>
          <w:iCs/>
          <w:lang w:val="en-GB"/>
        </w:rPr>
        <w:t>Journal of Corporate Finance</w:t>
      </w:r>
      <w:r w:rsidRPr="00786C12">
        <w:rPr>
          <w:lang w:val="en-GB"/>
        </w:rPr>
        <w:t>, 16(2), pp. 1–15.</w:t>
      </w:r>
    </w:p>
    <w:p w:rsidR="000E1C49" w:rsidRPr="00786C12" w:rsidRDefault="000E1C49" w:rsidP="00786C12">
      <w:pPr>
        <w:rPr>
          <w:lang w:val="en-GB"/>
        </w:rPr>
      </w:pPr>
      <w:r w:rsidRPr="000E1C49">
        <w:t xml:space="preserve">Hofmann, E. and </w:t>
      </w:r>
      <w:proofErr w:type="spellStart"/>
      <w:r w:rsidRPr="000E1C49">
        <w:t>Kotzab</w:t>
      </w:r>
      <w:proofErr w:type="spellEnd"/>
      <w:r w:rsidRPr="000E1C49">
        <w:t xml:space="preserve">, H., </w:t>
      </w:r>
      <w:r>
        <w:t>(</w:t>
      </w:r>
      <w:r w:rsidRPr="000E1C49">
        <w:t>2010</w:t>
      </w:r>
      <w:r>
        <w:t>)</w:t>
      </w:r>
      <w:r w:rsidRPr="000E1C49">
        <w:t>. A supply chain</w:t>
      </w:r>
      <w:r w:rsidRPr="000E1C49">
        <w:rPr>
          <w:rFonts w:ascii="Cambria Math" w:hAnsi="Cambria Math" w:cs="Cambria Math"/>
        </w:rPr>
        <w:t>‐</w:t>
      </w:r>
      <w:r w:rsidRPr="000E1C49">
        <w:t>oriented approach of working capital management.</w:t>
      </w:r>
      <w:r w:rsidRPr="000E1C49">
        <w:rPr>
          <w:rFonts w:cs="Arial"/>
        </w:rPr>
        <w:t> </w:t>
      </w:r>
      <w:r w:rsidRPr="000E1C49">
        <w:rPr>
          <w:i/>
          <w:iCs/>
        </w:rPr>
        <w:t>Journal of business Logistics</w:t>
      </w:r>
      <w:r w:rsidRPr="000E1C49">
        <w:t>, </w:t>
      </w:r>
      <w:r w:rsidRPr="000E1C49">
        <w:rPr>
          <w:i/>
          <w:iCs/>
        </w:rPr>
        <w:t>31</w:t>
      </w:r>
      <w:r w:rsidRPr="000E1C49">
        <w:t>(2), pp.305-330.</w:t>
      </w:r>
    </w:p>
    <w:p w:rsidR="00786C12" w:rsidRPr="00786C12" w:rsidRDefault="00786C12" w:rsidP="00786C12">
      <w:pPr>
        <w:rPr>
          <w:lang w:val="en-GB"/>
        </w:rPr>
      </w:pPr>
      <w:proofErr w:type="spellStart"/>
      <w:r w:rsidRPr="00786C12">
        <w:rPr>
          <w:lang w:val="en-GB"/>
        </w:rPr>
        <w:t>Howorth</w:t>
      </w:r>
      <w:proofErr w:type="spellEnd"/>
      <w:r w:rsidRPr="00786C12">
        <w:rPr>
          <w:lang w:val="en-GB"/>
        </w:rPr>
        <w:t xml:space="preserve">, C. &amp; Westhead, P. (2003) ‘The focus of working capital management’, </w:t>
      </w:r>
      <w:r w:rsidRPr="00786C12">
        <w:rPr>
          <w:i/>
          <w:iCs/>
          <w:lang w:val="en-GB"/>
        </w:rPr>
        <w:t>Management Accounting Research</w:t>
      </w:r>
      <w:r w:rsidRPr="00786C12">
        <w:rPr>
          <w:lang w:val="en-GB"/>
        </w:rPr>
        <w:t>, 14(2), pp. 103–135.</w:t>
      </w:r>
    </w:p>
    <w:p w:rsidR="00786C12" w:rsidRPr="00786C12" w:rsidRDefault="00786C12" w:rsidP="00786C12">
      <w:pPr>
        <w:rPr>
          <w:lang w:val="en-GB"/>
        </w:rPr>
      </w:pPr>
      <w:r w:rsidRPr="00786C12">
        <w:rPr>
          <w:lang w:val="en-GB"/>
        </w:rPr>
        <w:lastRenderedPageBreak/>
        <w:t xml:space="preserve">Johnsen, T., </w:t>
      </w:r>
      <w:proofErr w:type="spellStart"/>
      <w:r w:rsidRPr="00786C12">
        <w:rPr>
          <w:lang w:val="en-GB"/>
        </w:rPr>
        <w:t>Melicher</w:t>
      </w:r>
      <w:proofErr w:type="spellEnd"/>
      <w:r w:rsidRPr="00786C12">
        <w:rPr>
          <w:lang w:val="en-GB"/>
        </w:rPr>
        <w:t xml:space="preserve">, R. &amp; Click, R. (2020) </w:t>
      </w:r>
      <w:r w:rsidRPr="00786C12">
        <w:rPr>
          <w:i/>
          <w:iCs/>
          <w:lang w:val="en-GB"/>
        </w:rPr>
        <w:t>Contemporary Corporate Finance</w:t>
      </w:r>
      <w:r w:rsidRPr="00786C12">
        <w:rPr>
          <w:lang w:val="en-GB"/>
        </w:rPr>
        <w:t xml:space="preserve">. 14th </w:t>
      </w:r>
      <w:proofErr w:type="spellStart"/>
      <w:r w:rsidRPr="00786C12">
        <w:rPr>
          <w:lang w:val="en-GB"/>
        </w:rPr>
        <w:t>edn</w:t>
      </w:r>
      <w:proofErr w:type="spellEnd"/>
      <w:r w:rsidRPr="00786C12">
        <w:rPr>
          <w:lang w:val="en-GB"/>
        </w:rPr>
        <w:t>. Boston: Cengage.</w:t>
      </w:r>
    </w:p>
    <w:p w:rsidR="00786C12" w:rsidRDefault="00786C12" w:rsidP="00786C12">
      <w:pPr>
        <w:rPr>
          <w:lang w:val="en-GB"/>
        </w:rPr>
      </w:pPr>
      <w:r w:rsidRPr="00786C12">
        <w:rPr>
          <w:lang w:val="en-GB"/>
        </w:rPr>
        <w:t xml:space="preserve">Kaplan, S. &amp; </w:t>
      </w:r>
      <w:proofErr w:type="spellStart"/>
      <w:r w:rsidRPr="00786C12">
        <w:rPr>
          <w:lang w:val="en-GB"/>
        </w:rPr>
        <w:t>Weisbach</w:t>
      </w:r>
      <w:proofErr w:type="spellEnd"/>
      <w:r w:rsidRPr="00786C12">
        <w:rPr>
          <w:lang w:val="en-GB"/>
        </w:rPr>
        <w:t xml:space="preserve">, M. (1992) ‘The success of divestitures’, </w:t>
      </w:r>
      <w:r w:rsidRPr="00786C12">
        <w:rPr>
          <w:i/>
          <w:iCs/>
          <w:lang w:val="en-GB"/>
        </w:rPr>
        <w:t>The Journal of Finance</w:t>
      </w:r>
      <w:r w:rsidRPr="00786C12">
        <w:rPr>
          <w:lang w:val="en-GB"/>
        </w:rPr>
        <w:t>, 47(4), pp. 1077–1095.</w:t>
      </w:r>
    </w:p>
    <w:p w:rsidR="000400C0" w:rsidRPr="00786C12" w:rsidRDefault="000400C0" w:rsidP="00786C12">
      <w:pPr>
        <w:rPr>
          <w:lang w:val="en-GB"/>
        </w:rPr>
      </w:pPr>
      <w:proofErr w:type="spellStart"/>
      <w:r w:rsidRPr="000400C0">
        <w:rPr>
          <w:lang w:val="en-GB"/>
        </w:rPr>
        <w:t>Koller</w:t>
      </w:r>
      <w:proofErr w:type="spellEnd"/>
      <w:r w:rsidRPr="000400C0">
        <w:rPr>
          <w:lang w:val="en-GB"/>
        </w:rPr>
        <w:t xml:space="preserve">, T., </w:t>
      </w:r>
      <w:proofErr w:type="spellStart"/>
      <w:r w:rsidRPr="000400C0">
        <w:rPr>
          <w:lang w:val="en-GB"/>
        </w:rPr>
        <w:t>Goedhart</w:t>
      </w:r>
      <w:proofErr w:type="spellEnd"/>
      <w:r w:rsidRPr="000400C0">
        <w:rPr>
          <w:lang w:val="en-GB"/>
        </w:rPr>
        <w:t xml:space="preserve">, M. and </w:t>
      </w:r>
      <w:proofErr w:type="spellStart"/>
      <w:r w:rsidRPr="000400C0">
        <w:rPr>
          <w:lang w:val="en-GB"/>
        </w:rPr>
        <w:t>Wessels</w:t>
      </w:r>
      <w:proofErr w:type="spellEnd"/>
      <w:r w:rsidRPr="000400C0">
        <w:rPr>
          <w:lang w:val="en-GB"/>
        </w:rPr>
        <w:t>, D. (2025). Valuation: Measuring and Managing the Value of Companies. 8th ed. John Wiley &amp; Sons.</w:t>
      </w:r>
    </w:p>
    <w:p w:rsidR="00786C12" w:rsidRPr="00786C12" w:rsidRDefault="00786C12" w:rsidP="00786C12">
      <w:pPr>
        <w:rPr>
          <w:lang w:val="en-GB"/>
        </w:rPr>
      </w:pPr>
      <w:proofErr w:type="spellStart"/>
      <w:r w:rsidRPr="00786C12">
        <w:rPr>
          <w:lang w:val="en-GB"/>
        </w:rPr>
        <w:t>Lazaridis</w:t>
      </w:r>
      <w:proofErr w:type="spellEnd"/>
      <w:r w:rsidRPr="00786C12">
        <w:rPr>
          <w:lang w:val="en-GB"/>
        </w:rPr>
        <w:t xml:space="preserve">, I. &amp; </w:t>
      </w:r>
      <w:proofErr w:type="spellStart"/>
      <w:r w:rsidRPr="00786C12">
        <w:rPr>
          <w:lang w:val="en-GB"/>
        </w:rPr>
        <w:t>Tryfonidis</w:t>
      </w:r>
      <w:proofErr w:type="spellEnd"/>
      <w:r w:rsidRPr="00786C12">
        <w:rPr>
          <w:lang w:val="en-GB"/>
        </w:rPr>
        <w:t xml:space="preserve">, D. (2006) ‘Working capital and profitability’, </w:t>
      </w:r>
      <w:r w:rsidRPr="00786C12">
        <w:rPr>
          <w:i/>
          <w:iCs/>
          <w:lang w:val="en-GB"/>
        </w:rPr>
        <w:t>Journal of Financial Management and Analysis</w:t>
      </w:r>
      <w:r w:rsidRPr="00786C12">
        <w:rPr>
          <w:lang w:val="en-GB"/>
        </w:rPr>
        <w:t>, 19(1), pp. 26–35.</w:t>
      </w:r>
    </w:p>
    <w:p w:rsidR="00786C12" w:rsidRPr="00786C12" w:rsidRDefault="00786C12" w:rsidP="00786C12">
      <w:pPr>
        <w:rPr>
          <w:lang w:val="en-GB"/>
        </w:rPr>
      </w:pPr>
      <w:proofErr w:type="spellStart"/>
      <w:r w:rsidRPr="00786C12">
        <w:rPr>
          <w:lang w:val="en-GB"/>
        </w:rPr>
        <w:t>Lukason</w:t>
      </w:r>
      <w:proofErr w:type="spellEnd"/>
      <w:r w:rsidRPr="00786C12">
        <w:rPr>
          <w:lang w:val="en-GB"/>
        </w:rPr>
        <w:t>, O. &amp; Camacho-</w:t>
      </w:r>
      <w:proofErr w:type="spellStart"/>
      <w:r w:rsidRPr="00786C12">
        <w:rPr>
          <w:lang w:val="en-GB"/>
        </w:rPr>
        <w:t>Miñano</w:t>
      </w:r>
      <w:proofErr w:type="spellEnd"/>
      <w:r w:rsidRPr="00786C12">
        <w:rPr>
          <w:lang w:val="en-GB"/>
        </w:rPr>
        <w:t xml:space="preserve">, M. (2019) ‘Corporate insolvency prediction’, </w:t>
      </w:r>
      <w:r w:rsidRPr="00786C12">
        <w:rPr>
          <w:i/>
          <w:iCs/>
          <w:lang w:val="en-GB"/>
        </w:rPr>
        <w:t>European Management Journal</w:t>
      </w:r>
      <w:r w:rsidRPr="00786C12">
        <w:rPr>
          <w:lang w:val="en-GB"/>
        </w:rPr>
        <w:t>, 37(3), pp. 329–343.</w:t>
      </w:r>
      <w:r w:rsidR="005E1F41">
        <w:rPr>
          <w:lang w:val="en-GB"/>
        </w:rPr>
        <w:t xml:space="preserve"> </w:t>
      </w:r>
    </w:p>
    <w:p w:rsidR="00786C12" w:rsidRPr="00786C12" w:rsidRDefault="00786C12" w:rsidP="00786C12">
      <w:pPr>
        <w:rPr>
          <w:lang w:val="en-GB"/>
        </w:rPr>
      </w:pPr>
      <w:r w:rsidRPr="00786C12">
        <w:rPr>
          <w:lang w:val="en-GB"/>
        </w:rPr>
        <w:t xml:space="preserve">Mao, J. (1970) ‘Survey of capital budgeting theory’, </w:t>
      </w:r>
      <w:r w:rsidRPr="00786C12">
        <w:rPr>
          <w:i/>
          <w:iCs/>
          <w:lang w:val="en-GB"/>
        </w:rPr>
        <w:t>The Journal of Finance</w:t>
      </w:r>
      <w:r w:rsidRPr="00786C12">
        <w:rPr>
          <w:lang w:val="en-GB"/>
        </w:rPr>
        <w:t>, 25(2), pp. 349–360.</w:t>
      </w:r>
    </w:p>
    <w:p w:rsidR="00786C12" w:rsidRPr="00786C12" w:rsidRDefault="00786C12" w:rsidP="00786C12">
      <w:pPr>
        <w:rPr>
          <w:lang w:val="en-GB"/>
        </w:rPr>
      </w:pPr>
      <w:r w:rsidRPr="00786C12">
        <w:rPr>
          <w:lang w:val="en-GB"/>
        </w:rPr>
        <w:t xml:space="preserve">Megginson, W. &amp; </w:t>
      </w:r>
      <w:proofErr w:type="spellStart"/>
      <w:r w:rsidRPr="00786C12">
        <w:rPr>
          <w:lang w:val="en-GB"/>
        </w:rPr>
        <w:t>Fotak</w:t>
      </w:r>
      <w:proofErr w:type="spellEnd"/>
      <w:r w:rsidRPr="00786C12">
        <w:rPr>
          <w:lang w:val="en-GB"/>
        </w:rPr>
        <w:t xml:space="preserve">, V. (2021) ‘Sovereign wealth funds and strategic investment’, </w:t>
      </w:r>
      <w:r w:rsidRPr="00786C12">
        <w:rPr>
          <w:i/>
          <w:iCs/>
          <w:lang w:val="en-GB"/>
        </w:rPr>
        <w:t>Journal of Economic Perspectives</w:t>
      </w:r>
      <w:r w:rsidRPr="00786C12">
        <w:rPr>
          <w:lang w:val="en-GB"/>
        </w:rPr>
        <w:t>, 35(2), pp. 111–134.</w:t>
      </w:r>
    </w:p>
    <w:p w:rsidR="00786C12" w:rsidRPr="00786C12" w:rsidRDefault="00786C12" w:rsidP="00786C12">
      <w:pPr>
        <w:rPr>
          <w:lang w:val="en-GB"/>
        </w:rPr>
      </w:pPr>
      <w:proofErr w:type="spellStart"/>
      <w:r w:rsidRPr="00786C12">
        <w:rPr>
          <w:lang w:val="en-GB"/>
        </w:rPr>
        <w:t>Mollenkopf</w:t>
      </w:r>
      <w:proofErr w:type="spellEnd"/>
      <w:r w:rsidRPr="00786C12">
        <w:rPr>
          <w:lang w:val="en-GB"/>
        </w:rPr>
        <w:t xml:space="preserve">, D., </w:t>
      </w:r>
      <w:proofErr w:type="spellStart"/>
      <w:r w:rsidRPr="00786C12">
        <w:rPr>
          <w:lang w:val="en-GB"/>
        </w:rPr>
        <w:t>Stolze</w:t>
      </w:r>
      <w:proofErr w:type="spellEnd"/>
      <w:r w:rsidRPr="00786C12">
        <w:rPr>
          <w:lang w:val="en-GB"/>
        </w:rPr>
        <w:t xml:space="preserve">, H., Tate, W. &amp; </w:t>
      </w:r>
      <w:proofErr w:type="spellStart"/>
      <w:r w:rsidRPr="00786C12">
        <w:rPr>
          <w:lang w:val="en-GB"/>
        </w:rPr>
        <w:t>Ueltschy</w:t>
      </w:r>
      <w:proofErr w:type="spellEnd"/>
      <w:r w:rsidRPr="00786C12">
        <w:rPr>
          <w:lang w:val="en-GB"/>
        </w:rPr>
        <w:t xml:space="preserve">, M. (2010) ‘Green, lean and global supply chains’, </w:t>
      </w:r>
      <w:r w:rsidRPr="00786C12">
        <w:rPr>
          <w:i/>
          <w:iCs/>
          <w:lang w:val="en-GB"/>
        </w:rPr>
        <w:t>International Journal of Physical Distribution &amp; Logistics Management</w:t>
      </w:r>
      <w:r w:rsidRPr="00786C12">
        <w:rPr>
          <w:lang w:val="en-GB"/>
        </w:rPr>
        <w:t>, 40(1), pp. 14–41.</w:t>
      </w:r>
    </w:p>
    <w:p w:rsidR="00786C12" w:rsidRDefault="00786C12" w:rsidP="00786C12">
      <w:pPr>
        <w:rPr>
          <w:lang w:val="en-GB"/>
        </w:rPr>
      </w:pPr>
      <w:proofErr w:type="spellStart"/>
      <w:r w:rsidRPr="00786C12">
        <w:rPr>
          <w:lang w:val="en-GB"/>
        </w:rPr>
        <w:t>Nadiri</w:t>
      </w:r>
      <w:proofErr w:type="spellEnd"/>
      <w:r w:rsidRPr="00786C12">
        <w:rPr>
          <w:lang w:val="en-GB"/>
        </w:rPr>
        <w:t xml:space="preserve">, M. (1969) ‘The determinants of trade credit decisions’, </w:t>
      </w:r>
      <w:r w:rsidRPr="00786C12">
        <w:rPr>
          <w:i/>
          <w:iCs/>
          <w:lang w:val="en-GB"/>
        </w:rPr>
        <w:t>Review of Economics and Statistics</w:t>
      </w:r>
      <w:r w:rsidRPr="00786C12">
        <w:rPr>
          <w:lang w:val="en-GB"/>
        </w:rPr>
        <w:t>, 51, pp. 408–423.</w:t>
      </w:r>
    </w:p>
    <w:p w:rsidR="00786C12" w:rsidRPr="00786C12" w:rsidRDefault="00786C12" w:rsidP="00786C12">
      <w:pPr>
        <w:rPr>
          <w:lang w:val="en-GB"/>
        </w:rPr>
      </w:pPr>
      <w:r w:rsidRPr="00786C12">
        <w:rPr>
          <w:lang w:val="en-GB"/>
        </w:rPr>
        <w:t xml:space="preserve">Pearce, J. &amp; Robbins, K. (2008) ‘Turnaround process’, </w:t>
      </w:r>
      <w:r w:rsidRPr="00786C12">
        <w:rPr>
          <w:i/>
          <w:iCs/>
          <w:lang w:val="en-GB"/>
        </w:rPr>
        <w:t>Journal of Business Strategy</w:t>
      </w:r>
      <w:r w:rsidRPr="00786C12">
        <w:rPr>
          <w:lang w:val="en-GB"/>
        </w:rPr>
        <w:t>, 29(3), pp. 26–36.</w:t>
      </w:r>
    </w:p>
    <w:p w:rsidR="00786C12" w:rsidRPr="00786C12" w:rsidRDefault="00786C12" w:rsidP="00786C12">
      <w:pPr>
        <w:rPr>
          <w:lang w:val="en-GB"/>
        </w:rPr>
      </w:pPr>
      <w:r w:rsidRPr="00786C12">
        <w:rPr>
          <w:lang w:val="en-GB"/>
        </w:rPr>
        <w:t xml:space="preserve">Pike, R. &amp; Neale, B. (2006) </w:t>
      </w:r>
      <w:r w:rsidRPr="00786C12">
        <w:rPr>
          <w:i/>
          <w:iCs/>
          <w:lang w:val="en-GB"/>
        </w:rPr>
        <w:t>Corporate Finance and Investment</w:t>
      </w:r>
      <w:r w:rsidRPr="00786C12">
        <w:rPr>
          <w:lang w:val="en-GB"/>
        </w:rPr>
        <w:t xml:space="preserve">. 6th </w:t>
      </w:r>
      <w:proofErr w:type="spellStart"/>
      <w:r w:rsidRPr="00786C12">
        <w:rPr>
          <w:lang w:val="en-GB"/>
        </w:rPr>
        <w:t>edn</w:t>
      </w:r>
      <w:proofErr w:type="spellEnd"/>
      <w:r w:rsidRPr="00786C12">
        <w:rPr>
          <w:lang w:val="en-GB"/>
        </w:rPr>
        <w:t>. Harlow: Pearson.</w:t>
      </w:r>
    </w:p>
    <w:p w:rsidR="00786C12" w:rsidRPr="00786C12" w:rsidRDefault="00786C12" w:rsidP="00786C12">
      <w:pPr>
        <w:rPr>
          <w:lang w:val="en-GB"/>
        </w:rPr>
      </w:pPr>
      <w:r w:rsidRPr="00786C12">
        <w:rPr>
          <w:lang w:val="en-GB"/>
        </w:rPr>
        <w:t xml:space="preserve">Porter, M. &amp; Kramer, M. (2011) ‘Creating shared value’, </w:t>
      </w:r>
      <w:r w:rsidRPr="00786C12">
        <w:rPr>
          <w:i/>
          <w:iCs/>
          <w:lang w:val="en-GB"/>
        </w:rPr>
        <w:t>Harvard Business Review</w:t>
      </w:r>
      <w:r w:rsidRPr="00786C12">
        <w:rPr>
          <w:lang w:val="en-GB"/>
        </w:rPr>
        <w:t>, 89(1–2), pp. 62–77.</w:t>
      </w:r>
    </w:p>
    <w:p w:rsidR="00786C12" w:rsidRDefault="00786C12" w:rsidP="00786C12">
      <w:pPr>
        <w:rPr>
          <w:lang w:val="en-GB"/>
        </w:rPr>
      </w:pPr>
      <w:proofErr w:type="spellStart"/>
      <w:r w:rsidRPr="00786C12">
        <w:rPr>
          <w:lang w:val="en-GB"/>
        </w:rPr>
        <w:t>Sudarsanam</w:t>
      </w:r>
      <w:proofErr w:type="spellEnd"/>
      <w:r w:rsidRPr="00786C12">
        <w:rPr>
          <w:lang w:val="en-GB"/>
        </w:rPr>
        <w:t xml:space="preserve">, S. (2003) </w:t>
      </w:r>
      <w:r w:rsidRPr="00786C12">
        <w:rPr>
          <w:i/>
          <w:iCs/>
          <w:lang w:val="en-GB"/>
        </w:rPr>
        <w:t>Creating Value from M&amp;A</w:t>
      </w:r>
      <w:r w:rsidRPr="00786C12">
        <w:rPr>
          <w:lang w:val="en-GB"/>
        </w:rPr>
        <w:t>. FT Prentice Hall.</w:t>
      </w:r>
    </w:p>
    <w:p w:rsidR="00737F39" w:rsidRPr="00786C12" w:rsidRDefault="00737F39" w:rsidP="00786C12">
      <w:pPr>
        <w:rPr>
          <w:lang w:val="en-GB"/>
        </w:rPr>
      </w:pPr>
      <w:proofErr w:type="spellStart"/>
      <w:r w:rsidRPr="00737F39">
        <w:lastRenderedPageBreak/>
        <w:t>Taffler</w:t>
      </w:r>
      <w:proofErr w:type="spellEnd"/>
      <w:r w:rsidRPr="00737F39">
        <w:t xml:space="preserve">, R.J., </w:t>
      </w:r>
      <w:r>
        <w:t>(</w:t>
      </w:r>
      <w:r w:rsidRPr="00737F39">
        <w:t>1983</w:t>
      </w:r>
      <w:r>
        <w:t>)</w:t>
      </w:r>
      <w:r w:rsidRPr="00737F39">
        <w:t>. The assessment of company solvency and performance using a statistical model. </w:t>
      </w:r>
      <w:r w:rsidRPr="00737F39">
        <w:rPr>
          <w:i/>
          <w:iCs/>
        </w:rPr>
        <w:t>Accounting and Business Research</w:t>
      </w:r>
      <w:r w:rsidRPr="00737F39">
        <w:t>, </w:t>
      </w:r>
      <w:r w:rsidRPr="00737F39">
        <w:rPr>
          <w:i/>
          <w:iCs/>
        </w:rPr>
        <w:t>13</w:t>
      </w:r>
      <w:r w:rsidRPr="00737F39">
        <w:t>(52), pp.295-308.</w:t>
      </w:r>
    </w:p>
    <w:p w:rsidR="00786C12" w:rsidRPr="00786C12" w:rsidRDefault="00786C12" w:rsidP="00786C12">
      <w:pPr>
        <w:rPr>
          <w:lang w:val="en-GB"/>
        </w:rPr>
      </w:pPr>
      <w:r w:rsidRPr="00786C12">
        <w:rPr>
          <w:lang w:val="en-GB"/>
        </w:rPr>
        <w:t xml:space="preserve">Truong, G., </w:t>
      </w:r>
      <w:proofErr w:type="spellStart"/>
      <w:r w:rsidRPr="00786C12">
        <w:rPr>
          <w:lang w:val="en-GB"/>
        </w:rPr>
        <w:t>Partington</w:t>
      </w:r>
      <w:proofErr w:type="spellEnd"/>
      <w:r w:rsidRPr="00786C12">
        <w:rPr>
          <w:lang w:val="en-GB"/>
        </w:rPr>
        <w:t xml:space="preserve">, G. &amp; Peat, M. (2008) ‘Cost of capital estimation’, </w:t>
      </w:r>
      <w:r w:rsidRPr="00786C12">
        <w:rPr>
          <w:i/>
          <w:iCs/>
          <w:lang w:val="en-GB"/>
        </w:rPr>
        <w:t>Australian Journal of Management</w:t>
      </w:r>
      <w:r w:rsidRPr="00786C12">
        <w:rPr>
          <w:lang w:val="en-GB"/>
        </w:rPr>
        <w:t>, 33(1), pp. 95–121.</w:t>
      </w:r>
    </w:p>
    <w:p w:rsidR="00786C12" w:rsidRDefault="00786C12" w:rsidP="001A640A">
      <w:pPr>
        <w:rPr>
          <w:lang w:val="en-GB"/>
        </w:rPr>
      </w:pPr>
      <w:r w:rsidRPr="00786C12">
        <w:rPr>
          <w:lang w:val="en-GB"/>
        </w:rPr>
        <w:t xml:space="preserve">Watson, D. &amp; Head, A. (2020) </w:t>
      </w:r>
      <w:r w:rsidRPr="00786C12">
        <w:rPr>
          <w:i/>
          <w:iCs/>
          <w:lang w:val="en-GB"/>
        </w:rPr>
        <w:t>Corporate Finance</w:t>
      </w:r>
      <w:r w:rsidRPr="00786C12">
        <w:rPr>
          <w:lang w:val="en-GB"/>
        </w:rPr>
        <w:t xml:space="preserve">. 8th </w:t>
      </w:r>
      <w:proofErr w:type="spellStart"/>
      <w:r w:rsidRPr="00786C12">
        <w:rPr>
          <w:lang w:val="en-GB"/>
        </w:rPr>
        <w:t>edn</w:t>
      </w:r>
      <w:proofErr w:type="spellEnd"/>
      <w:r w:rsidRPr="00786C12">
        <w:rPr>
          <w:lang w:val="en-GB"/>
        </w:rPr>
        <w:t>. Pearson.</w:t>
      </w:r>
    </w:p>
    <w:p w:rsidR="000400C0" w:rsidRPr="000400C0" w:rsidRDefault="000400C0" w:rsidP="000400C0">
      <w:pPr>
        <w:rPr>
          <w:lang w:val="en-GB"/>
        </w:rPr>
      </w:pPr>
      <w:r w:rsidRPr="000400C0">
        <w:rPr>
          <w:lang w:val="en-GB"/>
        </w:rPr>
        <w:t xml:space="preserve">World Bank Group, IDE-JETRO, OECD, UIBE and World Trade Organization (2017). </w:t>
      </w:r>
      <w:r w:rsidRPr="000400C0">
        <w:rPr>
          <w:i/>
          <w:iCs/>
          <w:lang w:val="en-GB"/>
        </w:rPr>
        <w:t xml:space="preserve">Global Value Chain Development Report 2017: Measuring and </w:t>
      </w:r>
      <w:proofErr w:type="spellStart"/>
      <w:r w:rsidRPr="000400C0">
        <w:rPr>
          <w:i/>
          <w:iCs/>
          <w:lang w:val="en-GB"/>
        </w:rPr>
        <w:t>Analyzing</w:t>
      </w:r>
      <w:proofErr w:type="spellEnd"/>
      <w:r w:rsidRPr="000400C0">
        <w:rPr>
          <w:i/>
          <w:iCs/>
          <w:lang w:val="en-GB"/>
        </w:rPr>
        <w:t xml:space="preserve"> the Impact of GVCs on Economic Development</w:t>
      </w:r>
      <w:r>
        <w:rPr>
          <w:lang w:val="en-GB"/>
        </w:rPr>
        <w:t>.</w:t>
      </w:r>
      <w:r w:rsidRPr="000400C0">
        <w:rPr>
          <w:lang w:val="en-GB"/>
        </w:rPr>
        <w:t xml:space="preserve"> Washington, DC: World Bank.</w:t>
      </w:r>
    </w:p>
    <w:p w:rsidR="000400C0" w:rsidRDefault="000400C0" w:rsidP="001A640A">
      <w:pPr>
        <w:rPr>
          <w:lang w:val="en-GB"/>
        </w:rPr>
      </w:pPr>
    </w:p>
    <w:p w:rsidR="00786C12" w:rsidRDefault="00786C12" w:rsidP="00786C12">
      <w:pPr>
        <w:rPr>
          <w:lang w:val="en-GB"/>
        </w:rPr>
      </w:pPr>
      <w:r>
        <w:rPr>
          <w:lang w:val="en-GB"/>
        </w:rPr>
        <w:br w:type="page"/>
      </w:r>
    </w:p>
    <w:p w:rsidR="00565720" w:rsidRDefault="00565720" w:rsidP="00565720">
      <w:pPr>
        <w:pStyle w:val="Heading1"/>
      </w:pPr>
      <w:bookmarkStart w:id="39" w:name="_Toc217278207"/>
      <w:r>
        <w:lastRenderedPageBreak/>
        <w:t>Appendices</w:t>
      </w:r>
      <w:bookmarkEnd w:id="39"/>
    </w:p>
    <w:p w:rsidR="00E24C67" w:rsidRDefault="00E24C67" w:rsidP="00565720">
      <w:pPr>
        <w:rPr>
          <w:b/>
          <w:bCs/>
          <w:lang w:val="en-GB"/>
        </w:rPr>
      </w:pPr>
      <w:r>
        <w:rPr>
          <w:b/>
          <w:bCs/>
          <w:lang w:val="en-GB"/>
        </w:rPr>
        <w:t xml:space="preserve">Appendix A: </w:t>
      </w:r>
      <w:r w:rsidRPr="00E24C67">
        <w:rPr>
          <w:b/>
        </w:rPr>
        <w:t>Profitability, Liquidity, Efficiency, Gearing Indicators</w:t>
      </w:r>
    </w:p>
    <w:p w:rsidR="00ED7146" w:rsidRPr="006E642D" w:rsidRDefault="00ED7146" w:rsidP="00ED7146">
      <w:pPr>
        <w:rPr>
          <w:b/>
        </w:rPr>
      </w:pPr>
      <w:r w:rsidRPr="006E642D">
        <w:rPr>
          <w:b/>
        </w:rPr>
        <w:t>Ra</w:t>
      </w:r>
      <w:r w:rsidR="006E642D">
        <w:rPr>
          <w:b/>
        </w:rPr>
        <w:t>tio Calculation Evidence (Working</w:t>
      </w:r>
      <w:r w:rsidRPr="006E642D">
        <w:rPr>
          <w:b/>
        </w:rPr>
        <w:t xml:space="preserve"> Format)</w:t>
      </w:r>
    </w:p>
    <w:p w:rsidR="00ED7146" w:rsidRDefault="00ED7146" w:rsidP="00ED7146">
      <w:r>
        <w:t>A.1 Profitability Ratio Calculations (Example Year 2024)</w:t>
      </w:r>
    </w:p>
    <w:p w:rsidR="00ED7146" w:rsidRPr="00275218" w:rsidRDefault="00ED7146" w:rsidP="00ED7146">
      <w:pPr>
        <w:rPr>
          <w:b/>
        </w:rPr>
      </w:pPr>
      <w:r w:rsidRPr="00275218">
        <w:rPr>
          <w:b/>
        </w:rPr>
        <w:t>Gross Profit Margin</w:t>
      </w:r>
    </w:p>
    <w:p w:rsidR="00ED7146" w:rsidRDefault="00ED7146" w:rsidP="00ED7146">
      <w:r>
        <w:t>Gross Profit ÷ Revenue</w:t>
      </w:r>
    </w:p>
    <w:p w:rsidR="00ED7146" w:rsidRDefault="00ED7146" w:rsidP="00ED7146">
      <w:r>
        <w:t>= (Gross Profit £98,720m ÷ Revenue £394,879m)</w:t>
      </w:r>
    </w:p>
    <w:p w:rsidR="00ED7146" w:rsidRDefault="00ED7146" w:rsidP="00ED7146">
      <w:r>
        <w:t>= 25%</w:t>
      </w:r>
    </w:p>
    <w:p w:rsidR="00ED7146" w:rsidRPr="00275218" w:rsidRDefault="00ED7146" w:rsidP="00ED7146">
      <w:pPr>
        <w:rPr>
          <w:b/>
        </w:rPr>
      </w:pPr>
      <w:r w:rsidRPr="00275218">
        <w:rPr>
          <w:b/>
        </w:rPr>
        <w:t>Operating Profit Margin</w:t>
      </w:r>
    </w:p>
    <w:p w:rsidR="00ED7146" w:rsidRDefault="00ED7146" w:rsidP="00ED7146">
      <w:r>
        <w:t>Operating Profit ÷ Revenue</w:t>
      </w:r>
    </w:p>
    <w:p w:rsidR="00ED7146" w:rsidRDefault="00ED7146" w:rsidP="00ED7146">
      <w:r>
        <w:t>= (–£10,997m ÷ £394,879m)</w:t>
      </w:r>
    </w:p>
    <w:p w:rsidR="00ED7146" w:rsidRDefault="00ED7146" w:rsidP="00ED7146">
      <w:r>
        <w:t>= –3%</w:t>
      </w:r>
    </w:p>
    <w:p w:rsidR="00ED7146" w:rsidRPr="00275218" w:rsidRDefault="00ED7146" w:rsidP="00ED7146">
      <w:pPr>
        <w:rPr>
          <w:b/>
        </w:rPr>
      </w:pPr>
      <w:r w:rsidRPr="00275218">
        <w:rPr>
          <w:b/>
        </w:rPr>
        <w:t>Net Profit Margin</w:t>
      </w:r>
    </w:p>
    <w:p w:rsidR="00ED7146" w:rsidRDefault="00ED7146" w:rsidP="00ED7146">
      <w:r>
        <w:t>Net Profit ÷ Revenue</w:t>
      </w:r>
    </w:p>
    <w:p w:rsidR="00ED7146" w:rsidRDefault="00ED7146" w:rsidP="00ED7146">
      <w:r>
        <w:t>= (–£16,132m ÷ £394,879m)</w:t>
      </w:r>
    </w:p>
    <w:p w:rsidR="00ED7146" w:rsidRDefault="00ED7146" w:rsidP="00ED7146">
      <w:r>
        <w:t>= –4%</w:t>
      </w:r>
    </w:p>
    <w:p w:rsidR="00ED7146" w:rsidRPr="00275218" w:rsidRDefault="00ED7146" w:rsidP="00ED7146">
      <w:pPr>
        <w:rPr>
          <w:b/>
        </w:rPr>
      </w:pPr>
      <w:r w:rsidRPr="00275218">
        <w:rPr>
          <w:b/>
        </w:rPr>
        <w:t>ROA</w:t>
      </w:r>
    </w:p>
    <w:p w:rsidR="00ED7146" w:rsidRDefault="00ED7146" w:rsidP="00ED7146">
      <w:r>
        <w:t>Net Profit ÷ Total Assets</w:t>
      </w:r>
    </w:p>
    <w:p w:rsidR="00ED7146" w:rsidRDefault="00ED7146" w:rsidP="00ED7146">
      <w:r>
        <w:t>= (–£16,132m ÷ £323,354m)</w:t>
      </w:r>
    </w:p>
    <w:p w:rsidR="00ED7146" w:rsidRDefault="00ED7146" w:rsidP="00ED7146">
      <w:r>
        <w:t>= –3%</w:t>
      </w:r>
    </w:p>
    <w:p w:rsidR="00ED7146" w:rsidRPr="00275218" w:rsidRDefault="00ED7146" w:rsidP="00ED7146">
      <w:pPr>
        <w:rPr>
          <w:b/>
        </w:rPr>
      </w:pPr>
      <w:r w:rsidRPr="00275218">
        <w:rPr>
          <w:b/>
        </w:rPr>
        <w:t>ROE</w:t>
      </w:r>
    </w:p>
    <w:p w:rsidR="00ED7146" w:rsidRDefault="00ED7146" w:rsidP="00ED7146">
      <w:r>
        <w:t>Net Profit ÷ Equity</w:t>
      </w:r>
    </w:p>
    <w:p w:rsidR="00ED7146" w:rsidRDefault="00ED7146" w:rsidP="00ED7146">
      <w:r>
        <w:lastRenderedPageBreak/>
        <w:t xml:space="preserve">= </w:t>
      </w:r>
      <w:r w:rsidR="006E642D">
        <w:t>(–</w:t>
      </w:r>
      <w:r>
        <w:t>£16,132m ÷ £</w:t>
      </w:r>
      <w:r w:rsidR="006E642D">
        <w:t>107,642m)</w:t>
      </w:r>
    </w:p>
    <w:p w:rsidR="00ED7146" w:rsidRDefault="00ED7146" w:rsidP="00ED7146">
      <w:r>
        <w:t>= –15%</w:t>
      </w:r>
    </w:p>
    <w:p w:rsidR="00ED7146" w:rsidRPr="00275218" w:rsidRDefault="00ED7146" w:rsidP="00ED7146">
      <w:pPr>
        <w:rPr>
          <w:b/>
        </w:rPr>
      </w:pPr>
      <w:r w:rsidRPr="00275218">
        <w:rPr>
          <w:b/>
        </w:rPr>
        <w:t>A.2 Liqu</w:t>
      </w:r>
      <w:r>
        <w:rPr>
          <w:b/>
        </w:rPr>
        <w:t>idity Ratio Calculations (2024)</w:t>
      </w:r>
    </w:p>
    <w:p w:rsidR="00ED7146" w:rsidRDefault="00ED7146" w:rsidP="00ED7146">
      <w:r>
        <w:t>Current Ratio</w:t>
      </w:r>
    </w:p>
    <w:p w:rsidR="00ED7146" w:rsidRDefault="00ED7146" w:rsidP="00ED7146">
      <w:r>
        <w:t>Current Assets ÷ Current Liabilities</w:t>
      </w:r>
    </w:p>
    <w:p w:rsidR="00ED7146" w:rsidRDefault="00ED7146" w:rsidP="00ED7146">
      <w:r>
        <w:t>= £158,291m ÷ £187,976m</w:t>
      </w:r>
    </w:p>
    <w:p w:rsidR="00ED7146" w:rsidRDefault="00ED7146" w:rsidP="00ED7146">
      <w:r>
        <w:t>= 0.84</w:t>
      </w:r>
    </w:p>
    <w:p w:rsidR="00ED7146" w:rsidRDefault="00ED7146" w:rsidP="00ED7146">
      <w:r>
        <w:t>Quick Ratio</w:t>
      </w:r>
    </w:p>
    <w:p w:rsidR="00ED7146" w:rsidRDefault="00ED7146" w:rsidP="00ED7146">
      <w:r>
        <w:t>(Current Assets – Inventory) ÷ Current Liabilities</w:t>
      </w:r>
    </w:p>
    <w:p w:rsidR="00ED7146" w:rsidRDefault="00ED7146" w:rsidP="00ED7146">
      <w:r>
        <w:t>= (158,291 – 114,225) ÷ 187,976</w:t>
      </w:r>
    </w:p>
    <w:p w:rsidR="00ED7146" w:rsidRDefault="006E642D" w:rsidP="00ED7146">
      <w:r>
        <w:t>= 0.40</w:t>
      </w:r>
    </w:p>
    <w:p w:rsidR="00ED7146" w:rsidRPr="00275218" w:rsidRDefault="00ED7146" w:rsidP="00ED7146">
      <w:pPr>
        <w:rPr>
          <w:b/>
        </w:rPr>
      </w:pPr>
      <w:r w:rsidRPr="00275218">
        <w:rPr>
          <w:b/>
        </w:rPr>
        <w:t>Cash to Current Liabilities</w:t>
      </w:r>
    </w:p>
    <w:p w:rsidR="00ED7146" w:rsidRDefault="00ED7146" w:rsidP="00ED7146">
      <w:r>
        <w:t>Cash ÷ Current Liabilities</w:t>
      </w:r>
    </w:p>
    <w:p w:rsidR="00ED7146" w:rsidRDefault="00ED7146" w:rsidP="00ED7146">
      <w:r>
        <w:t>= £23,112m ÷ £187,976m</w:t>
      </w:r>
    </w:p>
    <w:p w:rsidR="00ED7146" w:rsidRDefault="00ED7146" w:rsidP="00ED7146">
      <w:r>
        <w:t>= 0.12</w:t>
      </w:r>
    </w:p>
    <w:p w:rsidR="006E642D" w:rsidRDefault="006E642D" w:rsidP="00ED7146"/>
    <w:p w:rsidR="00ED7146" w:rsidRPr="00275218" w:rsidRDefault="00ED7146" w:rsidP="00ED7146">
      <w:pPr>
        <w:rPr>
          <w:b/>
        </w:rPr>
      </w:pPr>
      <w:r w:rsidRPr="00275218">
        <w:rPr>
          <w:b/>
        </w:rPr>
        <w:t>A.3 Working C</w:t>
      </w:r>
      <w:r>
        <w:rPr>
          <w:b/>
        </w:rPr>
        <w:t>apital Efficiency Ratios (2024)</w:t>
      </w:r>
    </w:p>
    <w:p w:rsidR="00ED7146" w:rsidRPr="00275218" w:rsidRDefault="00ED7146" w:rsidP="00ED7146">
      <w:pPr>
        <w:rPr>
          <w:b/>
        </w:rPr>
      </w:pPr>
      <w:r w:rsidRPr="00275218">
        <w:rPr>
          <w:b/>
        </w:rPr>
        <w:t>Inventory Days</w:t>
      </w:r>
    </w:p>
    <w:p w:rsidR="00ED7146" w:rsidRDefault="00ED7146" w:rsidP="00ED7146">
      <w:r>
        <w:t>(Average Inventory ÷ COGS) × 365</w:t>
      </w:r>
    </w:p>
    <w:p w:rsidR="00ED7146" w:rsidRDefault="00ED7146" w:rsidP="00ED7146">
      <w:r>
        <w:t>= (114,225 ÷ 508,480) × 365</w:t>
      </w:r>
    </w:p>
    <w:p w:rsidR="00ED7146" w:rsidRDefault="00ED7146" w:rsidP="00ED7146">
      <w:r>
        <w:t>= 82 days</w:t>
      </w:r>
    </w:p>
    <w:p w:rsidR="006E642D" w:rsidRDefault="006E642D" w:rsidP="00ED7146"/>
    <w:p w:rsidR="00ED7146" w:rsidRPr="00275218" w:rsidRDefault="00ED7146" w:rsidP="00ED7146">
      <w:pPr>
        <w:rPr>
          <w:b/>
        </w:rPr>
      </w:pPr>
      <w:r w:rsidRPr="00275218">
        <w:rPr>
          <w:b/>
        </w:rPr>
        <w:lastRenderedPageBreak/>
        <w:t>Receivable Days</w:t>
      </w:r>
    </w:p>
    <w:p w:rsidR="00ED7146" w:rsidRDefault="00ED7146" w:rsidP="00ED7146">
      <w:r>
        <w:t>(Receivables ÷ Credit Sales) × 365</w:t>
      </w:r>
    </w:p>
    <w:p w:rsidR="00ED7146" w:rsidRDefault="00ED7146" w:rsidP="00ED7146">
      <w:r>
        <w:t>= (117,112 ÷ 394,879) × 365</w:t>
      </w:r>
    </w:p>
    <w:p w:rsidR="00ED7146" w:rsidRDefault="00ED7146" w:rsidP="00ED7146">
      <w:r>
        <w:t>= 108 days</w:t>
      </w:r>
    </w:p>
    <w:p w:rsidR="00ED7146" w:rsidRPr="00275218" w:rsidRDefault="00ED7146" w:rsidP="00ED7146">
      <w:pPr>
        <w:rPr>
          <w:b/>
        </w:rPr>
      </w:pPr>
      <w:r w:rsidRPr="00275218">
        <w:rPr>
          <w:b/>
        </w:rPr>
        <w:t>Payable Days</w:t>
      </w:r>
    </w:p>
    <w:p w:rsidR="00ED7146" w:rsidRDefault="00ED7146" w:rsidP="00ED7146">
      <w:r>
        <w:t>(Average Payables ÷ COGS) × 365</w:t>
      </w:r>
    </w:p>
    <w:p w:rsidR="00ED7146" w:rsidRDefault="00ED7146" w:rsidP="00ED7146">
      <w:r>
        <w:t>= (54,212 ÷ 508,480) × 365</w:t>
      </w:r>
    </w:p>
    <w:p w:rsidR="00ED7146" w:rsidRDefault="00ED7146" w:rsidP="00ED7146">
      <w:r>
        <w:t>= 39 days</w:t>
      </w:r>
    </w:p>
    <w:p w:rsidR="00ED7146" w:rsidRPr="00275218" w:rsidRDefault="00ED7146" w:rsidP="00ED7146">
      <w:pPr>
        <w:rPr>
          <w:b/>
        </w:rPr>
      </w:pPr>
      <w:r w:rsidRPr="00275218">
        <w:rPr>
          <w:b/>
        </w:rPr>
        <w:t>Cash Conversion Cycle</w:t>
      </w:r>
    </w:p>
    <w:p w:rsidR="00ED7146" w:rsidRDefault="00ED7146" w:rsidP="00ED7146">
      <w:r>
        <w:t>Inventory Days + Receivable Days – Payable Days</w:t>
      </w:r>
    </w:p>
    <w:p w:rsidR="00ED7146" w:rsidRDefault="00ED7146" w:rsidP="00ED7146">
      <w:r>
        <w:t>= 82 + 108 – 39</w:t>
      </w:r>
    </w:p>
    <w:p w:rsidR="00ED7146" w:rsidRDefault="00ED7146" w:rsidP="00ED7146">
      <w:r>
        <w:t>= 151 days</w:t>
      </w:r>
    </w:p>
    <w:p w:rsidR="006E642D" w:rsidRDefault="006E642D" w:rsidP="00ED7146"/>
    <w:p w:rsidR="00ED7146" w:rsidRPr="00275218" w:rsidRDefault="00ED7146" w:rsidP="00ED7146">
      <w:pPr>
        <w:rPr>
          <w:b/>
        </w:rPr>
      </w:pPr>
      <w:r w:rsidRPr="00275218">
        <w:rPr>
          <w:b/>
        </w:rPr>
        <w:t>A.4 Gearing and Solvency Ratios (2024)</w:t>
      </w:r>
    </w:p>
    <w:p w:rsidR="00ED7146" w:rsidRPr="00275218" w:rsidRDefault="00ED7146" w:rsidP="00ED7146">
      <w:pPr>
        <w:rPr>
          <w:b/>
        </w:rPr>
      </w:pPr>
      <w:r w:rsidRPr="00275218">
        <w:rPr>
          <w:b/>
        </w:rPr>
        <w:t>Debt-to-Equity Ratio</w:t>
      </w:r>
    </w:p>
    <w:p w:rsidR="00ED7146" w:rsidRDefault="00ED7146" w:rsidP="00ED7146">
      <w:r>
        <w:t>Total Debt ÷ Total Equity</w:t>
      </w:r>
    </w:p>
    <w:p w:rsidR="00ED7146" w:rsidRDefault="00ED7146" w:rsidP="00ED7146">
      <w:r>
        <w:t>= 170,249 ÷ 107,642</w:t>
      </w:r>
    </w:p>
    <w:p w:rsidR="00ED7146" w:rsidRDefault="00ED7146" w:rsidP="00ED7146">
      <w:r>
        <w:t>= 1.59</w:t>
      </w:r>
    </w:p>
    <w:p w:rsidR="00ED7146" w:rsidRPr="00275218" w:rsidRDefault="00ED7146" w:rsidP="00ED7146">
      <w:pPr>
        <w:rPr>
          <w:b/>
        </w:rPr>
      </w:pPr>
      <w:r w:rsidRPr="00275218">
        <w:rPr>
          <w:b/>
        </w:rPr>
        <w:t>Interest Coverage</w:t>
      </w:r>
    </w:p>
    <w:p w:rsidR="00ED7146" w:rsidRDefault="00ED7146" w:rsidP="00ED7146">
      <w:r>
        <w:t>EBIT ÷ Interest Expense</w:t>
      </w:r>
    </w:p>
    <w:p w:rsidR="00ED7146" w:rsidRDefault="00ED7146" w:rsidP="00ED7146">
      <w:r>
        <w:t>= (–15,297 ÷ 7,690)</w:t>
      </w:r>
    </w:p>
    <w:p w:rsidR="00ED7146" w:rsidRPr="006E642D" w:rsidRDefault="00ED7146" w:rsidP="00ED7146">
      <w:r>
        <w:t>= –2.0x</w:t>
      </w:r>
    </w:p>
    <w:p w:rsidR="00E24C67" w:rsidRPr="00E24C67" w:rsidRDefault="00E24C67" w:rsidP="00E24C67">
      <w:pPr>
        <w:rPr>
          <w:b/>
        </w:rPr>
      </w:pPr>
      <w:r w:rsidRPr="00E24C67">
        <w:rPr>
          <w:b/>
        </w:rPr>
        <w:lastRenderedPageBreak/>
        <w:t xml:space="preserve">Table A1. Profitability, Liquidity, Efficiency, Gearing </w:t>
      </w:r>
      <w:r>
        <w:rPr>
          <w:b/>
        </w:rPr>
        <w:t>Ratio Calculation (2020-2024)</w:t>
      </w:r>
    </w:p>
    <w:tbl>
      <w:tblPr>
        <w:tblStyle w:val="TableGrid"/>
        <w:tblW w:w="9466" w:type="dxa"/>
        <w:jc w:val="center"/>
        <w:tblLook w:val="04A0" w:firstRow="1" w:lastRow="0" w:firstColumn="1" w:lastColumn="0" w:noHBand="0" w:noVBand="1"/>
      </w:tblPr>
      <w:tblGrid>
        <w:gridCol w:w="2155"/>
        <w:gridCol w:w="2763"/>
        <w:gridCol w:w="894"/>
        <w:gridCol w:w="894"/>
        <w:gridCol w:w="894"/>
        <w:gridCol w:w="894"/>
        <w:gridCol w:w="972"/>
      </w:tblGrid>
      <w:tr w:rsidR="00565720" w:rsidRPr="001F388B" w:rsidTr="006E642D">
        <w:trPr>
          <w:trHeight w:val="271"/>
          <w:jc w:val="center"/>
        </w:trPr>
        <w:tc>
          <w:tcPr>
            <w:tcW w:w="0" w:type="auto"/>
            <w:hideMark/>
          </w:tcPr>
          <w:p w:rsidR="00565720" w:rsidRPr="001F388B" w:rsidRDefault="00565720" w:rsidP="00737F39">
            <w:pPr>
              <w:spacing w:after="0" w:line="240" w:lineRule="auto"/>
              <w:jc w:val="center"/>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Ratio Category</w:t>
            </w:r>
          </w:p>
        </w:tc>
        <w:tc>
          <w:tcPr>
            <w:tcW w:w="0" w:type="auto"/>
            <w:hideMark/>
          </w:tcPr>
          <w:p w:rsidR="00565720" w:rsidRPr="001F388B" w:rsidRDefault="00565720" w:rsidP="00737F39">
            <w:pPr>
              <w:spacing w:after="0" w:line="240" w:lineRule="auto"/>
              <w:jc w:val="center"/>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Ratio</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2020</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2021</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2022</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2023</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2024</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Profitability</w:t>
            </w: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Gross Profit Margin</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32%</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31%</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30%</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27%</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25%</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Operating Margin</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9%</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7%</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5%</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–3%</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Net Profit Margin</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6%</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4%</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2%</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–4%</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ROA</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5%</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4%</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3%</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–3%</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ROE</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9%</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6%</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4%</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–3%</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–9%</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Liquidity</w:t>
            </w: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Current Ratio</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1.41</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1.33</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1.22</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0.99</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0.84</w:t>
            </w:r>
          </w:p>
        </w:tc>
      </w:tr>
      <w:tr w:rsidR="00565720" w:rsidRPr="001F388B" w:rsidTr="006E642D">
        <w:trPr>
          <w:trHeight w:val="286"/>
          <w:jc w:val="center"/>
        </w:trPr>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Quick Ratio</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0.94</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0.88</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0.76</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0.57</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0.40</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Efficiency</w:t>
            </w: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Inventory Days</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58</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62</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67</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75</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82</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Receivable Days</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74</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85</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91</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97</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108</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Payable Days</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66</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60</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53</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46</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39</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Gearing</w:t>
            </w: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Debt-Equity Ratio</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0.88</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0.97</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1.21</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1.46</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1.59</w:t>
            </w:r>
          </w:p>
        </w:tc>
      </w:tr>
      <w:tr w:rsidR="00565720" w:rsidRPr="001F388B" w:rsidTr="006E642D">
        <w:trPr>
          <w:trHeight w:val="271"/>
          <w:jc w:val="center"/>
        </w:trPr>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p>
        </w:tc>
        <w:tc>
          <w:tcPr>
            <w:tcW w:w="0" w:type="auto"/>
            <w:hideMark/>
          </w:tcPr>
          <w:p w:rsidR="00565720" w:rsidRPr="001F388B" w:rsidRDefault="00565720" w:rsidP="00737F39">
            <w:pPr>
              <w:spacing w:after="0" w:line="240" w:lineRule="auto"/>
              <w:jc w:val="lef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Interest Coverage</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3.9x</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2.4x</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1.4x</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0.8x</w:t>
            </w:r>
          </w:p>
        </w:tc>
        <w:tc>
          <w:tcPr>
            <w:tcW w:w="0" w:type="auto"/>
            <w:hideMark/>
          </w:tcPr>
          <w:p w:rsidR="00565720" w:rsidRPr="001F388B" w:rsidRDefault="00565720" w:rsidP="00737F39">
            <w:pPr>
              <w:spacing w:after="0" w:line="240" w:lineRule="auto"/>
              <w:jc w:val="right"/>
              <w:rPr>
                <w:rFonts w:ascii="Times New Roman" w:eastAsia="Times New Roman" w:hAnsi="Times New Roman" w:cs="Times New Roman"/>
                <w:szCs w:val="24"/>
                <w:lang w:val="en-GB" w:eastAsia="en-GB"/>
              </w:rPr>
            </w:pPr>
            <w:r w:rsidRPr="001F388B">
              <w:rPr>
                <w:rFonts w:ascii="Times New Roman" w:eastAsia="Times New Roman" w:hAnsi="Times New Roman" w:cs="Times New Roman"/>
                <w:szCs w:val="24"/>
                <w:lang w:val="en-GB" w:eastAsia="en-GB"/>
              </w:rPr>
              <w:t>–0.2x</w:t>
            </w:r>
          </w:p>
        </w:tc>
      </w:tr>
    </w:tbl>
    <w:p w:rsidR="00275218" w:rsidRDefault="00275218" w:rsidP="00275218">
      <w:r>
        <w:t>(Source: Financial Statements of General Electronics)</w:t>
      </w:r>
    </w:p>
    <w:p w:rsidR="00275218" w:rsidRDefault="00275218" w:rsidP="00275218"/>
    <w:p w:rsidR="00275218" w:rsidRPr="00275218" w:rsidRDefault="00275218" w:rsidP="00275218">
      <w:pPr>
        <w:rPr>
          <w:b/>
          <w:sz w:val="28"/>
        </w:rPr>
      </w:pPr>
      <w:r w:rsidRPr="00275218">
        <w:rPr>
          <w:b/>
          <w:sz w:val="28"/>
        </w:rPr>
        <w:t>Appendix</w:t>
      </w:r>
      <w:r w:rsidRPr="00275218">
        <w:rPr>
          <w:b/>
          <w:sz w:val="28"/>
        </w:rPr>
        <w:t xml:space="preserve"> B: Altman Z-Score Model (2024)</w:t>
      </w:r>
    </w:p>
    <w:p w:rsidR="00275218" w:rsidRDefault="00275218" w:rsidP="00275218">
      <w:r>
        <w:t>Working Capital ÷ Total Assets</w:t>
      </w:r>
    </w:p>
    <w:p w:rsidR="00275218" w:rsidRDefault="00275218" w:rsidP="00275218">
      <w:r>
        <w:t>= (242,494 – 158,291) ÷ 323,354</w:t>
      </w:r>
    </w:p>
    <w:p w:rsidR="00275218" w:rsidRDefault="00275218" w:rsidP="00275218">
      <w:r>
        <w:t>= 0.260</w:t>
      </w:r>
    </w:p>
    <w:p w:rsidR="00275218" w:rsidRDefault="00275218" w:rsidP="00275218">
      <w:r>
        <w:t>Retained Earnings ÷ Total Assets</w:t>
      </w:r>
    </w:p>
    <w:p w:rsidR="00275218" w:rsidRDefault="00275218" w:rsidP="00275218">
      <w:r>
        <w:t>= 208,431 ÷ 323,354</w:t>
      </w:r>
    </w:p>
    <w:p w:rsidR="00275218" w:rsidRDefault="00275218" w:rsidP="00275218">
      <w:r>
        <w:t>= 0.64</w:t>
      </w:r>
    </w:p>
    <w:p w:rsidR="00275218" w:rsidRDefault="00275218" w:rsidP="00275218">
      <w:r>
        <w:t>EBIT ÷ Total Assets</w:t>
      </w:r>
    </w:p>
    <w:p w:rsidR="00275218" w:rsidRDefault="00275218" w:rsidP="00275218">
      <w:r>
        <w:t>= –15,297 ÷ 323,354</w:t>
      </w:r>
    </w:p>
    <w:p w:rsidR="00275218" w:rsidRDefault="00275218" w:rsidP="00275218">
      <w:r>
        <w:t>= –0.04</w:t>
      </w:r>
    </w:p>
    <w:p w:rsidR="00275218" w:rsidRDefault="00275218" w:rsidP="00275218">
      <w:r>
        <w:lastRenderedPageBreak/>
        <w:t>Market Value of Equity ÷ Total Liabilities</w:t>
      </w:r>
    </w:p>
    <w:p w:rsidR="00275218" w:rsidRDefault="00275218" w:rsidP="00275218">
      <w:r>
        <w:t>= 153,105 ÷ 170,249</w:t>
      </w:r>
    </w:p>
    <w:p w:rsidR="00275218" w:rsidRDefault="00275218" w:rsidP="00275218">
      <w:r>
        <w:t>= 0.90</w:t>
      </w:r>
    </w:p>
    <w:p w:rsidR="00275218" w:rsidRDefault="00275218" w:rsidP="00275218">
      <w:r>
        <w:t>Sales ÷ Total Assets</w:t>
      </w:r>
    </w:p>
    <w:p w:rsidR="00275218" w:rsidRDefault="00275218" w:rsidP="00275218">
      <w:r>
        <w:t>= 394,879 ÷ 323,354</w:t>
      </w:r>
    </w:p>
    <w:p w:rsidR="00275218" w:rsidRDefault="00275218" w:rsidP="00275218">
      <w:r>
        <w:t>= 1.22</w:t>
      </w:r>
    </w:p>
    <w:p w:rsidR="00275218" w:rsidRDefault="00275218" w:rsidP="00275218">
      <w:r>
        <w:t>Z = 1.2(0.260) + 1.4(0.64) + 3.3(–0.04) + 0.6(0.90) + 1(1.22)</w:t>
      </w:r>
    </w:p>
    <w:p w:rsidR="00275218" w:rsidRDefault="00275218" w:rsidP="00275218">
      <w:r>
        <w:t>= 2.836</w:t>
      </w:r>
    </w:p>
    <w:p w:rsidR="00275218" w:rsidRDefault="00275218" w:rsidP="00275218">
      <w:r w:rsidRPr="00275218">
        <w:rPr>
          <w:b/>
        </w:rPr>
        <w:t>Interpretation</w:t>
      </w:r>
      <w:r>
        <w:t>:</w:t>
      </w:r>
    </w:p>
    <w:p w:rsidR="00275218" w:rsidRDefault="00275218" w:rsidP="00275218">
      <w:r>
        <w:t>Z &lt; 2.99 = distress zone → high bankruptcy likelihood.</w:t>
      </w:r>
    </w:p>
    <w:p w:rsidR="00275218" w:rsidRDefault="00275218" w:rsidP="00275218"/>
    <w:p w:rsidR="00275218" w:rsidRPr="00275218" w:rsidRDefault="00275218" w:rsidP="00275218">
      <w:pPr>
        <w:rPr>
          <w:b/>
        </w:rPr>
      </w:pPr>
      <w:r>
        <w:rPr>
          <w:b/>
        </w:rPr>
        <w:t>APPENDIX C:</w:t>
      </w:r>
      <w:r w:rsidRPr="00275218">
        <w:rPr>
          <w:b/>
        </w:rPr>
        <w:t xml:space="preserve"> Investment Appraisal Calculations</w:t>
      </w:r>
    </w:p>
    <w:p w:rsidR="00275218" w:rsidRPr="00275218" w:rsidRDefault="00275218" w:rsidP="00275218">
      <w:pPr>
        <w:rPr>
          <w:b/>
        </w:rPr>
      </w:pPr>
      <w:r>
        <w:rPr>
          <w:b/>
        </w:rPr>
        <w:t>C.1 Payback Period</w:t>
      </w:r>
    </w:p>
    <w:p w:rsidR="00275218" w:rsidRDefault="00275218" w:rsidP="00275218">
      <w:r>
        <w:t>Project A:</w:t>
      </w:r>
    </w:p>
    <w:p w:rsidR="00275218" w:rsidRDefault="00275218" w:rsidP="00275218">
      <w:r>
        <w:t>£40m recovered be</w:t>
      </w:r>
      <w:r>
        <w:t>tween Year 3 and 4 → ≈3.3 years</w:t>
      </w:r>
    </w:p>
    <w:p w:rsidR="00275218" w:rsidRDefault="00275218" w:rsidP="00275218">
      <w:r>
        <w:t>Project B:</w:t>
      </w:r>
    </w:p>
    <w:p w:rsidR="00275218" w:rsidRDefault="00275218" w:rsidP="00275218">
      <w:r>
        <w:t>Total inflows equal</w:t>
      </w:r>
      <w:r>
        <w:t xml:space="preserve"> investment in Year 5 → 5 years</w:t>
      </w:r>
    </w:p>
    <w:p w:rsidR="00275218" w:rsidRDefault="00275218" w:rsidP="00275218">
      <w:r>
        <w:t>Project C:</w:t>
      </w:r>
    </w:p>
    <w:p w:rsidR="00275218" w:rsidRDefault="00275218" w:rsidP="00275218">
      <w:r>
        <w:t>Investment recov</w:t>
      </w:r>
      <w:r>
        <w:t>ered during Year 4 → ≈3.6 years</w:t>
      </w:r>
    </w:p>
    <w:p w:rsidR="00275218" w:rsidRDefault="00275218" w:rsidP="00275218">
      <w:r>
        <w:t>C.2 A</w:t>
      </w:r>
      <w:r>
        <w:t>RR – Average Profit Explanation</w:t>
      </w:r>
    </w:p>
    <w:p w:rsidR="00275218" w:rsidRDefault="00275218" w:rsidP="00275218">
      <w:r>
        <w:t xml:space="preserve">Average Profit = (Total </w:t>
      </w:r>
      <w:r>
        <w:t>Net Profit over five years ÷ 5)</w:t>
      </w:r>
    </w:p>
    <w:p w:rsidR="00275218" w:rsidRDefault="00275218" w:rsidP="00275218">
      <w:r>
        <w:t xml:space="preserve">Project </w:t>
      </w:r>
      <w:proofErr w:type="gramStart"/>
      <w:r>
        <w:t>A</w:t>
      </w:r>
      <w:proofErr w:type="gramEnd"/>
      <w:r>
        <w:t xml:space="preserve"> → ARR ≈ 17.5%</w:t>
      </w:r>
    </w:p>
    <w:p w:rsidR="00275218" w:rsidRDefault="00275218" w:rsidP="00275218">
      <w:r>
        <w:lastRenderedPageBreak/>
        <w:t>Project B → A</w:t>
      </w:r>
      <w:r>
        <w:t>RR ≈ 10%</w:t>
      </w:r>
    </w:p>
    <w:p w:rsidR="00275218" w:rsidRDefault="00275218" w:rsidP="00275218">
      <w:r>
        <w:t>Project C → ARR ≈ 30%</w:t>
      </w:r>
    </w:p>
    <w:p w:rsidR="00275218" w:rsidRDefault="00275218" w:rsidP="00275218"/>
    <w:p w:rsidR="00275218" w:rsidRPr="00275218" w:rsidRDefault="00275218" w:rsidP="00275218">
      <w:pPr>
        <w:rPr>
          <w:b/>
        </w:rPr>
      </w:pPr>
      <w:r w:rsidRPr="00275218">
        <w:rPr>
          <w:b/>
        </w:rPr>
        <w:t>C.3 NPV</w:t>
      </w:r>
      <w:r w:rsidRPr="00275218">
        <w:rPr>
          <w:b/>
        </w:rPr>
        <w:t xml:space="preserve"> Results (10% Discount Applied)</w:t>
      </w:r>
    </w:p>
    <w:p w:rsidR="00275218" w:rsidRDefault="00275218" w:rsidP="00275218">
      <w:r>
        <w:t xml:space="preserve">Project </w:t>
      </w:r>
      <w:proofErr w:type="gramStart"/>
      <w:r>
        <w:t>A</w:t>
      </w:r>
      <w:proofErr w:type="gramEnd"/>
      <w:r>
        <w:t xml:space="preserve"> → £5.9m positive</w:t>
      </w:r>
    </w:p>
    <w:p w:rsidR="00275218" w:rsidRDefault="00275218" w:rsidP="00275218">
      <w:r>
        <w:t>Projec</w:t>
      </w:r>
      <w:r>
        <w:t>t B → £0.3m marginally positive</w:t>
      </w:r>
    </w:p>
    <w:p w:rsidR="00275218" w:rsidRDefault="00275218" w:rsidP="00275218">
      <w:r>
        <w:t>Project C → £2.3m positive</w:t>
      </w:r>
    </w:p>
    <w:p w:rsidR="00275218" w:rsidRDefault="00275218" w:rsidP="00275218"/>
    <w:p w:rsidR="00275218" w:rsidRPr="00275218" w:rsidRDefault="00275218" w:rsidP="00275218">
      <w:pPr>
        <w:rPr>
          <w:b/>
        </w:rPr>
      </w:pPr>
      <w:r w:rsidRPr="00275218">
        <w:rPr>
          <w:b/>
        </w:rPr>
        <w:t>C.4 Profitability Index</w:t>
      </w:r>
    </w:p>
    <w:p w:rsidR="00275218" w:rsidRDefault="00275218" w:rsidP="00275218">
      <w:r>
        <w:t>PI = PV of inflows ÷ investment</w:t>
      </w:r>
    </w:p>
    <w:p w:rsidR="00275218" w:rsidRDefault="00275218" w:rsidP="00275218">
      <w:r>
        <w:t xml:space="preserve">Project </w:t>
      </w:r>
      <w:proofErr w:type="gramStart"/>
      <w:r>
        <w:t>A</w:t>
      </w:r>
      <w:proofErr w:type="gramEnd"/>
      <w:r>
        <w:t xml:space="preserve"> → 1.15 accepted</w:t>
      </w:r>
    </w:p>
    <w:p w:rsidR="00275218" w:rsidRDefault="00275218" w:rsidP="00275218">
      <w:r>
        <w:t>Project B → 0.92 rejected</w:t>
      </w:r>
    </w:p>
    <w:p w:rsidR="00275218" w:rsidRDefault="00275218" w:rsidP="00275218">
      <w:r>
        <w:t>Project C → 1.05 accepted</w:t>
      </w:r>
    </w:p>
    <w:p w:rsidR="00275218" w:rsidRDefault="00275218" w:rsidP="00275218"/>
    <w:p w:rsidR="00275218" w:rsidRPr="00275218" w:rsidRDefault="00275218" w:rsidP="00275218">
      <w:pPr>
        <w:rPr>
          <w:b/>
        </w:rPr>
      </w:pPr>
      <w:r>
        <w:rPr>
          <w:b/>
        </w:rPr>
        <w:t>C.5 IRR Output Interpretation</w:t>
      </w:r>
    </w:p>
    <w:p w:rsidR="00275218" w:rsidRDefault="00275218" w:rsidP="00275218">
      <w:r>
        <w:t xml:space="preserve">Project </w:t>
      </w:r>
      <w:proofErr w:type="gramStart"/>
      <w:r>
        <w:t>A</w:t>
      </w:r>
      <w:proofErr w:type="gramEnd"/>
      <w:r>
        <w:t xml:space="preserve"> → 14–15%</w:t>
      </w:r>
    </w:p>
    <w:p w:rsidR="00275218" w:rsidRDefault="00275218" w:rsidP="00275218">
      <w:r>
        <w:t>Project B → 8–9%</w:t>
      </w:r>
    </w:p>
    <w:p w:rsidR="00275218" w:rsidRDefault="00275218" w:rsidP="00275218">
      <w:r>
        <w:t>Project C → 19–20%</w:t>
      </w:r>
    </w:p>
    <w:p w:rsidR="00565720" w:rsidRDefault="00275218" w:rsidP="00275218">
      <w:r>
        <w:t>IRR &gt; 10% = acceptable → A &amp; C acceptable. Only B rejected.</w:t>
      </w:r>
    </w:p>
    <w:p w:rsidR="00275218" w:rsidRDefault="00275218" w:rsidP="00565720">
      <w:pPr>
        <w:rPr>
          <w:b/>
          <w:sz w:val="28"/>
        </w:rPr>
      </w:pPr>
    </w:p>
    <w:p w:rsidR="00275218" w:rsidRDefault="00275218" w:rsidP="00565720">
      <w:pPr>
        <w:rPr>
          <w:b/>
          <w:sz w:val="28"/>
        </w:rPr>
      </w:pPr>
    </w:p>
    <w:p w:rsidR="00275218" w:rsidRDefault="00275218" w:rsidP="00565720">
      <w:pPr>
        <w:rPr>
          <w:b/>
          <w:sz w:val="28"/>
        </w:rPr>
      </w:pPr>
    </w:p>
    <w:p w:rsidR="00275218" w:rsidRDefault="00275218" w:rsidP="00565720">
      <w:pPr>
        <w:rPr>
          <w:b/>
          <w:sz w:val="28"/>
        </w:rPr>
      </w:pPr>
    </w:p>
    <w:p w:rsidR="00275218" w:rsidRDefault="00275218" w:rsidP="00565720">
      <w:pPr>
        <w:rPr>
          <w:b/>
          <w:sz w:val="28"/>
        </w:rPr>
      </w:pPr>
    </w:p>
    <w:p w:rsidR="00565720" w:rsidRPr="00275218" w:rsidRDefault="00275218" w:rsidP="00565720">
      <w:pPr>
        <w:rPr>
          <w:b/>
          <w:sz w:val="28"/>
        </w:rPr>
      </w:pPr>
      <w:r w:rsidRPr="00275218">
        <w:rPr>
          <w:b/>
          <w:sz w:val="28"/>
        </w:rPr>
        <w:t>Appendix D</w:t>
      </w:r>
      <w:r w:rsidR="00565720" w:rsidRPr="00275218">
        <w:rPr>
          <w:b/>
          <w:sz w:val="28"/>
        </w:rPr>
        <w:t xml:space="preserve">: </w:t>
      </w:r>
      <w:r w:rsidRPr="00275218">
        <w:rPr>
          <w:b/>
          <w:sz w:val="28"/>
        </w:rPr>
        <w:t>Graphical Analysis</w:t>
      </w:r>
    </w:p>
    <w:p w:rsidR="00565720" w:rsidRPr="00275218" w:rsidRDefault="00275218" w:rsidP="00565720">
      <w:pPr>
        <w:rPr>
          <w:b/>
        </w:rPr>
      </w:pPr>
      <w:r w:rsidRPr="00275218">
        <w:rPr>
          <w:b/>
        </w:rPr>
        <w:t>Figure D</w:t>
      </w:r>
      <w:r w:rsidR="00565720" w:rsidRPr="00275218">
        <w:rPr>
          <w:b/>
        </w:rPr>
        <w:t>1. Change in Gross, Operating and Net Margin (2020–2024)</w:t>
      </w:r>
    </w:p>
    <w:p w:rsidR="00565720" w:rsidRDefault="00565720" w:rsidP="00565720">
      <w:pPr>
        <w:jc w:val="center"/>
      </w:pPr>
      <w:r>
        <w:rPr>
          <w:noProof/>
          <w:lang w:val="en-GB" w:eastAsia="en-GB"/>
        </w:rPr>
        <w:drawing>
          <wp:inline distT="0" distB="0" distL="0" distR="0" wp14:anchorId="41199CDE" wp14:editId="0EA3B536">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275218" w:rsidRDefault="00565720" w:rsidP="004904D2">
      <w:pPr>
        <w:jc w:val="center"/>
      </w:pPr>
      <w:r>
        <w:t xml:space="preserve">Source: </w:t>
      </w:r>
      <w:r w:rsidR="00275218">
        <w:t>Self-made</w:t>
      </w:r>
    </w:p>
    <w:p w:rsidR="00275218" w:rsidRDefault="00275218" w:rsidP="00565720">
      <w:r w:rsidRPr="00275218">
        <w:rPr>
          <w:b/>
        </w:rPr>
        <w:t>Figure D</w:t>
      </w:r>
      <w:r>
        <w:rPr>
          <w:b/>
        </w:rPr>
        <w:t xml:space="preserve">2. </w:t>
      </w:r>
      <w:r w:rsidRPr="00275218">
        <w:rPr>
          <w:b/>
        </w:rPr>
        <w:t>Gross</w:t>
      </w:r>
      <w:r>
        <w:rPr>
          <w:b/>
        </w:rPr>
        <w:t xml:space="preserve"> Income</w:t>
      </w:r>
      <w:r w:rsidRPr="00275218">
        <w:rPr>
          <w:b/>
        </w:rPr>
        <w:t xml:space="preserve">, Net </w:t>
      </w:r>
      <w:r>
        <w:rPr>
          <w:b/>
        </w:rPr>
        <w:t>Income and ROA</w:t>
      </w:r>
      <w:r w:rsidRPr="00275218">
        <w:rPr>
          <w:b/>
        </w:rPr>
        <w:t xml:space="preserve"> (2020–2024)</w:t>
      </w:r>
    </w:p>
    <w:p w:rsidR="00275218" w:rsidRDefault="00275218" w:rsidP="00275218">
      <w:pPr>
        <w:jc w:val="center"/>
      </w:pPr>
      <w:r>
        <w:rPr>
          <w:noProof/>
          <w:lang w:val="en-GB" w:eastAsia="en-GB"/>
        </w:rPr>
        <w:drawing>
          <wp:inline distT="0" distB="0" distL="0" distR="0" wp14:anchorId="451C9579">
            <wp:extent cx="4019550" cy="2416184"/>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3054" cy="2418290"/>
                    </a:xfrm>
                    <a:prstGeom prst="rect">
                      <a:avLst/>
                    </a:prstGeom>
                    <a:noFill/>
                  </pic:spPr>
                </pic:pic>
              </a:graphicData>
            </a:graphic>
          </wp:inline>
        </w:drawing>
      </w:r>
    </w:p>
    <w:p w:rsidR="00565720" w:rsidRDefault="004904D2" w:rsidP="004904D2">
      <w:pPr>
        <w:jc w:val="center"/>
      </w:pPr>
      <w:r>
        <w:t>Source: Self-made</w:t>
      </w:r>
    </w:p>
    <w:p w:rsidR="004904D2" w:rsidRDefault="004904D2" w:rsidP="004904D2">
      <w:pPr>
        <w:rPr>
          <w:b/>
        </w:rPr>
      </w:pPr>
    </w:p>
    <w:p w:rsidR="004904D2" w:rsidRPr="004904D2" w:rsidRDefault="004904D2" w:rsidP="004904D2">
      <w:pPr>
        <w:rPr>
          <w:b/>
        </w:rPr>
      </w:pPr>
      <w:r w:rsidRPr="00275218">
        <w:rPr>
          <w:b/>
        </w:rPr>
        <w:t>Figure D</w:t>
      </w:r>
      <w:r>
        <w:rPr>
          <w:b/>
        </w:rPr>
        <w:t xml:space="preserve">.3: </w:t>
      </w:r>
      <w:r w:rsidRPr="004904D2">
        <w:rPr>
          <w:b/>
        </w:rPr>
        <w:t>Current Ratio</w:t>
      </w:r>
      <w:r>
        <w:rPr>
          <w:b/>
        </w:rPr>
        <w:t xml:space="preserve">, Quick Ratio, and </w:t>
      </w:r>
      <w:r w:rsidRPr="004904D2">
        <w:rPr>
          <w:b/>
        </w:rPr>
        <w:t>Cash Ratio</w:t>
      </w:r>
      <w:r>
        <w:rPr>
          <w:b/>
        </w:rPr>
        <w:t xml:space="preserve"> (2020-2024)</w:t>
      </w:r>
    </w:p>
    <w:p w:rsidR="004904D2" w:rsidRDefault="004904D2" w:rsidP="004904D2">
      <w:pPr>
        <w:jc w:val="center"/>
      </w:pPr>
      <w:r>
        <w:rPr>
          <w:noProof/>
          <w:lang w:val="en-GB" w:eastAsia="en-GB"/>
        </w:rPr>
        <w:drawing>
          <wp:inline distT="0" distB="0" distL="0" distR="0" wp14:anchorId="11585C2C">
            <wp:extent cx="3810635" cy="23228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635" cy="2322830"/>
                    </a:xfrm>
                    <a:prstGeom prst="rect">
                      <a:avLst/>
                    </a:prstGeom>
                    <a:noFill/>
                  </pic:spPr>
                </pic:pic>
              </a:graphicData>
            </a:graphic>
          </wp:inline>
        </w:drawing>
      </w:r>
    </w:p>
    <w:p w:rsidR="00FD22AD" w:rsidRDefault="004904D2" w:rsidP="004904D2">
      <w:pPr>
        <w:jc w:val="center"/>
      </w:pPr>
      <w:r>
        <w:t>Source: Self-made</w:t>
      </w:r>
    </w:p>
    <w:p w:rsidR="00ED7146" w:rsidRPr="00FD22AD" w:rsidRDefault="00ED7146" w:rsidP="00ED7146">
      <w:pPr>
        <w:rPr>
          <w:lang w:val="en-GB"/>
        </w:rPr>
      </w:pPr>
      <w:r w:rsidRPr="00275218">
        <w:rPr>
          <w:b/>
        </w:rPr>
        <w:t>Figure D</w:t>
      </w:r>
      <w:r>
        <w:rPr>
          <w:b/>
        </w:rPr>
        <w:t>.4: Gearing Ratios (2020-2024)</w:t>
      </w:r>
    </w:p>
    <w:p w:rsidR="00786C12" w:rsidRDefault="00ED7146" w:rsidP="00ED7146">
      <w:pPr>
        <w:jc w:val="center"/>
        <w:rPr>
          <w:lang w:val="en-GB"/>
        </w:rPr>
      </w:pPr>
      <w:r>
        <w:rPr>
          <w:noProof/>
          <w:lang w:val="en-GB" w:eastAsia="en-GB"/>
        </w:rPr>
        <w:drawing>
          <wp:inline distT="0" distB="0" distL="0" distR="0" wp14:anchorId="5E54D961">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ED7146" w:rsidRDefault="00ED7146" w:rsidP="00ED7146">
      <w:pPr>
        <w:jc w:val="center"/>
      </w:pPr>
      <w:r>
        <w:t>Source: Self-made</w:t>
      </w:r>
    </w:p>
    <w:p w:rsidR="00ED7146" w:rsidRDefault="00ED7146" w:rsidP="00ED7146">
      <w:pPr>
        <w:rPr>
          <w:b/>
          <w:lang w:val="en-GB"/>
        </w:rPr>
      </w:pPr>
    </w:p>
    <w:p w:rsidR="00ED7146" w:rsidRDefault="00ED7146" w:rsidP="00ED7146">
      <w:pPr>
        <w:rPr>
          <w:b/>
          <w:lang w:val="en-GB"/>
        </w:rPr>
      </w:pPr>
    </w:p>
    <w:p w:rsidR="00ED7146" w:rsidRPr="00ED7146" w:rsidRDefault="00ED7146" w:rsidP="00ED7146">
      <w:pPr>
        <w:rPr>
          <w:b/>
          <w:lang w:val="en-GB"/>
        </w:rPr>
      </w:pPr>
      <w:r w:rsidRPr="00ED7146">
        <w:rPr>
          <w:b/>
          <w:lang w:val="en-GB"/>
        </w:rPr>
        <w:lastRenderedPageBreak/>
        <w:t>Figure D.5: AR Turnover and DSO (Days)</w:t>
      </w:r>
    </w:p>
    <w:p w:rsidR="00ED7146" w:rsidRDefault="00ED7146" w:rsidP="00ED7146">
      <w:pPr>
        <w:jc w:val="center"/>
        <w:rPr>
          <w:lang w:val="en-GB"/>
        </w:rPr>
      </w:pPr>
      <w:r>
        <w:rPr>
          <w:noProof/>
          <w:lang w:val="en-GB" w:eastAsia="en-GB"/>
        </w:rPr>
        <w:drawing>
          <wp:inline distT="0" distB="0" distL="0" distR="0" wp14:anchorId="30357AC9">
            <wp:extent cx="4078605" cy="20059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78605" cy="2005965"/>
                    </a:xfrm>
                    <a:prstGeom prst="rect">
                      <a:avLst/>
                    </a:prstGeom>
                    <a:noFill/>
                  </pic:spPr>
                </pic:pic>
              </a:graphicData>
            </a:graphic>
          </wp:inline>
        </w:drawing>
      </w:r>
    </w:p>
    <w:p w:rsidR="00ED7146" w:rsidRDefault="00ED7146" w:rsidP="00ED7146">
      <w:pPr>
        <w:jc w:val="center"/>
      </w:pPr>
      <w:r>
        <w:t>Source: Self-made</w:t>
      </w:r>
    </w:p>
    <w:p w:rsidR="00ED7146" w:rsidRPr="00ED7146" w:rsidRDefault="00ED7146" w:rsidP="00ED7146">
      <w:pPr>
        <w:jc w:val="left"/>
        <w:rPr>
          <w:b/>
        </w:rPr>
      </w:pPr>
      <w:r w:rsidRPr="00ED7146">
        <w:rPr>
          <w:b/>
        </w:rPr>
        <w:t>Figure D.6: Earning Per Share (2020-2024)</w:t>
      </w:r>
    </w:p>
    <w:p w:rsidR="00ED7146" w:rsidRDefault="00ED7146" w:rsidP="00ED7146">
      <w:pPr>
        <w:jc w:val="center"/>
        <w:rPr>
          <w:lang w:val="en-GB"/>
        </w:rPr>
      </w:pPr>
      <w:r>
        <w:rPr>
          <w:noProof/>
          <w:lang w:val="en-GB" w:eastAsia="en-GB"/>
        </w:rPr>
        <w:drawing>
          <wp:inline distT="0" distB="0" distL="0" distR="0" wp14:anchorId="0D3E6A48">
            <wp:extent cx="3432175" cy="19202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32175" cy="1920240"/>
                    </a:xfrm>
                    <a:prstGeom prst="rect">
                      <a:avLst/>
                    </a:prstGeom>
                    <a:noFill/>
                  </pic:spPr>
                </pic:pic>
              </a:graphicData>
            </a:graphic>
          </wp:inline>
        </w:drawing>
      </w:r>
    </w:p>
    <w:p w:rsidR="00ED7146" w:rsidRPr="006E642D" w:rsidRDefault="00ED7146" w:rsidP="006E642D">
      <w:pPr>
        <w:jc w:val="center"/>
      </w:pPr>
      <w:r>
        <w:t>Source: Self-made</w:t>
      </w:r>
    </w:p>
    <w:p w:rsidR="006E642D" w:rsidRDefault="006E642D" w:rsidP="00ED7146">
      <w:pPr>
        <w:rPr>
          <w:b/>
          <w:lang w:val="en-GB"/>
        </w:rPr>
      </w:pPr>
    </w:p>
    <w:p w:rsidR="006E642D" w:rsidRDefault="006E642D" w:rsidP="00ED7146">
      <w:pPr>
        <w:rPr>
          <w:b/>
          <w:lang w:val="en-GB"/>
        </w:rPr>
      </w:pPr>
    </w:p>
    <w:p w:rsidR="006E642D" w:rsidRDefault="006E642D" w:rsidP="00ED7146">
      <w:pPr>
        <w:rPr>
          <w:b/>
          <w:lang w:val="en-GB"/>
        </w:rPr>
      </w:pPr>
    </w:p>
    <w:p w:rsidR="006E642D" w:rsidRDefault="006E642D" w:rsidP="00ED7146">
      <w:pPr>
        <w:rPr>
          <w:b/>
          <w:lang w:val="en-GB"/>
        </w:rPr>
      </w:pPr>
    </w:p>
    <w:p w:rsidR="006E642D" w:rsidRDefault="006E642D" w:rsidP="00ED7146">
      <w:pPr>
        <w:rPr>
          <w:b/>
          <w:lang w:val="en-GB"/>
        </w:rPr>
      </w:pPr>
    </w:p>
    <w:p w:rsidR="006E642D" w:rsidRDefault="006E642D" w:rsidP="00ED7146">
      <w:pPr>
        <w:rPr>
          <w:b/>
          <w:lang w:val="en-GB"/>
        </w:rPr>
      </w:pPr>
    </w:p>
    <w:p w:rsidR="006E642D" w:rsidRDefault="006E642D" w:rsidP="00ED7146">
      <w:pPr>
        <w:rPr>
          <w:b/>
          <w:lang w:val="en-GB"/>
        </w:rPr>
      </w:pPr>
    </w:p>
    <w:p w:rsidR="00ED7146" w:rsidRPr="00ED7146" w:rsidRDefault="00ED7146" w:rsidP="00ED7146">
      <w:pPr>
        <w:rPr>
          <w:b/>
          <w:lang w:val="en-GB"/>
        </w:rPr>
      </w:pPr>
      <w:r w:rsidRPr="00ED7146">
        <w:rPr>
          <w:b/>
          <w:lang w:val="en-GB"/>
        </w:rPr>
        <w:lastRenderedPageBreak/>
        <w:t>Appendix D.7: Efficiency Ratios (2020-2024)</w:t>
      </w:r>
    </w:p>
    <w:p w:rsidR="00ED7146" w:rsidRDefault="00ED7146" w:rsidP="00ED7146">
      <w:pPr>
        <w:jc w:val="center"/>
        <w:rPr>
          <w:lang w:val="en-GB"/>
        </w:rPr>
      </w:pPr>
      <w:r>
        <w:rPr>
          <w:noProof/>
          <w:lang w:val="en-GB" w:eastAsia="en-GB"/>
        </w:rPr>
        <w:drawing>
          <wp:inline distT="0" distB="0" distL="0" distR="0" wp14:anchorId="7837BCF9">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ED7146" w:rsidRPr="00786C12" w:rsidRDefault="00ED7146" w:rsidP="00ED7146">
      <w:pPr>
        <w:jc w:val="center"/>
        <w:rPr>
          <w:lang w:val="en-GB"/>
        </w:rPr>
      </w:pPr>
      <w:r w:rsidRPr="00ED7146">
        <w:rPr>
          <w:lang w:val="en-GB"/>
        </w:rPr>
        <w:t>Source: Self-made</w:t>
      </w:r>
    </w:p>
    <w:sectPr w:rsidR="00ED7146" w:rsidRPr="00786C12" w:rsidSect="00A76FD4">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34A5" w:rsidRDefault="007134A5" w:rsidP="00A76FD4">
      <w:pPr>
        <w:spacing w:after="0" w:line="240" w:lineRule="auto"/>
      </w:pPr>
      <w:r>
        <w:separator/>
      </w:r>
    </w:p>
  </w:endnote>
  <w:endnote w:type="continuationSeparator" w:id="0">
    <w:p w:rsidR="007134A5" w:rsidRDefault="007134A5"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Content>
      <w:p w:rsidR="00737F39" w:rsidRDefault="00737F39">
        <w:pPr>
          <w:pStyle w:val="Footer"/>
          <w:jc w:val="right"/>
        </w:pPr>
        <w:r>
          <w:fldChar w:fldCharType="begin"/>
        </w:r>
        <w:r>
          <w:instrText xml:space="preserve"> PAGE   \* MERGEFORMAT </w:instrText>
        </w:r>
        <w:r>
          <w:fldChar w:fldCharType="separate"/>
        </w:r>
        <w:r w:rsidR="006E642D">
          <w:rPr>
            <w:noProof/>
          </w:rPr>
          <w:t>22</w:t>
        </w:r>
        <w:r>
          <w:rPr>
            <w:noProof/>
          </w:rPr>
          <w:fldChar w:fldCharType="end"/>
        </w:r>
      </w:p>
    </w:sdtContent>
  </w:sdt>
  <w:p w:rsidR="00737F39" w:rsidRDefault="00737F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34A5" w:rsidRDefault="007134A5" w:rsidP="00A76FD4">
      <w:pPr>
        <w:spacing w:after="0" w:line="240" w:lineRule="auto"/>
      </w:pPr>
      <w:r>
        <w:separator/>
      </w:r>
    </w:p>
  </w:footnote>
  <w:footnote w:type="continuationSeparator" w:id="0">
    <w:p w:rsidR="007134A5" w:rsidRDefault="007134A5"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E84262"/>
    <w:multiLevelType w:val="hybridMultilevel"/>
    <w:tmpl w:val="DB98E7FC"/>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E46AFB"/>
    <w:multiLevelType w:val="hybridMultilevel"/>
    <w:tmpl w:val="EC1EE07A"/>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861546"/>
    <w:multiLevelType w:val="hybridMultilevel"/>
    <w:tmpl w:val="877033A6"/>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7A79CC"/>
    <w:multiLevelType w:val="hybridMultilevel"/>
    <w:tmpl w:val="99D61B9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F177DAC"/>
    <w:multiLevelType w:val="hybridMultilevel"/>
    <w:tmpl w:val="051A0A0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047777"/>
    <w:multiLevelType w:val="hybridMultilevel"/>
    <w:tmpl w:val="A10817A2"/>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E250B57"/>
    <w:multiLevelType w:val="multilevel"/>
    <w:tmpl w:val="9042D2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5245396"/>
    <w:multiLevelType w:val="hybridMultilevel"/>
    <w:tmpl w:val="D3202FB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9302397"/>
    <w:multiLevelType w:val="hybridMultilevel"/>
    <w:tmpl w:val="00143BB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4BC1040"/>
    <w:multiLevelType w:val="multilevel"/>
    <w:tmpl w:val="2E549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6A56A39"/>
    <w:multiLevelType w:val="hybridMultilevel"/>
    <w:tmpl w:val="9FC23C6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562471E"/>
    <w:multiLevelType w:val="hybridMultilevel"/>
    <w:tmpl w:val="30A6B2C6"/>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7CC6EF2"/>
    <w:multiLevelType w:val="multilevel"/>
    <w:tmpl w:val="30AA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53C6876"/>
    <w:multiLevelType w:val="hybridMultilevel"/>
    <w:tmpl w:val="A3B048A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18B3EB9"/>
    <w:multiLevelType w:val="hybridMultilevel"/>
    <w:tmpl w:val="03CAB850"/>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20875AA"/>
    <w:multiLevelType w:val="hybridMultilevel"/>
    <w:tmpl w:val="8804A99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7D02F35"/>
    <w:multiLevelType w:val="hybridMultilevel"/>
    <w:tmpl w:val="84B82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A5F6050"/>
    <w:multiLevelType w:val="hybridMultilevel"/>
    <w:tmpl w:val="5D46D1A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A9D30E9"/>
    <w:multiLevelType w:val="hybridMultilevel"/>
    <w:tmpl w:val="340C29F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FCE570E"/>
    <w:multiLevelType w:val="hybridMultilevel"/>
    <w:tmpl w:val="F0FEDC76"/>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7"/>
  </w:num>
  <w:num w:numId="4">
    <w:abstractNumId w:val="18"/>
  </w:num>
  <w:num w:numId="5">
    <w:abstractNumId w:val="0"/>
  </w:num>
  <w:num w:numId="6">
    <w:abstractNumId w:val="19"/>
  </w:num>
  <w:num w:numId="7">
    <w:abstractNumId w:val="13"/>
  </w:num>
  <w:num w:numId="8">
    <w:abstractNumId w:val="3"/>
  </w:num>
  <w:num w:numId="9">
    <w:abstractNumId w:val="15"/>
  </w:num>
  <w:num w:numId="10">
    <w:abstractNumId w:val="8"/>
  </w:num>
  <w:num w:numId="11">
    <w:abstractNumId w:val="7"/>
  </w:num>
  <w:num w:numId="12">
    <w:abstractNumId w:val="10"/>
  </w:num>
  <w:num w:numId="13">
    <w:abstractNumId w:val="4"/>
  </w:num>
  <w:num w:numId="14">
    <w:abstractNumId w:val="11"/>
  </w:num>
  <w:num w:numId="15">
    <w:abstractNumId w:val="16"/>
  </w:num>
  <w:num w:numId="16">
    <w:abstractNumId w:val="12"/>
  </w:num>
  <w:num w:numId="17">
    <w:abstractNumId w:val="9"/>
  </w:num>
  <w:num w:numId="18">
    <w:abstractNumId w:val="6"/>
  </w:num>
  <w:num w:numId="19">
    <w:abstractNumId w:val="14"/>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0400C0"/>
    <w:rsid w:val="000C0372"/>
    <w:rsid w:val="000E1C49"/>
    <w:rsid w:val="00110C54"/>
    <w:rsid w:val="001503BB"/>
    <w:rsid w:val="00157351"/>
    <w:rsid w:val="00181BB8"/>
    <w:rsid w:val="00197D00"/>
    <w:rsid w:val="001A15FB"/>
    <w:rsid w:val="001A640A"/>
    <w:rsid w:val="001C32CC"/>
    <w:rsid w:val="002054A3"/>
    <w:rsid w:val="00266CFB"/>
    <w:rsid w:val="00275218"/>
    <w:rsid w:val="002C183A"/>
    <w:rsid w:val="00302432"/>
    <w:rsid w:val="00354035"/>
    <w:rsid w:val="003703C4"/>
    <w:rsid w:val="00395AD4"/>
    <w:rsid w:val="003A17BC"/>
    <w:rsid w:val="003B68DE"/>
    <w:rsid w:val="00416B80"/>
    <w:rsid w:val="004904D2"/>
    <w:rsid w:val="00510508"/>
    <w:rsid w:val="00565720"/>
    <w:rsid w:val="0059607E"/>
    <w:rsid w:val="005E1F41"/>
    <w:rsid w:val="00667AC0"/>
    <w:rsid w:val="00675826"/>
    <w:rsid w:val="006D7EE4"/>
    <w:rsid w:val="006E642D"/>
    <w:rsid w:val="007134A5"/>
    <w:rsid w:val="00717C39"/>
    <w:rsid w:val="00720140"/>
    <w:rsid w:val="00737F39"/>
    <w:rsid w:val="007638E7"/>
    <w:rsid w:val="00786C12"/>
    <w:rsid w:val="007B0965"/>
    <w:rsid w:val="007B7AD8"/>
    <w:rsid w:val="007F390A"/>
    <w:rsid w:val="0085451D"/>
    <w:rsid w:val="00856E8E"/>
    <w:rsid w:val="008A1ED6"/>
    <w:rsid w:val="008E5EF0"/>
    <w:rsid w:val="00916359"/>
    <w:rsid w:val="0098532B"/>
    <w:rsid w:val="00A12308"/>
    <w:rsid w:val="00A37092"/>
    <w:rsid w:val="00A76FD4"/>
    <w:rsid w:val="00AE2650"/>
    <w:rsid w:val="00BE6346"/>
    <w:rsid w:val="00C0036E"/>
    <w:rsid w:val="00C57E99"/>
    <w:rsid w:val="00CB5554"/>
    <w:rsid w:val="00CB61F7"/>
    <w:rsid w:val="00D45A08"/>
    <w:rsid w:val="00DE061B"/>
    <w:rsid w:val="00DF7317"/>
    <w:rsid w:val="00E006B8"/>
    <w:rsid w:val="00E24C67"/>
    <w:rsid w:val="00E27D61"/>
    <w:rsid w:val="00E73A2E"/>
    <w:rsid w:val="00E90947"/>
    <w:rsid w:val="00EA0AEF"/>
    <w:rsid w:val="00ED7146"/>
    <w:rsid w:val="00F274FE"/>
    <w:rsid w:val="00F34D97"/>
    <w:rsid w:val="00FC7742"/>
    <w:rsid w:val="00FD22AD"/>
    <w:rsid w:val="00FF69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F729BE-5744-4F37-A5AE-DD9901B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6CFB"/>
    <w:pPr>
      <w:spacing w:before="120" w:after="160" w:line="360" w:lineRule="auto"/>
      <w:jc w:val="both"/>
    </w:pPr>
    <w:rPr>
      <w:rFonts w:ascii="Arial" w:hAnsi="Arial"/>
      <w:sz w:val="24"/>
    </w:rPr>
  </w:style>
  <w:style w:type="paragraph" w:styleId="Heading1">
    <w:name w:val="heading 1"/>
    <w:basedOn w:val="Normal"/>
    <w:next w:val="Normal"/>
    <w:link w:val="Heading1Char"/>
    <w:uiPriority w:val="9"/>
    <w:qFormat/>
    <w:rsid w:val="00181BB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266CFB"/>
    <w:pPr>
      <w:keepNext/>
      <w:keepLines/>
      <w:spacing w:before="200" w:after="0"/>
      <w:outlineLvl w:val="1"/>
    </w:pPr>
    <w:rPr>
      <w:rFonts w:eastAsiaTheme="majorEastAsia" w:cstheme="majorBidi"/>
      <w:b/>
      <w:bCs/>
      <w:i/>
      <w:color w:val="4F81BD" w:themeColor="accent1"/>
      <w:sz w:val="28"/>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BB8"/>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266CFB"/>
    <w:rPr>
      <w:rFonts w:ascii="Arial" w:eastAsiaTheme="majorEastAsia" w:hAnsi="Arial" w:cstheme="majorBidi"/>
      <w:b/>
      <w:bCs/>
      <w:i/>
      <w:color w:val="4F81BD" w:themeColor="accent1"/>
      <w:sz w:val="28"/>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semiHidden/>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character" w:styleId="Strong">
    <w:name w:val="Strong"/>
    <w:basedOn w:val="DefaultParagraphFont"/>
    <w:uiPriority w:val="22"/>
    <w:qFormat/>
    <w:rsid w:val="001A15FB"/>
    <w:rPr>
      <w:b/>
      <w:bCs/>
    </w:rPr>
  </w:style>
  <w:style w:type="table" w:styleId="TableGridLight">
    <w:name w:val="Grid Table Light"/>
    <w:basedOn w:val="TableNormal"/>
    <w:uiPriority w:val="40"/>
    <w:rsid w:val="00E27D61"/>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266CFB"/>
    <w:pPr>
      <w:spacing w:before="0" w:after="200" w:line="240" w:lineRule="auto"/>
    </w:pPr>
    <w:rPr>
      <w:i/>
      <w:iCs/>
      <w:color w:val="1F497D" w:themeColor="text2"/>
      <w:sz w:val="18"/>
      <w:szCs w:val="18"/>
    </w:rPr>
  </w:style>
  <w:style w:type="table" w:styleId="GridTable1Light-Accent1">
    <w:name w:val="Grid Table 1 Light Accent 1"/>
    <w:basedOn w:val="TableNormal"/>
    <w:uiPriority w:val="46"/>
    <w:rsid w:val="00266CFB"/>
    <w:pPr>
      <w:spacing w:after="0" w:line="240" w:lineRule="auto"/>
    </w:pPr>
    <w:tblPr>
      <w:tblStyleRowBandSize w:val="1"/>
      <w:tblStyleColBandSize w:val="1"/>
      <w:tblInd w:w="0" w:type="dxa"/>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CellMar>
        <w:top w:w="0" w:type="dxa"/>
        <w:left w:w="108" w:type="dxa"/>
        <w:bottom w:w="0" w:type="dxa"/>
        <w:right w:w="108" w:type="dxa"/>
      </w:tblCellMar>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2">
    <w:name w:val="Grid Table 2"/>
    <w:basedOn w:val="TableNormal"/>
    <w:uiPriority w:val="47"/>
    <w:rsid w:val="00266CFB"/>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1">
    <w:name w:val="Plain Table 1"/>
    <w:basedOn w:val="TableNormal"/>
    <w:uiPriority w:val="41"/>
    <w:rsid w:val="00266CFB"/>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CB5554"/>
    <w:pPr>
      <w:ind w:left="720"/>
      <w:contextualSpacing/>
    </w:pPr>
  </w:style>
  <w:style w:type="paragraph" w:styleId="NoSpacing">
    <w:name w:val="No Spacing"/>
    <w:uiPriority w:val="1"/>
    <w:qFormat/>
    <w:rsid w:val="00786C12"/>
    <w:pPr>
      <w:spacing w:after="0" w:line="240" w:lineRule="auto"/>
      <w:jc w:val="both"/>
    </w:pPr>
    <w:rPr>
      <w:rFonts w:ascii="Arial" w:hAnsi="Arial"/>
      <w:sz w:val="24"/>
    </w:rPr>
  </w:style>
  <w:style w:type="paragraph" w:styleId="TOCHeading">
    <w:name w:val="TOC Heading"/>
    <w:basedOn w:val="Heading1"/>
    <w:next w:val="Normal"/>
    <w:uiPriority w:val="39"/>
    <w:unhideWhenUsed/>
    <w:qFormat/>
    <w:rsid w:val="00FD22AD"/>
    <w:pPr>
      <w:spacing w:before="24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FD22AD"/>
    <w:pPr>
      <w:spacing w:after="100"/>
    </w:pPr>
  </w:style>
  <w:style w:type="paragraph" w:styleId="TOC2">
    <w:name w:val="toc 2"/>
    <w:basedOn w:val="Normal"/>
    <w:next w:val="Normal"/>
    <w:autoRedefine/>
    <w:uiPriority w:val="39"/>
    <w:unhideWhenUsed/>
    <w:rsid w:val="00FD22AD"/>
    <w:pPr>
      <w:spacing w:after="100"/>
      <w:ind w:left="240"/>
    </w:pPr>
  </w:style>
  <w:style w:type="character" w:styleId="Hyperlink">
    <w:name w:val="Hyperlink"/>
    <w:basedOn w:val="DefaultParagraphFont"/>
    <w:uiPriority w:val="99"/>
    <w:unhideWhenUsed/>
    <w:rsid w:val="00FD22AD"/>
    <w:rPr>
      <w:color w:val="0000FF" w:themeColor="hyperlink"/>
      <w:u w:val="single"/>
    </w:rPr>
  </w:style>
  <w:style w:type="table" w:styleId="GridTable2-Accent4">
    <w:name w:val="Grid Table 2 Accent 4"/>
    <w:basedOn w:val="TableNormal"/>
    <w:uiPriority w:val="47"/>
    <w:rsid w:val="007B7AD8"/>
    <w:pPr>
      <w:spacing w:after="0" w:line="240" w:lineRule="auto"/>
    </w:pPr>
    <w:tblPr>
      <w:tblStyleRowBandSize w:val="1"/>
      <w:tblStyleColBandSize w:val="1"/>
      <w:tblInd w:w="0" w:type="dxa"/>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CellMar>
        <w:top w:w="0" w:type="dxa"/>
        <w:left w:w="108" w:type="dxa"/>
        <w:bottom w:w="0" w:type="dxa"/>
        <w:right w:w="108" w:type="dxa"/>
      </w:tblCellMar>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1Light-Accent4">
    <w:name w:val="Grid Table 1 Light Accent 4"/>
    <w:basedOn w:val="TableNormal"/>
    <w:uiPriority w:val="46"/>
    <w:rsid w:val="007B7AD8"/>
    <w:pPr>
      <w:spacing w:after="0" w:line="240" w:lineRule="auto"/>
    </w:pPr>
    <w:tblPr>
      <w:tblStyleRowBandSize w:val="1"/>
      <w:tblStyleColBandSize w:val="1"/>
      <w:tblInd w:w="0" w:type="dxa"/>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CellMar>
        <w:top w:w="0" w:type="dxa"/>
        <w:left w:w="108" w:type="dxa"/>
        <w:bottom w:w="0" w:type="dxa"/>
        <w:right w:w="108" w:type="dxa"/>
      </w:tblCellMar>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styleId="TableGrid">
    <w:name w:val="Table Grid"/>
    <w:basedOn w:val="TableNormal"/>
    <w:uiPriority w:val="59"/>
    <w:rsid w:val="007B7AD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4">
    <w:name w:val="Grid Table 4 Accent 4"/>
    <w:basedOn w:val="TableNormal"/>
    <w:uiPriority w:val="49"/>
    <w:rsid w:val="00197D00"/>
    <w:pPr>
      <w:spacing w:after="0" w:line="240" w:lineRule="auto"/>
    </w:pPr>
    <w:tblPr>
      <w:tblStyleRowBandSize w:val="1"/>
      <w:tblStyleColBandSize w:val="1"/>
      <w:tblInd w:w="0" w:type="dxa"/>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889724">
      <w:bodyDiv w:val="1"/>
      <w:marLeft w:val="0"/>
      <w:marRight w:val="0"/>
      <w:marTop w:val="0"/>
      <w:marBottom w:val="0"/>
      <w:divBdr>
        <w:top w:val="none" w:sz="0" w:space="0" w:color="auto"/>
        <w:left w:val="none" w:sz="0" w:space="0" w:color="auto"/>
        <w:bottom w:val="none" w:sz="0" w:space="0" w:color="auto"/>
        <w:right w:val="none" w:sz="0" w:space="0" w:color="auto"/>
      </w:divBdr>
    </w:div>
    <w:div w:id="156194887">
      <w:bodyDiv w:val="1"/>
      <w:marLeft w:val="0"/>
      <w:marRight w:val="0"/>
      <w:marTop w:val="0"/>
      <w:marBottom w:val="0"/>
      <w:divBdr>
        <w:top w:val="none" w:sz="0" w:space="0" w:color="auto"/>
        <w:left w:val="none" w:sz="0" w:space="0" w:color="auto"/>
        <w:bottom w:val="none" w:sz="0" w:space="0" w:color="auto"/>
        <w:right w:val="none" w:sz="0" w:space="0" w:color="auto"/>
      </w:divBdr>
    </w:div>
    <w:div w:id="255333642">
      <w:bodyDiv w:val="1"/>
      <w:marLeft w:val="0"/>
      <w:marRight w:val="0"/>
      <w:marTop w:val="0"/>
      <w:marBottom w:val="0"/>
      <w:divBdr>
        <w:top w:val="none" w:sz="0" w:space="0" w:color="auto"/>
        <w:left w:val="none" w:sz="0" w:space="0" w:color="auto"/>
        <w:bottom w:val="none" w:sz="0" w:space="0" w:color="auto"/>
        <w:right w:val="none" w:sz="0" w:space="0" w:color="auto"/>
      </w:divBdr>
      <w:divsChild>
        <w:div w:id="1652442704">
          <w:marLeft w:val="0"/>
          <w:marRight w:val="0"/>
          <w:marTop w:val="0"/>
          <w:marBottom w:val="0"/>
          <w:divBdr>
            <w:top w:val="none" w:sz="0" w:space="0" w:color="auto"/>
            <w:left w:val="none" w:sz="0" w:space="0" w:color="auto"/>
            <w:bottom w:val="none" w:sz="0" w:space="0" w:color="auto"/>
            <w:right w:val="none" w:sz="0" w:space="0" w:color="auto"/>
          </w:divBdr>
        </w:div>
      </w:divsChild>
    </w:div>
    <w:div w:id="287201799">
      <w:bodyDiv w:val="1"/>
      <w:marLeft w:val="0"/>
      <w:marRight w:val="0"/>
      <w:marTop w:val="0"/>
      <w:marBottom w:val="0"/>
      <w:divBdr>
        <w:top w:val="none" w:sz="0" w:space="0" w:color="auto"/>
        <w:left w:val="none" w:sz="0" w:space="0" w:color="auto"/>
        <w:bottom w:val="none" w:sz="0" w:space="0" w:color="auto"/>
        <w:right w:val="none" w:sz="0" w:space="0" w:color="auto"/>
      </w:divBdr>
    </w:div>
    <w:div w:id="306324691">
      <w:bodyDiv w:val="1"/>
      <w:marLeft w:val="0"/>
      <w:marRight w:val="0"/>
      <w:marTop w:val="0"/>
      <w:marBottom w:val="0"/>
      <w:divBdr>
        <w:top w:val="none" w:sz="0" w:space="0" w:color="auto"/>
        <w:left w:val="none" w:sz="0" w:space="0" w:color="auto"/>
        <w:bottom w:val="none" w:sz="0" w:space="0" w:color="auto"/>
        <w:right w:val="none" w:sz="0" w:space="0" w:color="auto"/>
      </w:divBdr>
    </w:div>
    <w:div w:id="404650309">
      <w:bodyDiv w:val="1"/>
      <w:marLeft w:val="0"/>
      <w:marRight w:val="0"/>
      <w:marTop w:val="0"/>
      <w:marBottom w:val="0"/>
      <w:divBdr>
        <w:top w:val="none" w:sz="0" w:space="0" w:color="auto"/>
        <w:left w:val="none" w:sz="0" w:space="0" w:color="auto"/>
        <w:bottom w:val="none" w:sz="0" w:space="0" w:color="auto"/>
        <w:right w:val="none" w:sz="0" w:space="0" w:color="auto"/>
      </w:divBdr>
    </w:div>
    <w:div w:id="746075512">
      <w:bodyDiv w:val="1"/>
      <w:marLeft w:val="0"/>
      <w:marRight w:val="0"/>
      <w:marTop w:val="0"/>
      <w:marBottom w:val="0"/>
      <w:divBdr>
        <w:top w:val="none" w:sz="0" w:space="0" w:color="auto"/>
        <w:left w:val="none" w:sz="0" w:space="0" w:color="auto"/>
        <w:bottom w:val="none" w:sz="0" w:space="0" w:color="auto"/>
        <w:right w:val="none" w:sz="0" w:space="0" w:color="auto"/>
      </w:divBdr>
    </w:div>
    <w:div w:id="767503508">
      <w:bodyDiv w:val="1"/>
      <w:marLeft w:val="0"/>
      <w:marRight w:val="0"/>
      <w:marTop w:val="0"/>
      <w:marBottom w:val="0"/>
      <w:divBdr>
        <w:top w:val="none" w:sz="0" w:space="0" w:color="auto"/>
        <w:left w:val="none" w:sz="0" w:space="0" w:color="auto"/>
        <w:bottom w:val="none" w:sz="0" w:space="0" w:color="auto"/>
        <w:right w:val="none" w:sz="0" w:space="0" w:color="auto"/>
      </w:divBdr>
    </w:div>
    <w:div w:id="899826359">
      <w:bodyDiv w:val="1"/>
      <w:marLeft w:val="0"/>
      <w:marRight w:val="0"/>
      <w:marTop w:val="0"/>
      <w:marBottom w:val="0"/>
      <w:divBdr>
        <w:top w:val="none" w:sz="0" w:space="0" w:color="auto"/>
        <w:left w:val="none" w:sz="0" w:space="0" w:color="auto"/>
        <w:bottom w:val="none" w:sz="0" w:space="0" w:color="auto"/>
        <w:right w:val="none" w:sz="0" w:space="0" w:color="auto"/>
      </w:divBdr>
      <w:divsChild>
        <w:div w:id="551625265">
          <w:marLeft w:val="0"/>
          <w:marRight w:val="0"/>
          <w:marTop w:val="0"/>
          <w:marBottom w:val="0"/>
          <w:divBdr>
            <w:top w:val="none" w:sz="0" w:space="0" w:color="auto"/>
            <w:left w:val="none" w:sz="0" w:space="0" w:color="auto"/>
            <w:bottom w:val="none" w:sz="0" w:space="0" w:color="auto"/>
            <w:right w:val="none" w:sz="0" w:space="0" w:color="auto"/>
          </w:divBdr>
        </w:div>
      </w:divsChild>
    </w:div>
    <w:div w:id="1026828197">
      <w:bodyDiv w:val="1"/>
      <w:marLeft w:val="0"/>
      <w:marRight w:val="0"/>
      <w:marTop w:val="0"/>
      <w:marBottom w:val="0"/>
      <w:divBdr>
        <w:top w:val="none" w:sz="0" w:space="0" w:color="auto"/>
        <w:left w:val="none" w:sz="0" w:space="0" w:color="auto"/>
        <w:bottom w:val="none" w:sz="0" w:space="0" w:color="auto"/>
        <w:right w:val="none" w:sz="0" w:space="0" w:color="auto"/>
      </w:divBdr>
      <w:divsChild>
        <w:div w:id="1056273339">
          <w:marLeft w:val="0"/>
          <w:marRight w:val="0"/>
          <w:marTop w:val="0"/>
          <w:marBottom w:val="0"/>
          <w:divBdr>
            <w:top w:val="none" w:sz="0" w:space="0" w:color="auto"/>
            <w:left w:val="none" w:sz="0" w:space="0" w:color="auto"/>
            <w:bottom w:val="none" w:sz="0" w:space="0" w:color="auto"/>
            <w:right w:val="none" w:sz="0" w:space="0" w:color="auto"/>
          </w:divBdr>
          <w:divsChild>
            <w:div w:id="895705673">
              <w:marLeft w:val="0"/>
              <w:marRight w:val="0"/>
              <w:marTop w:val="0"/>
              <w:marBottom w:val="0"/>
              <w:divBdr>
                <w:top w:val="none" w:sz="0" w:space="0" w:color="auto"/>
                <w:left w:val="none" w:sz="0" w:space="0" w:color="auto"/>
                <w:bottom w:val="none" w:sz="0" w:space="0" w:color="auto"/>
                <w:right w:val="none" w:sz="0" w:space="0" w:color="auto"/>
              </w:divBdr>
            </w:div>
          </w:divsChild>
        </w:div>
        <w:div w:id="1752384853">
          <w:marLeft w:val="0"/>
          <w:marRight w:val="0"/>
          <w:marTop w:val="0"/>
          <w:marBottom w:val="0"/>
          <w:divBdr>
            <w:top w:val="none" w:sz="0" w:space="0" w:color="auto"/>
            <w:left w:val="none" w:sz="0" w:space="0" w:color="auto"/>
            <w:bottom w:val="none" w:sz="0" w:space="0" w:color="auto"/>
            <w:right w:val="none" w:sz="0" w:space="0" w:color="auto"/>
          </w:divBdr>
          <w:divsChild>
            <w:div w:id="595090791">
              <w:marLeft w:val="0"/>
              <w:marRight w:val="0"/>
              <w:marTop w:val="0"/>
              <w:marBottom w:val="0"/>
              <w:divBdr>
                <w:top w:val="none" w:sz="0" w:space="0" w:color="auto"/>
                <w:left w:val="none" w:sz="0" w:space="0" w:color="auto"/>
                <w:bottom w:val="none" w:sz="0" w:space="0" w:color="auto"/>
                <w:right w:val="none" w:sz="0" w:space="0" w:color="auto"/>
              </w:divBdr>
            </w:div>
          </w:divsChild>
        </w:div>
        <w:div w:id="504784225">
          <w:marLeft w:val="0"/>
          <w:marRight w:val="0"/>
          <w:marTop w:val="0"/>
          <w:marBottom w:val="0"/>
          <w:divBdr>
            <w:top w:val="none" w:sz="0" w:space="0" w:color="auto"/>
            <w:left w:val="none" w:sz="0" w:space="0" w:color="auto"/>
            <w:bottom w:val="none" w:sz="0" w:space="0" w:color="auto"/>
            <w:right w:val="none" w:sz="0" w:space="0" w:color="auto"/>
          </w:divBdr>
          <w:divsChild>
            <w:div w:id="1591163535">
              <w:marLeft w:val="0"/>
              <w:marRight w:val="0"/>
              <w:marTop w:val="0"/>
              <w:marBottom w:val="0"/>
              <w:divBdr>
                <w:top w:val="none" w:sz="0" w:space="0" w:color="auto"/>
                <w:left w:val="none" w:sz="0" w:space="0" w:color="auto"/>
                <w:bottom w:val="none" w:sz="0" w:space="0" w:color="auto"/>
                <w:right w:val="none" w:sz="0" w:space="0" w:color="auto"/>
              </w:divBdr>
            </w:div>
          </w:divsChild>
        </w:div>
        <w:div w:id="1906913685">
          <w:marLeft w:val="0"/>
          <w:marRight w:val="0"/>
          <w:marTop w:val="0"/>
          <w:marBottom w:val="0"/>
          <w:divBdr>
            <w:top w:val="none" w:sz="0" w:space="0" w:color="auto"/>
            <w:left w:val="none" w:sz="0" w:space="0" w:color="auto"/>
            <w:bottom w:val="none" w:sz="0" w:space="0" w:color="auto"/>
            <w:right w:val="none" w:sz="0" w:space="0" w:color="auto"/>
          </w:divBdr>
          <w:divsChild>
            <w:div w:id="1953975474">
              <w:marLeft w:val="0"/>
              <w:marRight w:val="0"/>
              <w:marTop w:val="0"/>
              <w:marBottom w:val="0"/>
              <w:divBdr>
                <w:top w:val="none" w:sz="0" w:space="0" w:color="auto"/>
                <w:left w:val="none" w:sz="0" w:space="0" w:color="auto"/>
                <w:bottom w:val="none" w:sz="0" w:space="0" w:color="auto"/>
                <w:right w:val="none" w:sz="0" w:space="0" w:color="auto"/>
              </w:divBdr>
            </w:div>
          </w:divsChild>
        </w:div>
        <w:div w:id="1059135342">
          <w:marLeft w:val="0"/>
          <w:marRight w:val="0"/>
          <w:marTop w:val="0"/>
          <w:marBottom w:val="0"/>
          <w:divBdr>
            <w:top w:val="none" w:sz="0" w:space="0" w:color="auto"/>
            <w:left w:val="none" w:sz="0" w:space="0" w:color="auto"/>
            <w:bottom w:val="none" w:sz="0" w:space="0" w:color="auto"/>
            <w:right w:val="none" w:sz="0" w:space="0" w:color="auto"/>
          </w:divBdr>
          <w:divsChild>
            <w:div w:id="1770930836">
              <w:marLeft w:val="0"/>
              <w:marRight w:val="0"/>
              <w:marTop w:val="0"/>
              <w:marBottom w:val="0"/>
              <w:divBdr>
                <w:top w:val="none" w:sz="0" w:space="0" w:color="auto"/>
                <w:left w:val="none" w:sz="0" w:space="0" w:color="auto"/>
                <w:bottom w:val="none" w:sz="0" w:space="0" w:color="auto"/>
                <w:right w:val="none" w:sz="0" w:space="0" w:color="auto"/>
              </w:divBdr>
            </w:div>
          </w:divsChild>
        </w:div>
        <w:div w:id="1849055213">
          <w:marLeft w:val="0"/>
          <w:marRight w:val="0"/>
          <w:marTop w:val="0"/>
          <w:marBottom w:val="0"/>
          <w:divBdr>
            <w:top w:val="none" w:sz="0" w:space="0" w:color="auto"/>
            <w:left w:val="none" w:sz="0" w:space="0" w:color="auto"/>
            <w:bottom w:val="none" w:sz="0" w:space="0" w:color="auto"/>
            <w:right w:val="none" w:sz="0" w:space="0" w:color="auto"/>
          </w:divBdr>
          <w:divsChild>
            <w:div w:id="1924365947">
              <w:marLeft w:val="0"/>
              <w:marRight w:val="0"/>
              <w:marTop w:val="0"/>
              <w:marBottom w:val="0"/>
              <w:divBdr>
                <w:top w:val="none" w:sz="0" w:space="0" w:color="auto"/>
                <w:left w:val="none" w:sz="0" w:space="0" w:color="auto"/>
                <w:bottom w:val="none" w:sz="0" w:space="0" w:color="auto"/>
                <w:right w:val="none" w:sz="0" w:space="0" w:color="auto"/>
              </w:divBdr>
            </w:div>
          </w:divsChild>
        </w:div>
        <w:div w:id="942691638">
          <w:marLeft w:val="0"/>
          <w:marRight w:val="0"/>
          <w:marTop w:val="0"/>
          <w:marBottom w:val="0"/>
          <w:divBdr>
            <w:top w:val="none" w:sz="0" w:space="0" w:color="auto"/>
            <w:left w:val="none" w:sz="0" w:space="0" w:color="auto"/>
            <w:bottom w:val="none" w:sz="0" w:space="0" w:color="auto"/>
            <w:right w:val="none" w:sz="0" w:space="0" w:color="auto"/>
          </w:divBdr>
          <w:divsChild>
            <w:div w:id="1015107134">
              <w:marLeft w:val="0"/>
              <w:marRight w:val="0"/>
              <w:marTop w:val="0"/>
              <w:marBottom w:val="0"/>
              <w:divBdr>
                <w:top w:val="none" w:sz="0" w:space="0" w:color="auto"/>
                <w:left w:val="none" w:sz="0" w:space="0" w:color="auto"/>
                <w:bottom w:val="none" w:sz="0" w:space="0" w:color="auto"/>
                <w:right w:val="none" w:sz="0" w:space="0" w:color="auto"/>
              </w:divBdr>
            </w:div>
          </w:divsChild>
        </w:div>
        <w:div w:id="79108737">
          <w:marLeft w:val="0"/>
          <w:marRight w:val="0"/>
          <w:marTop w:val="0"/>
          <w:marBottom w:val="0"/>
          <w:divBdr>
            <w:top w:val="none" w:sz="0" w:space="0" w:color="auto"/>
            <w:left w:val="none" w:sz="0" w:space="0" w:color="auto"/>
            <w:bottom w:val="none" w:sz="0" w:space="0" w:color="auto"/>
            <w:right w:val="none" w:sz="0" w:space="0" w:color="auto"/>
          </w:divBdr>
          <w:divsChild>
            <w:div w:id="223030168">
              <w:marLeft w:val="0"/>
              <w:marRight w:val="0"/>
              <w:marTop w:val="0"/>
              <w:marBottom w:val="0"/>
              <w:divBdr>
                <w:top w:val="none" w:sz="0" w:space="0" w:color="auto"/>
                <w:left w:val="none" w:sz="0" w:space="0" w:color="auto"/>
                <w:bottom w:val="none" w:sz="0" w:space="0" w:color="auto"/>
                <w:right w:val="none" w:sz="0" w:space="0" w:color="auto"/>
              </w:divBdr>
            </w:div>
          </w:divsChild>
        </w:div>
        <w:div w:id="1117067807">
          <w:marLeft w:val="0"/>
          <w:marRight w:val="0"/>
          <w:marTop w:val="0"/>
          <w:marBottom w:val="0"/>
          <w:divBdr>
            <w:top w:val="none" w:sz="0" w:space="0" w:color="auto"/>
            <w:left w:val="none" w:sz="0" w:space="0" w:color="auto"/>
            <w:bottom w:val="none" w:sz="0" w:space="0" w:color="auto"/>
            <w:right w:val="none" w:sz="0" w:space="0" w:color="auto"/>
          </w:divBdr>
          <w:divsChild>
            <w:div w:id="1371608444">
              <w:marLeft w:val="0"/>
              <w:marRight w:val="0"/>
              <w:marTop w:val="0"/>
              <w:marBottom w:val="0"/>
              <w:divBdr>
                <w:top w:val="none" w:sz="0" w:space="0" w:color="auto"/>
                <w:left w:val="none" w:sz="0" w:space="0" w:color="auto"/>
                <w:bottom w:val="none" w:sz="0" w:space="0" w:color="auto"/>
                <w:right w:val="none" w:sz="0" w:space="0" w:color="auto"/>
              </w:divBdr>
            </w:div>
          </w:divsChild>
        </w:div>
        <w:div w:id="57635232">
          <w:marLeft w:val="0"/>
          <w:marRight w:val="0"/>
          <w:marTop w:val="0"/>
          <w:marBottom w:val="0"/>
          <w:divBdr>
            <w:top w:val="none" w:sz="0" w:space="0" w:color="auto"/>
            <w:left w:val="none" w:sz="0" w:space="0" w:color="auto"/>
            <w:bottom w:val="none" w:sz="0" w:space="0" w:color="auto"/>
            <w:right w:val="none" w:sz="0" w:space="0" w:color="auto"/>
          </w:divBdr>
          <w:divsChild>
            <w:div w:id="106105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375006">
      <w:bodyDiv w:val="1"/>
      <w:marLeft w:val="0"/>
      <w:marRight w:val="0"/>
      <w:marTop w:val="0"/>
      <w:marBottom w:val="0"/>
      <w:divBdr>
        <w:top w:val="none" w:sz="0" w:space="0" w:color="auto"/>
        <w:left w:val="none" w:sz="0" w:space="0" w:color="auto"/>
        <w:bottom w:val="none" w:sz="0" w:space="0" w:color="auto"/>
        <w:right w:val="none" w:sz="0" w:space="0" w:color="auto"/>
      </w:divBdr>
    </w:div>
    <w:div w:id="1374693152">
      <w:bodyDiv w:val="1"/>
      <w:marLeft w:val="0"/>
      <w:marRight w:val="0"/>
      <w:marTop w:val="0"/>
      <w:marBottom w:val="0"/>
      <w:divBdr>
        <w:top w:val="none" w:sz="0" w:space="0" w:color="auto"/>
        <w:left w:val="none" w:sz="0" w:space="0" w:color="auto"/>
        <w:bottom w:val="none" w:sz="0" w:space="0" w:color="auto"/>
        <w:right w:val="none" w:sz="0" w:space="0" w:color="auto"/>
      </w:divBdr>
    </w:div>
    <w:div w:id="1419404208">
      <w:bodyDiv w:val="1"/>
      <w:marLeft w:val="0"/>
      <w:marRight w:val="0"/>
      <w:marTop w:val="0"/>
      <w:marBottom w:val="0"/>
      <w:divBdr>
        <w:top w:val="none" w:sz="0" w:space="0" w:color="auto"/>
        <w:left w:val="none" w:sz="0" w:space="0" w:color="auto"/>
        <w:bottom w:val="none" w:sz="0" w:space="0" w:color="auto"/>
        <w:right w:val="none" w:sz="0" w:space="0" w:color="auto"/>
      </w:divBdr>
    </w:div>
    <w:div w:id="1448545962">
      <w:bodyDiv w:val="1"/>
      <w:marLeft w:val="0"/>
      <w:marRight w:val="0"/>
      <w:marTop w:val="0"/>
      <w:marBottom w:val="0"/>
      <w:divBdr>
        <w:top w:val="none" w:sz="0" w:space="0" w:color="auto"/>
        <w:left w:val="none" w:sz="0" w:space="0" w:color="auto"/>
        <w:bottom w:val="none" w:sz="0" w:space="0" w:color="auto"/>
        <w:right w:val="none" w:sz="0" w:space="0" w:color="auto"/>
      </w:divBdr>
    </w:div>
    <w:div w:id="1665163680">
      <w:bodyDiv w:val="1"/>
      <w:marLeft w:val="0"/>
      <w:marRight w:val="0"/>
      <w:marTop w:val="0"/>
      <w:marBottom w:val="0"/>
      <w:divBdr>
        <w:top w:val="none" w:sz="0" w:space="0" w:color="auto"/>
        <w:left w:val="none" w:sz="0" w:space="0" w:color="auto"/>
        <w:bottom w:val="none" w:sz="0" w:space="0" w:color="auto"/>
        <w:right w:val="none" w:sz="0" w:space="0" w:color="auto"/>
      </w:divBdr>
    </w:div>
    <w:div w:id="1911305872">
      <w:bodyDiv w:val="1"/>
      <w:marLeft w:val="0"/>
      <w:marRight w:val="0"/>
      <w:marTop w:val="0"/>
      <w:marBottom w:val="0"/>
      <w:divBdr>
        <w:top w:val="none" w:sz="0" w:space="0" w:color="auto"/>
        <w:left w:val="none" w:sz="0" w:space="0" w:color="auto"/>
        <w:bottom w:val="none" w:sz="0" w:space="0" w:color="auto"/>
        <w:right w:val="none" w:sz="0" w:space="0" w:color="auto"/>
      </w:divBdr>
    </w:div>
    <w:div w:id="1958901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E83776-E58C-4EBD-A93D-EA56525F3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934</TotalTime>
  <Pages>37</Pages>
  <Words>7543</Words>
  <Characters>42998</Characters>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2025-12-19T12:37:00Z</dcterms:created>
  <dcterms:modified xsi:type="dcterms:W3CDTF">2025-12-22T00:42:00Z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fa859716-cfef-4a52-b8e9-8c41677e290a</vt:lpwstr>
  </property>
</Properties>
</file>