
<file path=[Content_Types].xml><?xml version="1.0" encoding="utf-8"?>
<Types xmlns="http://schemas.openxmlformats.org/package/2006/content-types">
  <Default Extension="xml" ContentType="application/xml"/>
  <Default Extension="jpeg" ContentType="image/jpeg"/>
  <Default Extension="JPG" ContentType="image/.jpg"/>
  <Default Extension="gif" ContentType="image/gi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r>
        <w:rPr>
          <w:rFonts w:hint="default" w:ascii="Arial" w:hAnsi="Arial" w:cs="Arial"/>
          <w:sz w:val="24"/>
          <w:szCs w:val="24"/>
        </w:rPr>
        <w:t>Topic: Change management in Starbucks</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Style w:val="2"/>
        <w:keepNext/>
        <w:keepLines/>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color w:val="auto"/>
          <w:sz w:val="24"/>
          <w:szCs w:val="24"/>
        </w:rPr>
      </w:pPr>
      <w:bookmarkStart w:id="0" w:name="_Toc133398517"/>
      <w:r>
        <w:rPr>
          <w:rFonts w:hint="default" w:ascii="Arial" w:hAnsi="Arial" w:cs="Arial"/>
          <w:b/>
          <w:bCs/>
          <w:color w:val="auto"/>
          <w:sz w:val="24"/>
          <w:szCs w:val="24"/>
        </w:rPr>
        <w:t>1.0 Executive summary</w:t>
      </w:r>
      <w:bookmarkEnd w:id="0"/>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This report is assessing Starbucks’ organizational change that focused on achieving digital transformation. Starbucks implemented a change that was aimed at automating its processes and operations during the pandemic. The covid-19 pandemic forced Starbucks to look for ways of achieving contactless service delivery to help in containing the spread of coronavirus. The regulations put in place forced Starbucks to embrace the latest technologies to change its processes and operations. The implemented change helped Starbucks in achieving competitive advantages and meeting the diverse needs of tech-savvy customers. Models like the eight-step model, Force Field Analysis and Lewin’s change model are used in this report. The researcher made use of secondary data in providing insights into Starbucks’ change management.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19" w:name="_GoBack"/>
      <w:bookmarkEnd w:id="19"/>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sdt>
      <w:sdtPr>
        <w:rPr>
          <w:rFonts w:hint="default" w:ascii="Arial" w:hAnsi="Arial" w:cs="Arial"/>
          <w:color w:val="auto"/>
          <w:sz w:val="24"/>
          <w:szCs w:val="24"/>
        </w:rPr>
        <w:id w:val="-2053067385"/>
        <w:docPartObj>
          <w:docPartGallery w:val="Table of Contents"/>
          <w:docPartUnique/>
        </w:docPartObj>
      </w:sdtPr>
      <w:sdtEndPr>
        <w:rPr>
          <w:rFonts w:hint="default" w:ascii="Arial" w:hAnsi="Arial" w:cs="Arial" w:eastAsiaTheme="minorHAnsi"/>
          <w:b/>
          <w:bCs/>
          <w:color w:val="auto"/>
          <w:sz w:val="24"/>
          <w:szCs w:val="24"/>
        </w:rPr>
      </w:sdtEndPr>
      <w:sdtContent>
        <w:p>
          <w:pPr>
            <w:pStyle w:val="27"/>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Table of Contents</w:t>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TOC \o "1-3" \h \z \u </w:instrText>
          </w:r>
          <w:r>
            <w:rPr>
              <w:rFonts w:hint="default" w:ascii="Arial" w:hAnsi="Arial" w:cs="Arial"/>
              <w:sz w:val="24"/>
              <w:szCs w:val="24"/>
            </w:rPr>
            <w:fldChar w:fldCharType="separate"/>
          </w:r>
          <w:r>
            <w:rPr>
              <w:rFonts w:hint="default" w:ascii="Arial" w:hAnsi="Arial" w:cs="Arial"/>
              <w:sz w:val="24"/>
              <w:szCs w:val="24"/>
            </w:rPr>
            <w:fldChar w:fldCharType="begin"/>
          </w:r>
          <w:r>
            <w:rPr>
              <w:rFonts w:hint="default" w:ascii="Arial" w:hAnsi="Arial" w:cs="Arial"/>
              <w:sz w:val="24"/>
              <w:szCs w:val="24"/>
            </w:rPr>
            <w:instrText xml:space="preserve"> HYPERLINK \l "_Toc133398517" </w:instrText>
          </w:r>
          <w:r>
            <w:rPr>
              <w:rFonts w:hint="default" w:ascii="Arial" w:hAnsi="Arial" w:cs="Arial"/>
              <w:sz w:val="24"/>
              <w:szCs w:val="24"/>
            </w:rPr>
            <w:fldChar w:fldCharType="separate"/>
          </w:r>
          <w:r>
            <w:rPr>
              <w:rStyle w:val="17"/>
              <w:rFonts w:hint="default" w:ascii="Arial" w:hAnsi="Arial" w:cs="Arial"/>
              <w:color w:val="auto"/>
              <w:sz w:val="24"/>
              <w:szCs w:val="24"/>
            </w:rPr>
            <w:t>1.0 Executive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_Toc133398517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"_Toc133398518" </w:instrText>
          </w:r>
          <w:r>
            <w:rPr>
              <w:rFonts w:hint="default" w:ascii="Arial" w:hAnsi="Arial" w:cs="Arial"/>
              <w:sz w:val="24"/>
              <w:szCs w:val="24"/>
            </w:rPr>
            <w:fldChar w:fldCharType="separate"/>
          </w:r>
          <w:r>
            <w:rPr>
              <w:rStyle w:val="17"/>
              <w:rFonts w:hint="default" w:ascii="Arial" w:hAnsi="Arial" w:cs="Arial"/>
              <w:color w:val="auto"/>
              <w:sz w:val="24"/>
              <w:szCs w:val="24"/>
            </w:rPr>
            <w:t>2.0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_Toc133398518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"_Toc133398519" </w:instrText>
          </w:r>
          <w:r>
            <w:rPr>
              <w:rFonts w:hint="default" w:ascii="Arial" w:hAnsi="Arial" w:cs="Arial"/>
              <w:sz w:val="24"/>
              <w:szCs w:val="24"/>
            </w:rPr>
            <w:fldChar w:fldCharType="separate"/>
          </w:r>
          <w:r>
            <w:rPr>
              <w:rStyle w:val="17"/>
              <w:rFonts w:hint="default" w:ascii="Arial" w:hAnsi="Arial" w:cs="Arial"/>
              <w:color w:val="auto"/>
              <w:sz w:val="24"/>
              <w:szCs w:val="24"/>
            </w:rPr>
            <w:t>2.1 Starbucks’ External factors-PESTLE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_Toc133398519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"_Toc133398520" </w:instrText>
          </w:r>
          <w:r>
            <w:rPr>
              <w:rFonts w:hint="default" w:ascii="Arial" w:hAnsi="Arial" w:cs="Arial"/>
              <w:sz w:val="24"/>
              <w:szCs w:val="24"/>
            </w:rPr>
            <w:fldChar w:fldCharType="separate"/>
          </w:r>
          <w:r>
            <w:rPr>
              <w:rStyle w:val="17"/>
              <w:rFonts w:hint="default" w:ascii="Arial" w:hAnsi="Arial" w:cs="Arial"/>
              <w:color w:val="auto"/>
              <w:sz w:val="24"/>
              <w:szCs w:val="24"/>
            </w:rPr>
            <w:t>2.2 Starbucks’ Internal factors-SWOT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_Toc133398520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"_Toc133398521" </w:instrText>
          </w:r>
          <w:r>
            <w:rPr>
              <w:rFonts w:hint="default" w:ascii="Arial" w:hAnsi="Arial" w:cs="Arial"/>
              <w:sz w:val="24"/>
              <w:szCs w:val="24"/>
            </w:rPr>
            <w:fldChar w:fldCharType="separate"/>
          </w:r>
          <w:r>
            <w:rPr>
              <w:rStyle w:val="17"/>
              <w:rFonts w:hint="default" w:ascii="Arial" w:hAnsi="Arial" w:cs="Arial"/>
              <w:color w:val="auto"/>
              <w:sz w:val="24"/>
              <w:szCs w:val="24"/>
            </w:rPr>
            <w:t>3.0 Research methods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_Toc133398521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"_Toc133398522" </w:instrText>
          </w:r>
          <w:r>
            <w:rPr>
              <w:rFonts w:hint="default" w:ascii="Arial" w:hAnsi="Arial" w:cs="Arial"/>
              <w:sz w:val="24"/>
              <w:szCs w:val="24"/>
            </w:rPr>
            <w:fldChar w:fldCharType="separate"/>
          </w:r>
          <w:r>
            <w:rPr>
              <w:rStyle w:val="17"/>
              <w:rFonts w:hint="default" w:ascii="Arial" w:hAnsi="Arial" w:cs="Arial"/>
              <w:color w:val="auto"/>
              <w:sz w:val="24"/>
              <w:szCs w:val="24"/>
            </w:rPr>
            <w:t>4.0 Findings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_Toc133398522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"_Toc133398523" </w:instrText>
          </w:r>
          <w:r>
            <w:rPr>
              <w:rFonts w:hint="default" w:ascii="Arial" w:hAnsi="Arial" w:cs="Arial"/>
              <w:sz w:val="24"/>
              <w:szCs w:val="24"/>
            </w:rPr>
            <w:fldChar w:fldCharType="separate"/>
          </w:r>
          <w:r>
            <w:rPr>
              <w:rStyle w:val="17"/>
              <w:rFonts w:hint="default" w:ascii="Arial" w:hAnsi="Arial" w:cs="Arial"/>
              <w:color w:val="auto"/>
              <w:sz w:val="24"/>
              <w:szCs w:val="24"/>
            </w:rPr>
            <w:t>4.1 Starbucks’ Force Field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_Toc133398523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pPr>
            <w:pStyle w:val="7"/>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"_Toc133398524" </w:instrText>
          </w:r>
          <w:r>
            <w:rPr>
              <w:rFonts w:hint="default" w:ascii="Arial" w:hAnsi="Arial" w:cs="Arial"/>
              <w:sz w:val="24"/>
              <w:szCs w:val="24"/>
            </w:rPr>
            <w:fldChar w:fldCharType="separate"/>
          </w:r>
          <w:r>
            <w:rPr>
              <w:rStyle w:val="17"/>
              <w:rFonts w:hint="default" w:ascii="Arial" w:hAnsi="Arial" w:cs="Arial"/>
              <w:color w:val="auto"/>
              <w:sz w:val="24"/>
              <w:szCs w:val="24"/>
            </w:rPr>
            <w:t>4.1.1 Drivers of change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_Toc133398524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7"/>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"_Toc133398525" </w:instrText>
          </w:r>
          <w:r>
            <w:rPr>
              <w:rFonts w:hint="default" w:ascii="Arial" w:hAnsi="Arial" w:cs="Arial"/>
              <w:sz w:val="24"/>
              <w:szCs w:val="24"/>
            </w:rPr>
            <w:fldChar w:fldCharType="separate"/>
          </w:r>
          <w:r>
            <w:rPr>
              <w:rStyle w:val="17"/>
              <w:rFonts w:hint="default" w:ascii="Arial" w:hAnsi="Arial" w:cs="Arial"/>
              <w:color w:val="auto"/>
              <w:sz w:val="24"/>
              <w:szCs w:val="24"/>
            </w:rPr>
            <w:t>4.1.2 The forces restraining change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_Toc133398525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"_Toc133398526" </w:instrText>
          </w:r>
          <w:r>
            <w:rPr>
              <w:rFonts w:hint="default" w:ascii="Arial" w:hAnsi="Arial" w:cs="Arial"/>
              <w:sz w:val="24"/>
              <w:szCs w:val="24"/>
            </w:rPr>
            <w:fldChar w:fldCharType="separate"/>
          </w:r>
          <w:r>
            <w:rPr>
              <w:rStyle w:val="17"/>
              <w:rFonts w:hint="default" w:ascii="Arial" w:hAnsi="Arial" w:cs="Arial"/>
              <w:color w:val="auto"/>
              <w:sz w:val="24"/>
              <w:szCs w:val="24"/>
            </w:rPr>
            <w:t>4.2 Starbucks’ change process using Lewin’s change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_Toc133398526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"_Toc133398527" </w:instrText>
          </w:r>
          <w:r>
            <w:rPr>
              <w:rFonts w:hint="default" w:ascii="Arial" w:hAnsi="Arial" w:cs="Arial"/>
              <w:sz w:val="24"/>
              <w:szCs w:val="24"/>
            </w:rPr>
            <w:fldChar w:fldCharType="separate"/>
          </w:r>
          <w:r>
            <w:rPr>
              <w:rStyle w:val="17"/>
              <w:rFonts w:hint="default" w:ascii="Arial" w:hAnsi="Arial" w:cs="Arial"/>
              <w:color w:val="auto"/>
              <w:sz w:val="24"/>
              <w:szCs w:val="24"/>
            </w:rPr>
            <w:t>4.3 Kotler eight steps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_Toc133398527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"_Toc133398528" </w:instrText>
          </w:r>
          <w:r>
            <w:rPr>
              <w:rFonts w:hint="default" w:ascii="Arial" w:hAnsi="Arial" w:cs="Arial"/>
              <w:sz w:val="24"/>
              <w:szCs w:val="24"/>
            </w:rPr>
            <w:fldChar w:fldCharType="separate"/>
          </w:r>
          <w:r>
            <w:rPr>
              <w:rStyle w:val="17"/>
              <w:rFonts w:hint="default" w:ascii="Arial" w:hAnsi="Arial" w:cs="Arial"/>
              <w:color w:val="auto"/>
              <w:sz w:val="24"/>
              <w:szCs w:val="24"/>
            </w:rPr>
            <w:t>5.0 Discussion and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_Toc133398528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"_Toc133398529" </w:instrText>
          </w:r>
          <w:r>
            <w:rPr>
              <w:rFonts w:hint="default" w:ascii="Arial" w:hAnsi="Arial" w:cs="Arial"/>
              <w:sz w:val="24"/>
              <w:szCs w:val="24"/>
            </w:rPr>
            <w:fldChar w:fldCharType="separate"/>
          </w:r>
          <w:r>
            <w:rPr>
              <w:rStyle w:val="17"/>
              <w:rFonts w:hint="default" w:ascii="Arial" w:hAnsi="Arial" w:cs="Arial"/>
              <w:color w:val="auto"/>
              <w:sz w:val="24"/>
              <w:szCs w:val="24"/>
            </w:rPr>
            <w:t>5.1 Starbucks’ change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_Toc133398529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"_Toc133398530" </w:instrText>
          </w:r>
          <w:r>
            <w:rPr>
              <w:rFonts w:hint="default" w:ascii="Arial" w:hAnsi="Arial" w:cs="Arial"/>
              <w:sz w:val="24"/>
              <w:szCs w:val="24"/>
            </w:rPr>
            <w:fldChar w:fldCharType="separate"/>
          </w:r>
          <w:r>
            <w:rPr>
              <w:rStyle w:val="17"/>
              <w:rFonts w:hint="default" w:ascii="Arial" w:hAnsi="Arial" w:cs="Arial"/>
              <w:color w:val="auto"/>
              <w:sz w:val="24"/>
              <w:szCs w:val="24"/>
            </w:rPr>
            <w:t>5.2 Stakeholder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_Toc133398530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"_Toc133398531" </w:instrText>
          </w:r>
          <w:r>
            <w:rPr>
              <w:rFonts w:hint="default" w:ascii="Arial" w:hAnsi="Arial" w:cs="Arial"/>
              <w:sz w:val="24"/>
              <w:szCs w:val="24"/>
            </w:rPr>
            <w:fldChar w:fldCharType="separate"/>
          </w:r>
          <w:r>
            <w:rPr>
              <w:rStyle w:val="17"/>
              <w:rFonts w:hint="default" w:ascii="Arial" w:hAnsi="Arial" w:cs="Arial"/>
              <w:color w:val="auto"/>
              <w:sz w:val="24"/>
              <w:szCs w:val="24"/>
            </w:rPr>
            <w:t>5.3 Leadership and change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_Toc133398531 \h </w:instrText>
          </w:r>
          <w:r>
            <w:rPr>
              <w:rFonts w:hint="default" w:ascii="Arial" w:hAnsi="Arial" w:cs="Arial"/>
              <w:sz w:val="24"/>
              <w:szCs w:val="24"/>
            </w:rPr>
            <w:fldChar w:fldCharType="separate"/>
          </w:r>
          <w:r>
            <w:rPr>
              <w:rFonts w:hint="default" w:ascii="Arial" w:hAnsi="Arial" w:cs="Arial"/>
              <w:sz w:val="24"/>
              <w:szCs w:val="24"/>
            </w:rPr>
            <w:t>17</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"_Toc133398532" </w:instrText>
          </w:r>
          <w:r>
            <w:rPr>
              <w:rFonts w:hint="default" w:ascii="Arial" w:hAnsi="Arial" w:cs="Arial"/>
              <w:sz w:val="24"/>
              <w:szCs w:val="24"/>
            </w:rPr>
            <w:fldChar w:fldCharType="separate"/>
          </w:r>
          <w:r>
            <w:rPr>
              <w:rStyle w:val="17"/>
              <w:rFonts w:hint="default" w:ascii="Arial" w:hAnsi="Arial" w:cs="Arial"/>
              <w:color w:val="auto"/>
              <w:sz w:val="24"/>
              <w:szCs w:val="24"/>
            </w:rPr>
            <w:t>6.0 Conclusions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_Toc133398532 \h </w:instrText>
          </w:r>
          <w:r>
            <w:rPr>
              <w:rFonts w:hint="default" w:ascii="Arial" w:hAnsi="Arial" w:cs="Arial"/>
              <w:sz w:val="24"/>
              <w:szCs w:val="24"/>
            </w:rPr>
            <w:fldChar w:fldCharType="separate"/>
          </w:r>
          <w:r>
            <w:rPr>
              <w:rFonts w:hint="default" w:ascii="Arial" w:hAnsi="Arial" w:cs="Arial"/>
              <w:sz w:val="24"/>
              <w:szCs w:val="24"/>
            </w:rPr>
            <w:t>18</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"_Toc133398533" </w:instrText>
          </w:r>
          <w:r>
            <w:rPr>
              <w:rFonts w:hint="default" w:ascii="Arial" w:hAnsi="Arial" w:cs="Arial"/>
              <w:sz w:val="24"/>
              <w:szCs w:val="24"/>
            </w:rPr>
            <w:fldChar w:fldCharType="separate"/>
          </w:r>
          <w:r>
            <w:rPr>
              <w:rStyle w:val="17"/>
              <w:rFonts w:hint="default" w:ascii="Arial" w:hAnsi="Arial" w:cs="Arial"/>
              <w:color w:val="auto"/>
              <w:sz w:val="24"/>
              <w:szCs w:val="24"/>
            </w:rPr>
            <w:t>7.0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_Toc133398533 \h </w:instrText>
          </w:r>
          <w:r>
            <w:rPr>
              <w:rFonts w:hint="default" w:ascii="Arial" w:hAnsi="Arial" w:cs="Arial"/>
              <w:sz w:val="24"/>
              <w:szCs w:val="24"/>
            </w:rPr>
            <w:fldChar w:fldCharType="separate"/>
          </w:r>
          <w:r>
            <w:rPr>
              <w:rFonts w:hint="default" w:ascii="Arial" w:hAnsi="Arial" w:cs="Arial"/>
              <w:sz w:val="24"/>
              <w:szCs w:val="24"/>
            </w:rPr>
            <w:t>19</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"_Toc133398534" </w:instrText>
          </w:r>
          <w:r>
            <w:rPr>
              <w:rFonts w:hint="default" w:ascii="Arial" w:hAnsi="Arial" w:cs="Arial"/>
              <w:sz w:val="24"/>
              <w:szCs w:val="24"/>
            </w:rPr>
            <w:fldChar w:fldCharType="separate"/>
          </w:r>
          <w:r>
            <w:rPr>
              <w:rStyle w:val="17"/>
              <w:rFonts w:hint="default" w:ascii="Arial" w:hAnsi="Arial" w:cs="Arial"/>
              <w:color w:val="auto"/>
              <w:sz w:val="24"/>
              <w:szCs w:val="24"/>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_Toc133398534 \h </w:instrText>
          </w:r>
          <w:r>
            <w:rPr>
              <w:rFonts w:hint="default" w:ascii="Arial" w:hAnsi="Arial" w:cs="Arial"/>
              <w:sz w:val="24"/>
              <w:szCs w:val="24"/>
            </w:rPr>
            <w:fldChar w:fldCharType="separate"/>
          </w:r>
          <w:r>
            <w:rPr>
              <w:rFonts w:hint="default" w:ascii="Arial" w:hAnsi="Arial" w:cs="Arial"/>
              <w:sz w:val="24"/>
              <w:szCs w:val="24"/>
            </w:rPr>
            <w:t>21</w:t>
          </w:r>
          <w:r>
            <w:rPr>
              <w:rFonts w:hint="default" w:ascii="Arial" w:hAnsi="Arial" w:cs="Arial"/>
              <w:sz w:val="24"/>
              <w:szCs w:val="24"/>
            </w:rPr>
            <w:fldChar w:fldCharType="end"/>
          </w:r>
          <w:r>
            <w:rPr>
              <w:rFonts w:hint="default" w:ascii="Arial" w:hAnsi="Arial" w:cs="Arial"/>
              <w:sz w:val="24"/>
              <w:szCs w:val="24"/>
            </w:rPr>
            <w:fldChar w:fldCharType="end"/>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fldChar w:fldCharType="end"/>
          </w:r>
        </w:p>
      </w:sdtContent>
    </w:sdt>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color w:val="auto"/>
          <w:sz w:val="24"/>
          <w:szCs w:val="24"/>
        </w:rPr>
      </w:pPr>
      <w:bookmarkStart w:id="1" w:name="_Toc133398518"/>
      <w:r>
        <w:rPr>
          <w:rFonts w:hint="default" w:ascii="Arial" w:hAnsi="Arial" w:cs="Arial"/>
          <w:b/>
          <w:bCs/>
          <w:color w:val="auto"/>
          <w:sz w:val="24"/>
          <w:szCs w:val="24"/>
        </w:rPr>
        <w:t>2.0 Introduction</w:t>
      </w:r>
      <w:bookmarkEnd w:id="1"/>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The change scenario researched focused on the change management of Starbucks during the covid-19 pandemic. The covid-19 pandemic has forced Starbucks to embrace new technologies making it appropriate to embrace change management practices leading to the automation of processes and operations (Kang and Bi, 2022). The pandemic has made it appropriate for Starbucks to develop a digital transformation strategy necessary for automating the way services are offered. Starbucks is a coffeehouse chain that has operations globally but is based in America (Lombardi, Chidiac and Record, 2021). The products offered by Starbucks include snacks, pastries, juices, whole-bean coffee, espresso and soft drinks. Change management has remained crucial for Starbucks to achieve competitive advantages as it has kept pace with technological changes. Starbucks is among the companies that have experienced great change due to technological advancements. Change management in Starbucks has been focusing on enhancing service delivery and achieving competitive advantages in the industry (Chen and Biswas, 2021). Starbucks has ensured that the latest technologies are adopted to meet the diverse needs of customers. It has ensured that the service delivery process is automated to improve efficiency and offer high-quality products.  The information was collected using secondary data sources.</w:t>
      </w: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2" w:name="_Toc133398519"/>
      <w:r>
        <w:rPr>
          <w:rFonts w:hint="default" w:ascii="Arial" w:hAnsi="Arial" w:cs="Arial"/>
          <w:sz w:val="24"/>
          <w:szCs w:val="24"/>
        </w:rPr>
        <w:t>2.1 Starbucks’ External factors-PESTLE Analysis</w:t>
      </w:r>
      <w:bookmarkEnd w:id="2"/>
      <w:r>
        <w:rPr>
          <w:rFonts w:hint="default" w:ascii="Arial" w:hAnsi="Arial" w:cs="Arial"/>
          <w:sz w:val="24"/>
          <w:szCs w:val="24"/>
        </w:rPr>
        <w:t xml:space="preserv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Political factors</w:t>
      </w:r>
      <w:r>
        <w:rPr>
          <w:rFonts w:hint="default" w:ascii="Arial" w:hAnsi="Arial" w:cs="Arial"/>
          <w:sz w:val="24"/>
          <w:szCs w:val="24"/>
        </w:rPr>
        <w:t xml:space="preserve">: Starbucks is affected by political factors like tax policies that affect revenues, political stability aspects in the host countries and bureaucracies that affect operations (Lombardi, Chidiac and Record, 2021). Starbucks is usually expected to operate while aligning its operations with the political environment in place.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Economic factors</w:t>
      </w:r>
      <w:r>
        <w:rPr>
          <w:rFonts w:hint="default" w:ascii="Arial" w:hAnsi="Arial" w:cs="Arial"/>
          <w:sz w:val="24"/>
          <w:szCs w:val="24"/>
        </w:rPr>
        <w:t xml:space="preserve">: Starbucks is affected by economic factors like increased costs of labor charges and raw materials.  High taxation that is imposed on farmers leads to high prices for materials. Exchange rate fluctuations affect Starbucks especially when importing coffee supplies (Kang and Bi, 2022). Competitive pricing in the industry leads to price wars making Starbucks experience a decline in profits.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Social factors:</w:t>
      </w:r>
      <w:r>
        <w:rPr>
          <w:rFonts w:hint="default" w:ascii="Arial" w:hAnsi="Arial" w:cs="Arial"/>
          <w:sz w:val="24"/>
          <w:szCs w:val="24"/>
        </w:rPr>
        <w:t xml:space="preserve"> Starbucks is affected by social factors like consumer trends, and changes in lifestyles. The management has focused on implementing the appropriate change initiatives to ensure products are aligned with consumer trends and lifestyles (Yu, et al., 2021).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Technological factors</w:t>
      </w:r>
      <w:r>
        <w:rPr>
          <w:rFonts w:hint="default" w:ascii="Arial" w:hAnsi="Arial" w:cs="Arial"/>
          <w:sz w:val="24"/>
          <w:szCs w:val="24"/>
        </w:rPr>
        <w:t xml:space="preserve">: Starbucks is affected by technological aspects like mobile technologies, and technological advancements (Lombardi, Chidiac and Record, 2021). Many people are utilizing internet-supported gadgets making it to access products and services offered online.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Ecological factors</w:t>
      </w:r>
      <w:r>
        <w:rPr>
          <w:rFonts w:hint="default" w:ascii="Arial" w:hAnsi="Arial" w:cs="Arial"/>
          <w:sz w:val="24"/>
          <w:szCs w:val="24"/>
        </w:rPr>
        <w:t xml:space="preserve">: Starbucks is affected by climate change and sustainability trends. For example, climate change has affected supplies of coffee. Sustainability trends are leading to an increased number of consumers who are environmentally conscious (Chuang, 2019). As a result, Starbucks embraces sustainability initiatives like recyclable packaging.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Legal factors</w:t>
      </w:r>
      <w:r>
        <w:rPr>
          <w:rFonts w:hint="default" w:ascii="Arial" w:hAnsi="Arial" w:cs="Arial"/>
          <w:sz w:val="24"/>
          <w:szCs w:val="24"/>
        </w:rPr>
        <w:t xml:space="preserve">: Starbucks is affected by legal factors like product safety regulations, employment laws, employee rights and licensing regulations. Starbucks has ensured that there is proper compliance with the regulations and laws put in place. </w:t>
      </w: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3" w:name="_Toc133398520"/>
      <w:r>
        <w:rPr>
          <w:rFonts w:hint="default" w:ascii="Arial" w:hAnsi="Arial" w:cs="Arial"/>
          <w:sz w:val="24"/>
          <w:szCs w:val="24"/>
        </w:rPr>
        <w:t>2.2 Starbucks’ Internal factors-SWOT analysis</w:t>
      </w:r>
      <w:bookmarkEnd w:id="3"/>
      <w:r>
        <w:rPr>
          <w:rFonts w:hint="default" w:ascii="Arial" w:hAnsi="Arial" w:cs="Arial"/>
          <w:sz w:val="24"/>
          <w:szCs w:val="24"/>
        </w:rPr>
        <w:t xml:space="preserv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Strengths</w:t>
      </w:r>
      <w:r>
        <w:rPr>
          <w:rFonts w:hint="default" w:ascii="Arial" w:hAnsi="Arial" w:cs="Arial"/>
          <w:sz w:val="24"/>
          <w:szCs w:val="24"/>
        </w:rPr>
        <w:t xml:space="preserve">: Starbucks’ strengths include strong brand recognition, strong financial performance, global presence, strong digital presence, strong customer loyalty, commitment to sustainability and innovative business model (Subramaniam, 2020).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Weaknesses</w:t>
      </w:r>
      <w:r>
        <w:rPr>
          <w:rFonts w:hint="default" w:ascii="Arial" w:hAnsi="Arial" w:cs="Arial"/>
          <w:sz w:val="24"/>
          <w:szCs w:val="24"/>
        </w:rPr>
        <w:t xml:space="preserve">: Starbucks’ weaknesses include high dependence on coffee, as the main product line. Also, limited international expansion and commodity price fluctuations are other weaknesses of Starbucks (Basak, et al., 2020). However, Starbucks has focused on addressing these weaknesses by automating its processes and operations to increase demand.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Opportunities:</w:t>
      </w:r>
      <w:r>
        <w:rPr>
          <w:rFonts w:hint="default" w:ascii="Arial" w:hAnsi="Arial" w:cs="Arial"/>
          <w:sz w:val="24"/>
          <w:szCs w:val="24"/>
        </w:rPr>
        <w:t xml:space="preserve"> Starbucks’ opportunities include technological advancements, online shopping behaviors, adoption of price differentiation, coffee subscription, product diversification, acquisition of complementary brands, partnerships with other brands, and expansion into new markets (Liu, 2022).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Threats:</w:t>
      </w:r>
      <w:r>
        <w:rPr>
          <w:rFonts w:hint="default" w:ascii="Arial" w:hAnsi="Arial" w:cs="Arial"/>
          <w:sz w:val="24"/>
          <w:szCs w:val="24"/>
        </w:rPr>
        <w:t xml:space="preserve"> Starbucks’s threats include stiff competition, dynamic consumer trends, economic downtowns, employee turnover, and sourcing challenges (Yu, et al., 2021). </w:t>
      </w:r>
    </w:p>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color w:val="auto"/>
          <w:sz w:val="24"/>
          <w:szCs w:val="24"/>
        </w:rPr>
      </w:pPr>
      <w:bookmarkStart w:id="4" w:name="_Toc133398521"/>
      <w:r>
        <w:rPr>
          <w:rFonts w:hint="default" w:ascii="Arial" w:hAnsi="Arial" w:cs="Arial"/>
          <w:b/>
          <w:bCs/>
          <w:color w:val="auto"/>
          <w:sz w:val="24"/>
          <w:szCs w:val="24"/>
        </w:rPr>
        <w:t>3.0 Research methods</w:t>
      </w:r>
      <w:bookmarkEnd w:id="4"/>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The researcher embraced secondary data in this study. The secondary data research focused on utilizing articles and journals about change management at Starbucks. The utilization of secondary data made it possible for the researcher to access the relevant information online. The researcher analyzed the online collected information about Starbucks to reveal the way change is managed. The use of secondary data has some benefits such as increasing access to relevant information and saving time as well as expenses associated with data collection (Spurlock, 2020). Content analysis was used as the analytical technique. The collected secondary data was analyzed using content analysis to establish the way Starbucks managed change.   </w:t>
      </w:r>
    </w:p>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color w:val="auto"/>
          <w:sz w:val="24"/>
          <w:szCs w:val="24"/>
        </w:rPr>
      </w:pPr>
      <w:bookmarkStart w:id="5" w:name="_Toc133398522"/>
      <w:r>
        <w:rPr>
          <w:rFonts w:hint="default" w:ascii="Arial" w:hAnsi="Arial" w:cs="Arial"/>
          <w:b/>
          <w:bCs/>
          <w:color w:val="auto"/>
          <w:sz w:val="24"/>
          <w:szCs w:val="24"/>
        </w:rPr>
        <w:t>4.0 Findings</w:t>
      </w:r>
      <w:bookmarkEnd w:id="5"/>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6" w:name="_Toc133398523"/>
      <w:r>
        <w:rPr>
          <w:rFonts w:hint="default" w:ascii="Arial" w:hAnsi="Arial" w:cs="Arial"/>
          <w:sz w:val="24"/>
          <w:szCs w:val="24"/>
        </w:rPr>
        <w:t>4.1 Starbucks’ Force Field Analysis</w:t>
      </w:r>
      <w:bookmarkEnd w:id="6"/>
      <w:r>
        <w:rPr>
          <w:rFonts w:hint="default" w:ascii="Arial" w:hAnsi="Arial" w:cs="Arial"/>
          <w:sz w:val="24"/>
          <w:szCs w:val="24"/>
        </w:rPr>
        <w:t xml:space="preserv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Lewin noted that the opposing forces that exist during change management lead to the dynamic equilibrium state (Lewis, 2019). A change results in two forces one encouraging change while the other resisting change. The forces that were driving the changes in Starbucks included digitalization, competition, organizational culture and leadership. The forces restraining the change included high costs and change resistance. The driving forces in the change outweighed the forces restraining the change thus making it possible to implement the change. This made it possible for Starbucks to successfully automate its operations and services during the pandemic.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Figure 1: showing Force Field analysis model</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r>
        <w:rPr>
          <w:rFonts w:hint="default" w:ascii="Arial" w:hAnsi="Arial" w:cs="Arial"/>
          <w:sz w:val="24"/>
          <w:szCs w:val="24"/>
        </w:rPr>
        <w:drawing>
          <wp:inline distT="0" distB="0" distL="0" distR="0">
            <wp:extent cx="4229100" cy="3048000"/>
            <wp:effectExtent l="0" t="0" r="0" b="0"/>
            <wp:docPr id="933287860" name="Picture 1" descr="Organizational Change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287860" name="Picture 1" descr="Organizational Change - ppt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229100" cy="3048000"/>
                    </a:xfrm>
                    <a:prstGeom prst="rect">
                      <a:avLst/>
                    </a:prstGeom>
                    <a:noFill/>
                    <a:ln>
                      <a:noFill/>
                    </a:ln>
                  </pic:spPr>
                </pic:pic>
              </a:graphicData>
            </a:graphic>
          </wp:inline>
        </w:drawing>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Source: </w:t>
      </w:r>
      <w:r>
        <w:rPr>
          <w:rFonts w:hint="default" w:ascii="Arial" w:hAnsi="Arial" w:cs="Arial"/>
          <w:sz w:val="24"/>
          <w:szCs w:val="24"/>
          <w:shd w:val="clear" w:color="auto" w:fill="FFFFFF"/>
        </w:rPr>
        <w:t xml:space="preserve">Mak and Chang (2019). </w:t>
      </w:r>
    </w:p>
    <w:p>
      <w:pPr>
        <w:pStyle w:val="4"/>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7" w:name="_Toc133398524"/>
      <w:r>
        <w:rPr>
          <w:rFonts w:hint="default" w:ascii="Arial" w:hAnsi="Arial" w:cs="Arial"/>
          <w:sz w:val="24"/>
          <w:szCs w:val="24"/>
        </w:rPr>
        <w:t>4.1.1 Drivers of change</w:t>
      </w:r>
      <w:bookmarkEnd w:id="7"/>
      <w:r>
        <w:rPr>
          <w:rFonts w:hint="default" w:ascii="Arial" w:hAnsi="Arial" w:cs="Arial"/>
          <w:sz w:val="24"/>
          <w:szCs w:val="24"/>
        </w:rPr>
        <w:t xml:space="preserv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Digitalization:</w:t>
      </w:r>
      <w:r>
        <w:rPr>
          <w:rFonts w:hint="default" w:ascii="Arial" w:hAnsi="Arial" w:cs="Arial"/>
          <w:sz w:val="24"/>
          <w:szCs w:val="24"/>
        </w:rPr>
        <w:t xml:space="preserve"> Digitalization is among the main drivers of change in Starbucks. For example, Starbucks has managed to successfully achieve digital transformation. The digital transformation embraced by Starbucks supports the automation of processes and operations (</w:t>
      </w:r>
      <w:r>
        <w:rPr>
          <w:rFonts w:hint="default" w:ascii="Arial" w:hAnsi="Arial" w:cs="Arial"/>
          <w:sz w:val="24"/>
          <w:szCs w:val="24"/>
          <w:shd w:val="clear" w:color="auto" w:fill="FFFFFF"/>
        </w:rPr>
        <w:t>Basak, et al., 2020)</w:t>
      </w:r>
      <w:r>
        <w:rPr>
          <w:rFonts w:hint="default" w:ascii="Arial" w:hAnsi="Arial" w:cs="Arial"/>
          <w:sz w:val="24"/>
          <w:szCs w:val="24"/>
        </w:rPr>
        <w:t xml:space="preserve">. During the pandemic, Starbucks managed to automate its operations and processes because it has a digital transformation strategy focusing on embracing the latest technologies.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Competition</w:t>
      </w:r>
      <w:r>
        <w:rPr>
          <w:rFonts w:hint="default" w:ascii="Arial" w:hAnsi="Arial" w:cs="Arial"/>
          <w:sz w:val="24"/>
          <w:szCs w:val="24"/>
        </w:rPr>
        <w:t>: Competition is another change driver as Starbucks focused on increasing its competitiveness (</w:t>
      </w:r>
      <w:r>
        <w:rPr>
          <w:rFonts w:hint="default" w:ascii="Arial" w:hAnsi="Arial" w:cs="Arial"/>
          <w:sz w:val="24"/>
          <w:szCs w:val="24"/>
          <w:shd w:val="clear" w:color="auto" w:fill="FFFFFF"/>
        </w:rPr>
        <w:t>Bai, 2023)</w:t>
      </w:r>
      <w:r>
        <w:rPr>
          <w:rFonts w:hint="default" w:ascii="Arial" w:hAnsi="Arial" w:cs="Arial"/>
          <w:sz w:val="24"/>
          <w:szCs w:val="24"/>
        </w:rPr>
        <w:t>. The use of the latest technologies during the pandemic helped Starbucks in meeting the needs of tech-savvy customers. Consumer behavior has changed as many customers are increasingly embracing online shopping (</w:t>
      </w:r>
      <w:r>
        <w:rPr>
          <w:rFonts w:hint="default" w:ascii="Arial" w:hAnsi="Arial" w:cs="Arial"/>
          <w:sz w:val="24"/>
          <w:szCs w:val="24"/>
          <w:shd w:val="clear" w:color="auto" w:fill="FFFFFF"/>
        </w:rPr>
        <w:t>Subramaniam, 2020)</w:t>
      </w:r>
      <w:r>
        <w:rPr>
          <w:rFonts w:hint="default" w:ascii="Arial" w:hAnsi="Arial" w:cs="Arial"/>
          <w:sz w:val="24"/>
          <w:szCs w:val="24"/>
        </w:rPr>
        <w:t xml:space="preserve">. Customers during the pandemic started seeking contactless services hence automation helped Starbucks in meeting their needs.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Organizational culture</w:t>
      </w:r>
      <w:r>
        <w:rPr>
          <w:rFonts w:hint="default" w:ascii="Arial" w:hAnsi="Arial" w:cs="Arial"/>
          <w:sz w:val="24"/>
          <w:szCs w:val="24"/>
        </w:rPr>
        <w:t>: Starbucks’ organizational culture supports change implementation. The organizational culture embraced by Starbucks focuses on making sure services and products are aligned with the customer’s needs (</w:t>
      </w:r>
      <w:r>
        <w:rPr>
          <w:rFonts w:hint="default" w:ascii="Arial" w:hAnsi="Arial" w:cs="Arial"/>
          <w:sz w:val="24"/>
          <w:szCs w:val="24"/>
          <w:shd w:val="clear" w:color="auto" w:fill="FFFFFF"/>
        </w:rPr>
        <w:t>Avdeeva, et al., 2021)</w:t>
      </w:r>
      <w:r>
        <w:rPr>
          <w:rFonts w:hint="default" w:ascii="Arial" w:hAnsi="Arial" w:cs="Arial"/>
          <w:sz w:val="24"/>
          <w:szCs w:val="24"/>
        </w:rPr>
        <w:t xml:space="preserve">. Starbucks’s organizational culture ensures strategies embraced are aligned with external business environments. As a result, change implementation was highly supported by the organizational culture.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Leadership:</w:t>
      </w:r>
      <w:r>
        <w:rPr>
          <w:rFonts w:hint="default" w:ascii="Arial" w:hAnsi="Arial" w:cs="Arial"/>
          <w:sz w:val="24"/>
          <w:szCs w:val="24"/>
        </w:rPr>
        <w:t xml:space="preserve"> Starbucks’ leadership helped in driving the change. Leaders at Starbucks understood the need to automate operations in order to comply with covid 19 regulations (</w:t>
      </w:r>
      <w:r>
        <w:rPr>
          <w:rFonts w:hint="default" w:ascii="Arial" w:hAnsi="Arial" w:cs="Arial"/>
          <w:sz w:val="24"/>
          <w:szCs w:val="24"/>
          <w:shd w:val="clear" w:color="auto" w:fill="FFFFFF"/>
        </w:rPr>
        <w:t>He, Xiang and Yin, 2021)</w:t>
      </w:r>
      <w:r>
        <w:rPr>
          <w:rFonts w:hint="default" w:ascii="Arial" w:hAnsi="Arial" w:cs="Arial"/>
          <w:sz w:val="24"/>
          <w:szCs w:val="24"/>
        </w:rPr>
        <w:t xml:space="preserve">. The top management provided the needed resources to support the overall implementation of the change. </w:t>
      </w:r>
    </w:p>
    <w:p>
      <w:pPr>
        <w:pStyle w:val="4"/>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8" w:name="_Toc133398525"/>
      <w:r>
        <w:rPr>
          <w:rFonts w:hint="default" w:ascii="Arial" w:hAnsi="Arial" w:cs="Arial"/>
          <w:sz w:val="24"/>
          <w:szCs w:val="24"/>
        </w:rPr>
        <w:t>4.1.2 The forces restraining change</w:t>
      </w:r>
      <w:bookmarkEnd w:id="8"/>
      <w:r>
        <w:rPr>
          <w:rFonts w:hint="default" w:ascii="Arial" w:hAnsi="Arial" w:cs="Arial"/>
          <w:sz w:val="24"/>
          <w:szCs w:val="24"/>
        </w:rPr>
        <w:t xml:space="preserv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Change resistance</w:t>
      </w:r>
      <w:r>
        <w:rPr>
          <w:rFonts w:hint="default" w:ascii="Arial" w:hAnsi="Arial" w:cs="Arial"/>
          <w:sz w:val="24"/>
          <w:szCs w:val="24"/>
        </w:rPr>
        <w:t>: Resistance to change was a major force that restrained the change implementation. The resistance was mainly from employees who did not understand the need for change. The workers had the fear of losing their jobs due to automation (</w:t>
      </w:r>
      <w:r>
        <w:rPr>
          <w:rFonts w:hint="default" w:ascii="Arial" w:hAnsi="Arial" w:cs="Arial"/>
          <w:sz w:val="24"/>
          <w:szCs w:val="24"/>
          <w:shd w:val="clear" w:color="auto" w:fill="FFFFFF"/>
        </w:rPr>
        <w:t>Avdeeva, et al., 2021)</w:t>
      </w:r>
      <w:r>
        <w:rPr>
          <w:rFonts w:hint="default" w:ascii="Arial" w:hAnsi="Arial" w:cs="Arial"/>
          <w:sz w:val="24"/>
          <w:szCs w:val="24"/>
        </w:rPr>
        <w:t xml:space="preserve">. They thought automation would lead to reduced labor requirements.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High costs</w:t>
      </w:r>
      <w:r>
        <w:rPr>
          <w:rFonts w:hint="default" w:ascii="Arial" w:hAnsi="Arial" w:cs="Arial"/>
          <w:sz w:val="24"/>
          <w:szCs w:val="24"/>
        </w:rPr>
        <w:t>: The implementation of the change was expensive because of the need to acquire the latest technologies and training of employees. The automation of processes and operations needed increased adoption of technologies hence increasing operational costs (</w:t>
      </w:r>
      <w:r>
        <w:rPr>
          <w:rFonts w:hint="default" w:ascii="Arial" w:hAnsi="Arial" w:cs="Arial"/>
          <w:sz w:val="24"/>
          <w:szCs w:val="24"/>
          <w:shd w:val="clear" w:color="auto" w:fill="FFFFFF"/>
        </w:rPr>
        <w:t>Bai, 2023)</w:t>
      </w:r>
      <w:r>
        <w:rPr>
          <w:rFonts w:hint="default" w:ascii="Arial" w:hAnsi="Arial" w:cs="Arial"/>
          <w:sz w:val="24"/>
          <w:szCs w:val="24"/>
        </w:rPr>
        <w:t xml:space="preserve">. </w:t>
      </w: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9" w:name="_Toc133398526"/>
      <w:r>
        <w:rPr>
          <w:rFonts w:hint="default" w:ascii="Arial" w:hAnsi="Arial" w:cs="Arial"/>
          <w:sz w:val="24"/>
          <w:szCs w:val="24"/>
        </w:rPr>
        <w:t>4.2 Starbucks’ change process using Lewin’s change model</w:t>
      </w:r>
      <w:bookmarkEnd w:id="9"/>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Starbucks’ management embraced Lewin’s change model in the process of implementing the change. The change in Starbucks was implemented in three steps, which included unfreezing, changing and refreezing (</w:t>
      </w:r>
      <w:r>
        <w:rPr>
          <w:rFonts w:hint="default" w:ascii="Arial" w:hAnsi="Arial" w:cs="Arial"/>
          <w:sz w:val="24"/>
          <w:szCs w:val="24"/>
          <w:shd w:val="clear" w:color="auto" w:fill="FFFFFF"/>
        </w:rPr>
        <w:t>Roşca, 2020)</w:t>
      </w:r>
      <w:r>
        <w:rPr>
          <w:rFonts w:hint="default" w:ascii="Arial" w:hAnsi="Arial" w:cs="Arial"/>
          <w:sz w:val="24"/>
          <w:szCs w:val="24"/>
        </w:rPr>
        <w:t xml:space="preserve">. A study conducted by </w:t>
      </w:r>
      <w:r>
        <w:rPr>
          <w:rFonts w:hint="default" w:ascii="Arial" w:hAnsi="Arial" w:cs="Arial"/>
          <w:sz w:val="24"/>
          <w:szCs w:val="24"/>
          <w:shd w:val="clear" w:color="auto" w:fill="FFFFFF"/>
        </w:rPr>
        <w:t xml:space="preserve">Burnes (2020) </w:t>
      </w:r>
      <w:r>
        <w:rPr>
          <w:rFonts w:hint="default" w:ascii="Arial" w:hAnsi="Arial" w:cs="Arial"/>
          <w:sz w:val="24"/>
          <w:szCs w:val="24"/>
        </w:rPr>
        <w:t xml:space="preserve">revealed that Lewin’s model involves implementing the change process in three stages. Lewin noted that unfreezing is the first step in implementing change, then the real change implementation and then refreezing the change.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In Starbucks, the first step in change implementation involved unfreezing the change. This step involved changing the attitudes and perceptions of workers (</w:t>
      </w:r>
      <w:r>
        <w:rPr>
          <w:rFonts w:hint="default" w:ascii="Arial" w:hAnsi="Arial" w:cs="Arial"/>
          <w:sz w:val="24"/>
          <w:szCs w:val="24"/>
          <w:shd w:val="clear" w:color="auto" w:fill="FFFFFF"/>
        </w:rPr>
        <w:t>Roşca, 2020)</w:t>
      </w:r>
      <w:r>
        <w:rPr>
          <w:rFonts w:hint="default" w:ascii="Arial" w:hAnsi="Arial" w:cs="Arial"/>
          <w:sz w:val="24"/>
          <w:szCs w:val="24"/>
        </w:rPr>
        <w:t xml:space="preserve">. A change in the perceptions and attitudes was crucial in making the employees support the change process.  Also, the organizational culture was changed to support the change in the processes and operations of Starbucks.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The second step involved the real changing of processes and operations. This was achieved through involving the key stakeholders, empowering action and enhancing communication (</w:t>
      </w:r>
      <w:r>
        <w:rPr>
          <w:rFonts w:hint="default" w:ascii="Arial" w:hAnsi="Arial" w:cs="Arial"/>
          <w:sz w:val="24"/>
          <w:szCs w:val="24"/>
          <w:shd w:val="clear" w:color="auto" w:fill="FFFFFF"/>
        </w:rPr>
        <w:t>Cone and Unni, 2020)</w:t>
      </w:r>
      <w:r>
        <w:rPr>
          <w:rFonts w:hint="default" w:ascii="Arial" w:hAnsi="Arial" w:cs="Arial"/>
          <w:sz w:val="24"/>
          <w:szCs w:val="24"/>
        </w:rPr>
        <w:t xml:space="preserve">. Through communication, Starbucks was able to make stakeholders understand the change.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The third step was the refreezing step which involved sustaining change, celebrating change, supporting the change, training and integrating the change into organizational culture (</w:t>
      </w:r>
      <w:r>
        <w:rPr>
          <w:rFonts w:hint="default" w:ascii="Arial" w:hAnsi="Arial" w:cs="Arial"/>
          <w:sz w:val="24"/>
          <w:szCs w:val="24"/>
          <w:shd w:val="clear" w:color="auto" w:fill="FFFFFF"/>
        </w:rPr>
        <w:t>Roşca, 2020)</w:t>
      </w:r>
      <w:r>
        <w:rPr>
          <w:rFonts w:hint="default" w:ascii="Arial" w:hAnsi="Arial" w:cs="Arial"/>
          <w:sz w:val="24"/>
          <w:szCs w:val="24"/>
        </w:rPr>
        <w:t xml:space="preserve">. Starbucks ensured that the automation of processes was celebrated and accepted in the organization. This helped Starbucks in operating in a way that was in compliance with the regulations put in place to control spread of the virus during the pandemic.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Figure 2: showing Starbucks’ change process</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drawing>
          <wp:inline distT="0" distB="0" distL="0" distR="0">
            <wp:extent cx="5943600" cy="2133600"/>
            <wp:effectExtent l="0" t="0" r="0" b="0"/>
            <wp:docPr id="734302159" name="Picture 2" descr="Lewin's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302159" name="Picture 2" descr="Lewin's Change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943600" cy="2133600"/>
                    </a:xfrm>
                    <a:prstGeom prst="rect">
                      <a:avLst/>
                    </a:prstGeom>
                    <a:noFill/>
                    <a:ln>
                      <a:noFill/>
                    </a:ln>
                  </pic:spPr>
                </pic:pic>
              </a:graphicData>
            </a:graphic>
          </wp:inline>
        </w:drawing>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shd w:val="clear" w:color="auto" w:fill="FFFFFF"/>
        </w:rPr>
      </w:pPr>
      <w:r>
        <w:rPr>
          <w:rFonts w:hint="default" w:ascii="Arial" w:hAnsi="Arial" w:cs="Arial"/>
          <w:sz w:val="24"/>
          <w:szCs w:val="24"/>
        </w:rPr>
        <w:t xml:space="preserve">Source: </w:t>
      </w:r>
      <w:r>
        <w:rPr>
          <w:rFonts w:hint="default" w:ascii="Arial" w:hAnsi="Arial" w:cs="Arial"/>
          <w:sz w:val="24"/>
          <w:szCs w:val="24"/>
          <w:shd w:val="clear" w:color="auto" w:fill="FFFFFF"/>
        </w:rPr>
        <w:t>Burnes (2020).</w:t>
      </w: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10" w:name="_Toc133398527"/>
      <w:bookmarkStart w:id="11" w:name="_Hlk133398066"/>
      <w:r>
        <w:rPr>
          <w:rFonts w:hint="default" w:ascii="Arial" w:hAnsi="Arial" w:cs="Arial"/>
          <w:sz w:val="24"/>
          <w:szCs w:val="24"/>
        </w:rPr>
        <w:t>4.3 Kotler eight steps model</w:t>
      </w:r>
      <w:bookmarkEnd w:id="10"/>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The eight steps model provides the processes that are utilized by leaders in leading change. It includes topics like organizational behavior, influence, negotiation, reward systems, team building, communication, senior leadership and planning (</w:t>
      </w:r>
      <w:r>
        <w:rPr>
          <w:rFonts w:hint="default" w:ascii="Arial" w:hAnsi="Arial" w:cs="Arial"/>
          <w:sz w:val="24"/>
          <w:szCs w:val="24"/>
          <w:shd w:val="clear" w:color="auto" w:fill="FFFFFF"/>
        </w:rPr>
        <w:t>Kok and Siripipatthanakul, 2023)</w:t>
      </w:r>
      <w:r>
        <w:rPr>
          <w:rFonts w:hint="default" w:ascii="Arial" w:hAnsi="Arial" w:cs="Arial"/>
          <w:sz w:val="24"/>
          <w:szCs w:val="24"/>
        </w:rPr>
        <w:t xml:space="preserve">. Each step has a significant contribution toward effective change implementation. The eight steps model has proved to be applicable in the change implementation process at Starbucks.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1</w:t>
      </w:r>
      <w:r>
        <w:rPr>
          <w:rFonts w:hint="default" w:ascii="Arial" w:hAnsi="Arial" w:cs="Arial"/>
          <w:sz w:val="24"/>
          <w:szCs w:val="24"/>
        </w:rPr>
        <w:t>: Establishment of the sense of urgency. In change management, leaders have the role of communicating the urgency of the change to the stakeholders (</w:t>
      </w:r>
      <w:r>
        <w:rPr>
          <w:rFonts w:hint="default" w:ascii="Arial" w:hAnsi="Arial" w:cs="Arial"/>
          <w:sz w:val="24"/>
          <w:szCs w:val="24"/>
          <w:shd w:val="clear" w:color="auto" w:fill="FFFFFF"/>
        </w:rPr>
        <w:t>Errida and Lotfi, 2021)</w:t>
      </w:r>
      <w:r>
        <w:rPr>
          <w:rFonts w:hint="default" w:ascii="Arial" w:hAnsi="Arial" w:cs="Arial"/>
          <w:sz w:val="24"/>
          <w:szCs w:val="24"/>
        </w:rPr>
        <w:t xml:space="preserve">. The top leadership of Starbucks ensured the key stakeholders were able to establish a sense of urgency. Digital transformation in Starbucks was urgent as the pandemic hit companies. The latest technologies were needed to ensure operations could continue. The leadership of Starbucks communicated why the change was needed at that time to establish the appropriate sense of urgency.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2:</w:t>
      </w:r>
      <w:r>
        <w:rPr>
          <w:rFonts w:hint="default" w:ascii="Arial" w:hAnsi="Arial" w:cs="Arial"/>
          <w:sz w:val="24"/>
          <w:szCs w:val="24"/>
        </w:rPr>
        <w:t xml:space="preserve"> Formation of powerful guiding coalitions. This is achieved through the identification of change leaders who are effective (</w:t>
      </w:r>
      <w:r>
        <w:rPr>
          <w:rFonts w:hint="default" w:ascii="Arial" w:hAnsi="Arial" w:cs="Arial"/>
          <w:sz w:val="24"/>
          <w:szCs w:val="24"/>
          <w:shd w:val="clear" w:color="auto" w:fill="FFFFFF"/>
        </w:rPr>
        <w:t>Errida and Lotfi, 2021)</w:t>
      </w:r>
      <w:r>
        <w:rPr>
          <w:rFonts w:hint="default" w:ascii="Arial" w:hAnsi="Arial" w:cs="Arial"/>
          <w:sz w:val="24"/>
          <w:szCs w:val="24"/>
        </w:rPr>
        <w:t xml:space="preserve">. At this step, Starbucks identified key stakeholders who could assist in implementing the needed change. Starbucks requested the commitment of stakeholders towards the change management process. The powerful change coalition formed by Starbucks worked as a team to achieve the needed change.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3</w:t>
      </w:r>
      <w:r>
        <w:rPr>
          <w:rFonts w:hint="default" w:ascii="Arial" w:hAnsi="Arial" w:cs="Arial"/>
          <w:sz w:val="24"/>
          <w:szCs w:val="24"/>
        </w:rPr>
        <w:t>: Development of a strategy and a vision. Starbucks started the change management by aligning the change with its vision and core values. The change leaders were actively engaged to ensure they properly understood the core values and vision of Starbucks (</w:t>
      </w:r>
      <w:r>
        <w:rPr>
          <w:rFonts w:hint="default" w:ascii="Arial" w:hAnsi="Arial" w:cs="Arial"/>
          <w:sz w:val="24"/>
          <w:szCs w:val="24"/>
          <w:shd w:val="clear" w:color="auto" w:fill="FFFFFF"/>
        </w:rPr>
        <w:t>Busari, et al., 2020)</w:t>
      </w:r>
      <w:r>
        <w:rPr>
          <w:rFonts w:hint="default" w:ascii="Arial" w:hAnsi="Arial" w:cs="Arial"/>
          <w:sz w:val="24"/>
          <w:szCs w:val="24"/>
        </w:rPr>
        <w:t xml:space="preserve">. This helped in making sure that the change leaders were able to effectively describe the vision and follow it in the change management.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4:</w:t>
      </w:r>
      <w:r>
        <w:rPr>
          <w:rFonts w:hint="default" w:ascii="Arial" w:hAnsi="Arial" w:cs="Arial"/>
          <w:sz w:val="24"/>
          <w:szCs w:val="24"/>
        </w:rPr>
        <w:t xml:space="preserve"> Communication of the vision. Starbucks communicated the vision that needed to be aligned with the change convincingly and powerfully. The vision of Starbucks during the change management was connected through training on the best ways of using new technologies to automate processes and operations. This involved handling the issues and concerns of stakeholders honestly (</w:t>
      </w:r>
      <w:r>
        <w:rPr>
          <w:rFonts w:hint="default" w:ascii="Arial" w:hAnsi="Arial" w:cs="Arial"/>
          <w:sz w:val="24"/>
          <w:szCs w:val="24"/>
          <w:shd w:val="clear" w:color="auto" w:fill="FFFFFF"/>
        </w:rPr>
        <w:t>Hanelt, et al., 2021)</w:t>
      </w:r>
      <w:r>
        <w:rPr>
          <w:rFonts w:hint="default" w:ascii="Arial" w:hAnsi="Arial" w:cs="Arial"/>
          <w:sz w:val="24"/>
          <w:szCs w:val="24"/>
        </w:rPr>
        <w:t xml:space="preserve">.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5:</w:t>
      </w:r>
      <w:r>
        <w:rPr>
          <w:rFonts w:hint="default" w:ascii="Arial" w:hAnsi="Arial" w:cs="Arial"/>
          <w:sz w:val="24"/>
          <w:szCs w:val="24"/>
        </w:rPr>
        <w:t xml:space="preserve"> Empowering action and removing obstacles that can hinder change. Starbucks ensured that organizational structure and processes were aligned with the company vision. This involved changing stakeholders resisting change and change barriers were removed (</w:t>
      </w:r>
      <w:r>
        <w:rPr>
          <w:rFonts w:hint="default" w:ascii="Arial" w:hAnsi="Arial" w:cs="Arial"/>
          <w:sz w:val="24"/>
          <w:szCs w:val="24"/>
          <w:shd w:val="clear" w:color="auto" w:fill="FFFFFF"/>
        </w:rPr>
        <w:t>Cameron and Green, 2019)</w:t>
      </w:r>
      <w:r>
        <w:rPr>
          <w:rFonts w:hint="default" w:ascii="Arial" w:hAnsi="Arial" w:cs="Arial"/>
          <w:sz w:val="24"/>
          <w:szCs w:val="24"/>
        </w:rPr>
        <w:t>. Starbucks ensured that the individuals resisting change were engaged to understand the need for supporting the change. Rewarding individuals for supporting and endorsing change helped Starbucks in removing obstacles in change management.</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6</w:t>
      </w:r>
      <w:r>
        <w:rPr>
          <w:rFonts w:hint="default" w:ascii="Arial" w:hAnsi="Arial" w:cs="Arial"/>
          <w:sz w:val="24"/>
          <w:szCs w:val="24"/>
        </w:rPr>
        <w:t>: the creation of short-term wins. Starbucks created short-term wins in the change management by developing the feeling of victory. This involved making stakeholders imagine the competitiveness of Starbucks after fully digitalizing its processes and operations (</w:t>
      </w:r>
      <w:r>
        <w:rPr>
          <w:rFonts w:hint="default" w:ascii="Arial" w:hAnsi="Arial" w:cs="Arial"/>
          <w:sz w:val="24"/>
          <w:szCs w:val="24"/>
          <w:shd w:val="clear" w:color="auto" w:fill="FFFFFF"/>
        </w:rPr>
        <w:t>Ahlstrom, et al., 2020)</w:t>
      </w:r>
      <w:r>
        <w:rPr>
          <w:rFonts w:hint="default" w:ascii="Arial" w:hAnsi="Arial" w:cs="Arial"/>
          <w:sz w:val="24"/>
          <w:szCs w:val="24"/>
        </w:rPr>
        <w:t xml:space="preserve">. Stakeholders involved in the change management were rewarded for their contributions towards achieving the change targets.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7</w:t>
      </w:r>
      <w:r>
        <w:rPr>
          <w:rFonts w:hint="default" w:ascii="Arial" w:hAnsi="Arial" w:cs="Arial"/>
          <w:sz w:val="24"/>
          <w:szCs w:val="24"/>
        </w:rPr>
        <w:t>: Consolidating gains. At this step, Starbucks focused on continuous improvements of the digital transformation initiatives to successfully realize automation in operations (</w:t>
      </w:r>
      <w:r>
        <w:rPr>
          <w:rFonts w:hint="default" w:ascii="Arial" w:hAnsi="Arial" w:cs="Arial"/>
          <w:sz w:val="24"/>
          <w:szCs w:val="24"/>
          <w:shd w:val="clear" w:color="auto" w:fill="FFFFFF"/>
        </w:rPr>
        <w:t>Li, et al., 2021)</w:t>
      </w:r>
      <w:r>
        <w:rPr>
          <w:rFonts w:hint="default" w:ascii="Arial" w:hAnsi="Arial" w:cs="Arial"/>
          <w:sz w:val="24"/>
          <w:szCs w:val="24"/>
        </w:rPr>
        <w:t xml:space="preserve">. Starbucks ensured that customer experiences were constantly improved as they embraced digital technologies to access services and products offered.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8</w:t>
      </w:r>
      <w:r>
        <w:rPr>
          <w:rFonts w:hint="default" w:ascii="Arial" w:hAnsi="Arial" w:cs="Arial"/>
          <w:sz w:val="24"/>
          <w:szCs w:val="24"/>
        </w:rPr>
        <w:t>: Anchor change in the culture of the company. Starbucks ensured that the change implemented was integrated into its organizational culture. This helped in making sure the change was an integral part of the organizational culture (</w:t>
      </w:r>
      <w:r>
        <w:rPr>
          <w:rFonts w:hint="default" w:ascii="Arial" w:hAnsi="Arial" w:cs="Arial"/>
          <w:sz w:val="24"/>
          <w:szCs w:val="24"/>
          <w:shd w:val="clear" w:color="auto" w:fill="FFFFFF"/>
        </w:rPr>
        <w:t>Hanelt, et al., 2021)</w:t>
      </w:r>
      <w:r>
        <w:rPr>
          <w:rFonts w:hint="default" w:ascii="Arial" w:hAnsi="Arial" w:cs="Arial"/>
          <w:sz w:val="24"/>
          <w:szCs w:val="24"/>
        </w:rPr>
        <w:t xml:space="preserve">. Starbucks has ensured that top management and employees support the change.  </w:t>
      </w:r>
    </w:p>
    <w:bookmarkEnd w:id="11"/>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Figure 3: showing Kotler eight steps model</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drawing>
          <wp:inline distT="0" distB="0" distL="0" distR="0">
            <wp:extent cx="5943600" cy="2571750"/>
            <wp:effectExtent l="0" t="0" r="0" b="0"/>
            <wp:docPr id="418312689" name="Picture 3" descr="Kotter 8-stappen verandermodel - Lean Six Sigma Gro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312689" name="Picture 3" descr="Kotter 8-stappen verandermodel - Lean Six Sigma Groe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943600" cy="2571750"/>
                    </a:xfrm>
                    <a:prstGeom prst="rect">
                      <a:avLst/>
                    </a:prstGeom>
                    <a:noFill/>
                    <a:ln>
                      <a:noFill/>
                    </a:ln>
                  </pic:spPr>
                </pic:pic>
              </a:graphicData>
            </a:graphic>
          </wp:inline>
        </w:drawing>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Source: </w:t>
      </w:r>
      <w:r>
        <w:rPr>
          <w:rFonts w:hint="default" w:ascii="Arial" w:hAnsi="Arial" w:cs="Arial"/>
          <w:sz w:val="24"/>
          <w:szCs w:val="24"/>
          <w:shd w:val="clear" w:color="auto" w:fill="FFFFFF"/>
        </w:rPr>
        <w:t>Kok and Siripipatthanakul (2023)</w:t>
      </w:r>
      <w:r>
        <w:rPr>
          <w:rFonts w:hint="default" w:ascii="Arial" w:hAnsi="Arial" w:cs="Arial"/>
          <w:sz w:val="24"/>
          <w:szCs w:val="24"/>
        </w:rPr>
        <w:t>.</w:t>
      </w:r>
    </w:p>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eastAsiaTheme="minorHAnsi"/>
          <w:b/>
          <w:bCs/>
          <w:color w:val="auto"/>
          <w:sz w:val="24"/>
          <w:szCs w:val="24"/>
        </w:rPr>
      </w:pPr>
      <w:bookmarkStart w:id="12" w:name="_Toc133398528"/>
      <w:r>
        <w:rPr>
          <w:rFonts w:hint="default" w:ascii="Arial" w:hAnsi="Arial" w:cs="Arial" w:eastAsiaTheme="minorHAnsi"/>
          <w:b/>
          <w:bCs/>
          <w:color w:val="auto"/>
          <w:sz w:val="24"/>
          <w:szCs w:val="24"/>
        </w:rPr>
        <w:t>5.0 Discussion and Analysis</w:t>
      </w:r>
      <w:bookmarkEnd w:id="12"/>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eastAsiaTheme="minorHAnsi"/>
          <w:sz w:val="24"/>
          <w:szCs w:val="24"/>
        </w:rPr>
      </w:pPr>
      <w:bookmarkStart w:id="13" w:name="_Toc133398529"/>
      <w:r>
        <w:rPr>
          <w:rFonts w:hint="default" w:ascii="Arial" w:hAnsi="Arial" w:cs="Arial" w:eastAsiaTheme="minorHAnsi"/>
          <w:sz w:val="24"/>
          <w:szCs w:val="24"/>
        </w:rPr>
        <w:t>5.1 Starbucks’ change management</w:t>
      </w:r>
      <w:bookmarkEnd w:id="13"/>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Starbucks successfully implemented the change thus automating its processes and operations during the pandemic. In the change implementation, the latest technologies were integrated into the processes and operations. The covid-19 pandemic increased the technology adoption of Starbucks to meet the measures put in place by governments in the process of controlling the spread of the virus (Lim, et al., 2022). The change management during the pandemic involved integrating new technologies into Starbucks’ operations and processes to enhance automation. This was driven by the fact that contactless service delivery was encouraged to ensure customers and employees did not come into contact. Automation made it possible for customers to access services online thus enhancing customer satisfaction (Sander and Peters, 2021). Digital transformation adopted by Starbucks made it possible to automate processes and operations. This resulted in a radical change as Starbucks implemented the digital transformation strategy within a very short time.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Starbucks engaged the key stakeholders to ensure they supported the change. Communication was crucial in making the stakeholders informed of the need for the change and the expected outcomes (Busari, et al., 2020). The urgency of change was established to encourage commitment among stakeholders toward change implementation. During the pandemic, organizations were closed after lockdowns were imposed to contain the spread of the coronavirus. Starbucks had to switch to integrate the latest technologies into its processes and operations (Liu, 2023). After the lockdowns, Starbucks successfully implemented the change to ensure customers were able to get services and products without coming into contact with employees. The management of Starbucks tried to eliminate change resistance by actively engaging key stakeholders in the change process. SWOT analysis has shown that Starbucks has the needed capability and resources to automate the processes. Starbucks has managed to take advantage of its strengths in implementing change. For example, a strong digital presence and innovative model helped Starbucks in integrating the latest technologies into its operations and processes (He, Xiang and Yin, 2021). This has helped Starbucks in automating its operations and processes as a mechanism for coping with the pandemic.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The technologies embraced by Starbucks in its digital transformation strategy include cloud computing, artificial intelligence, machine learning, big data and blockchain (Sinha, et al., 2021). Industry opportunities like online shopping behaviors and technological advancements are crucial for Starbucks to continue automating its operations and processes. Starbucks is embracing technological advancements and mobile technologies to automate processes and operations (Shim, et al., 2021). Change management is crucial in addressing the challenges that Starbucks faces in its operations. For example, the change focused on achieving digital transformation which is necessary for addressing threats like competition and dynamic consumer trends. Through digital transformation, efficiency can be realized thus embracing a competitive pricing strategy and making it possible to meet the tastes of tech-savvy consumers through the automation of processes and operations (Xinyue, Qiao and Yang, 2022).</w:t>
      </w: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eastAsiaTheme="minorHAnsi"/>
          <w:sz w:val="24"/>
          <w:szCs w:val="24"/>
        </w:rPr>
      </w:pPr>
      <w:bookmarkStart w:id="14" w:name="_Toc133398530"/>
      <w:r>
        <w:rPr>
          <w:rFonts w:hint="default" w:ascii="Arial" w:hAnsi="Arial" w:cs="Arial" w:eastAsiaTheme="minorHAnsi"/>
          <w:sz w:val="24"/>
          <w:szCs w:val="24"/>
        </w:rPr>
        <w:t>5.2 Stakeholder analysis</w:t>
      </w:r>
      <w:bookmarkEnd w:id="14"/>
      <w:r>
        <w:rPr>
          <w:rFonts w:hint="default" w:ascii="Arial" w:hAnsi="Arial" w:cs="Arial" w:eastAsiaTheme="minorHAnsi"/>
          <w:sz w:val="24"/>
          <w:szCs w:val="24"/>
        </w:rPr>
        <w:t xml:space="preserve">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The change process in Starbucks was greatly affected by the stakeholders. The key stakeholders like customers, communities, investors, employees and suppliers were actively engaged to ensure the implementation process was successful. According to Anderson (2019), change management requires the proper engagement of the key stakeholders. In change management, Starbucks considered employees as key stakeholders who are crucial in successful change implementation. Through effective communication, Starbucks managed to make sure employees were informed about the change (Tidd and Bessant, 2020). This was crucial in changing their attitudes in order to support the implementation process. Customers were informed about the changed processes and operations to understand the digital transformations taking place to improve service delivery. Suppliers were engaged in order to provide the relevant supplies that could support the change implementation.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eastAsiaTheme="minorHAnsi"/>
          <w:sz w:val="24"/>
          <w:szCs w:val="24"/>
        </w:rPr>
      </w:pPr>
      <w:bookmarkStart w:id="15" w:name="_Toc133398531"/>
      <w:r>
        <w:rPr>
          <w:rFonts w:hint="default" w:ascii="Arial" w:hAnsi="Arial" w:cs="Arial" w:eastAsiaTheme="minorHAnsi"/>
          <w:sz w:val="24"/>
          <w:szCs w:val="24"/>
        </w:rPr>
        <w:t>5.3 Leadership and change</w:t>
      </w:r>
      <w:bookmarkEnd w:id="15"/>
      <w:r>
        <w:rPr>
          <w:rFonts w:hint="default" w:ascii="Arial" w:hAnsi="Arial" w:cs="Arial" w:eastAsiaTheme="minorHAnsi"/>
          <w:sz w:val="24"/>
          <w:szCs w:val="24"/>
        </w:rPr>
        <w:t xml:space="preserve">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Leadership has remained crucial in change management. The characteristics of leaders leading the change determine the successful implementation of the change. Leaders play crucial roles in change management. For example, leadership in change management is responsible for setting change goals that need to be achieved. Leadership helps in harnessing the power of stakeholders, processes and visions to achieve sustainable change (Mansaray, 2019). In change management, leaders encourage and motivate employees to support the change process. The leadership approach embraced is important in influencing the attitudes of stakeholders toward the change. Leaders need to embrace engagement in order to make sure stakeholders are actively engaged in change management (Anderson, 2019). Starbucks ensured stakeholders like workers were involved in the change implementation. This provided an opportunity for workers to share their views concerning the planned change. Leaders clarify the vision in change management. This is achieved by being transparent and accountable in fixing issues that can be encouraged in the process of managing change.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Change leaders are good communicators and resistance managers to ensure change management is successful. Communication is crucial in informing the key stakeholders concerning the change. It is through communication that stakeholders are able to understand the reason for the change and the expected outcomes. According to Oreg and Berson (2019), effective communication can assist leaders in making sure change is highly supported. Transformational leaders actively engage workers to understand their views in the change implementation. Through transformational leadership, stakeholders can discuss with the leaders about the best ways of implementing the change. As resistance managers, leaders identify drivers of change and individuals opposing the change (Cameron and Green, 2019). This is necessary for leaders to address change management obstacles that might affect change implementation.  </w:t>
      </w:r>
    </w:p>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eastAsiaTheme="minorHAnsi"/>
          <w:b/>
          <w:bCs/>
          <w:color w:val="auto"/>
          <w:sz w:val="24"/>
          <w:szCs w:val="24"/>
        </w:rPr>
      </w:pPr>
      <w:bookmarkStart w:id="16" w:name="_Toc133398532"/>
      <w:r>
        <w:rPr>
          <w:rFonts w:hint="default" w:ascii="Arial" w:hAnsi="Arial" w:cs="Arial" w:eastAsiaTheme="minorHAnsi"/>
          <w:b/>
          <w:bCs/>
          <w:color w:val="auto"/>
          <w:sz w:val="24"/>
          <w:szCs w:val="24"/>
        </w:rPr>
        <w:t>6.0 Conclusions</w:t>
      </w:r>
      <w:bookmarkEnd w:id="16"/>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In summary, Starbucks has tried to manage change in a way that helped in achieving the needed digital transformation. The main scope of Starbucks’ change was to achieve the digital transformation needed to make contactless service provision a possibility in efforts geared towards containing the spread of coronavirus. The change process embraced by Starbucks focused on making sure Starbucks could effectively and efficiently operate during the covid-19 pandemic. The drivers for change included competition, digitalization, organizational culture and leadership. These forces supported the entire change process. The restraining forces included high costs and change resistance. The implementation of the desired change was expensive and key stakeholders were unwilling to support the change leading to resistance. Starbucks managed to overcome the forces restraining the change thus successfully implementing the needed change. The primary goal of the change was to make sure digital transformation was successfully realized in order to facilitate contactless services during the pandemic. Starbucks wanted to replace human labor with new technologies as a way of reducing contact between customers and service providers. The ability of Starbucks to access the latest technologies helped in automating processes and operations. However, Starbucks needs to keep pace with shifts in the technological environment. Starbucks can be able to increase its market share by ensuring it embraces the latest technologies better than its competitors. </w:t>
      </w:r>
    </w:p>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eastAsiaTheme="minorHAnsi"/>
          <w:b/>
          <w:bCs/>
          <w:color w:val="auto"/>
          <w:sz w:val="24"/>
          <w:szCs w:val="24"/>
        </w:rPr>
      </w:pPr>
      <w:bookmarkStart w:id="17" w:name="_Toc133398533"/>
      <w:r>
        <w:rPr>
          <w:rFonts w:hint="default" w:ascii="Arial" w:hAnsi="Arial" w:cs="Arial" w:eastAsiaTheme="minorHAnsi"/>
          <w:b/>
          <w:bCs/>
          <w:color w:val="auto"/>
          <w:sz w:val="24"/>
          <w:szCs w:val="24"/>
        </w:rPr>
        <w:t>7.0 Recommendations</w:t>
      </w:r>
      <w:bookmarkEnd w:id="17"/>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Starbucks managed to successfully implement the needed change but a mild resistance to change has persisted. the resistance to change can be attributed to the feeling of employees that increased adoption of the latest technologies will lead to loss of jobs. Most employees are not fully supporting the increased automation of the processes and operations at Starbucks. The following are some of the recommendations for Starbucks to eliminate change resistance.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First, Starbucks should embrace the active engagement of key stakeholders in order to encourage support from employees.  A supportive environment can be realized through creating trust in order to achieve loyalty in the implementation of the proposed change (Ahlstrom, et al., 2020). Employees are important in change management because they are the stakeholders who are highly affected. This makes it necessary to make workers understand the need to implement the change. For example, Starbucks can ensure employees understand the reasons behind the change and the benefits linked to the change. </w:t>
      </w: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Second, Starbucks should effectively communicate with stakeholders. Effective communication has remained the key to the successful implementation of organizational change (Busari, et al., 2020). In change management, stakeholders need to be provided with information regarding the change. This is because resistance can be realized because of failure to inform the affected stakeholders. Communication in change management assists in providing the rationale associated with the change being implemented. The employees can be given the opportunity to share their views and collect ideas necessary to avoid change resistance.</w:t>
      </w: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sz w:val="24"/>
          <w:szCs w:val="24"/>
        </w:rPr>
      </w:pP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sz w:val="24"/>
          <w:szCs w:val="24"/>
        </w:rPr>
      </w:pP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sz w:val="24"/>
          <w:szCs w:val="24"/>
        </w:rPr>
      </w:pP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sz w:val="24"/>
          <w:szCs w:val="24"/>
        </w:rPr>
      </w:pP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sz w:val="24"/>
          <w:szCs w:val="24"/>
        </w:rPr>
      </w:pP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sz w:val="24"/>
          <w:szCs w:val="24"/>
        </w:rPr>
      </w:pPr>
    </w:p>
    <w:p>
      <w:pPr>
        <w:pStyle w:val="2"/>
        <w:pageBreakBefore w:val="0"/>
        <w:widowControl/>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rPr>
      </w:pPr>
      <w:bookmarkStart w:id="18" w:name="_Toc133398534"/>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color w:val="auto"/>
          <w:sz w:val="24"/>
          <w:szCs w:val="24"/>
        </w:rPr>
      </w:pPr>
      <w:r>
        <w:rPr>
          <w:rFonts w:hint="default" w:ascii="Arial" w:hAnsi="Arial" w:cs="Arial"/>
          <w:b/>
          <w:bCs/>
          <w:color w:val="auto"/>
          <w:sz w:val="24"/>
          <w:szCs w:val="24"/>
        </w:rPr>
        <w:t>References</w:t>
      </w:r>
      <w:bookmarkEnd w:id="18"/>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Ahlstrom, D., Arregle, J.L., Hitt, M.A., Qian, G., Ma, X. and Faems, D., 2020. Managing technological, sociopolitical, and institutional change in the new normal. </w:t>
      </w:r>
      <w:r>
        <w:rPr>
          <w:rFonts w:hint="default" w:ascii="Arial" w:hAnsi="Arial" w:cs="Arial"/>
          <w:i/>
          <w:iCs/>
          <w:sz w:val="24"/>
          <w:szCs w:val="24"/>
          <w:shd w:val="clear" w:color="auto" w:fill="FFFFFF"/>
        </w:rPr>
        <w:t>Journal of Management Studies</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57</w:t>
      </w:r>
      <w:r>
        <w:rPr>
          <w:rFonts w:hint="default" w:ascii="Arial" w:hAnsi="Arial" w:cs="Arial"/>
          <w:sz w:val="24"/>
          <w:szCs w:val="24"/>
          <w:shd w:val="clear" w:color="auto" w:fill="FFFFFF"/>
        </w:rPr>
        <w:t>(3), pp.411-437.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Anderson, D.L., 2019. </w:t>
      </w:r>
      <w:r>
        <w:rPr>
          <w:rFonts w:hint="default" w:ascii="Arial" w:hAnsi="Arial" w:cs="Arial"/>
          <w:i/>
          <w:iCs/>
          <w:sz w:val="24"/>
          <w:szCs w:val="24"/>
          <w:shd w:val="clear" w:color="auto" w:fill="FFFFFF"/>
        </w:rPr>
        <w:t>Organization development: The process of leading organizational change</w:t>
      </w:r>
      <w:r>
        <w:rPr>
          <w:rFonts w:hint="default" w:ascii="Arial" w:hAnsi="Arial" w:cs="Arial"/>
          <w:sz w:val="24"/>
          <w:szCs w:val="24"/>
          <w:shd w:val="clear" w:color="auto" w:fill="FFFFFF"/>
        </w:rPr>
        <w:t>. Sage Publications.</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Avdeeva, I., Kulakova, L., Krestov, V., Mugutdinov, R. and Alpysbayev, K., 2021, October. Change management strategy in the framework of digital transformation of economic system business models. In </w:t>
      </w:r>
      <w:r>
        <w:rPr>
          <w:rFonts w:hint="default" w:ascii="Arial" w:hAnsi="Arial" w:cs="Arial"/>
          <w:i/>
          <w:iCs/>
          <w:sz w:val="24"/>
          <w:szCs w:val="24"/>
          <w:shd w:val="clear" w:color="auto" w:fill="FFFFFF"/>
        </w:rPr>
        <w:t>Proceedings of the 3rd International Scientific Conference on Innovations in Digital Economy</w:t>
      </w:r>
      <w:r>
        <w:rPr>
          <w:rFonts w:hint="default" w:ascii="Arial" w:hAnsi="Arial" w:cs="Arial"/>
          <w:sz w:val="24"/>
          <w:szCs w:val="24"/>
          <w:shd w:val="clear" w:color="auto" w:fill="FFFFFF"/>
        </w:rPr>
        <w:t> (pp. 293-300).</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rPr>
      </w:pPr>
      <w:r>
        <w:rPr>
          <w:rFonts w:hint="default" w:ascii="Arial" w:hAnsi="Arial" w:cs="Arial"/>
          <w:sz w:val="24"/>
          <w:szCs w:val="24"/>
          <w:shd w:val="clear" w:color="auto" w:fill="FFFFFF"/>
        </w:rPr>
        <w:t>Bai, J., 2023. The Starbucks Crisis—External and Endogenous Pressures of Coffee Market Giants. </w:t>
      </w:r>
      <w:r>
        <w:rPr>
          <w:rFonts w:hint="default" w:ascii="Arial" w:hAnsi="Arial" w:cs="Arial"/>
          <w:i/>
          <w:iCs/>
          <w:sz w:val="24"/>
          <w:szCs w:val="24"/>
          <w:shd w:val="clear" w:color="auto" w:fill="FFFFFF"/>
        </w:rPr>
        <w:t>Frontiers in Business, Economics and Management</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8</w:t>
      </w:r>
      <w:r>
        <w:rPr>
          <w:rFonts w:hint="default" w:ascii="Arial" w:hAnsi="Arial" w:cs="Arial"/>
          <w:sz w:val="24"/>
          <w:szCs w:val="24"/>
          <w:shd w:val="clear" w:color="auto" w:fill="FFFFFF"/>
        </w:rPr>
        <w:t>(1), pp.272-275.</w:t>
      </w:r>
      <w:r>
        <w:rPr>
          <w:rFonts w:hint="default" w:ascii="Arial" w:hAnsi="Arial" w:cs="Arial"/>
          <w:sz w:val="24"/>
          <w:szCs w:val="24"/>
        </w:rPr>
        <w:tab/>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Basak, S., Ranjith, P.V., Prakash, P.A., Albesis, G., Quttainah, M.A., Shukla, S. and Pandey, R., 2020. Business Idea for Starbucks: Organic Yerba Mate Beverages. </w:t>
      </w:r>
      <w:r>
        <w:rPr>
          <w:rFonts w:hint="default" w:ascii="Arial" w:hAnsi="Arial" w:cs="Arial"/>
          <w:i/>
          <w:iCs/>
          <w:sz w:val="24"/>
          <w:szCs w:val="24"/>
          <w:shd w:val="clear" w:color="auto" w:fill="FFFFFF"/>
        </w:rPr>
        <w:t>International Journal of Tourism and Hospitality in Asia Pasific (IJTHAP)</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3</w:t>
      </w:r>
      <w:r>
        <w:rPr>
          <w:rFonts w:hint="default" w:ascii="Arial" w:hAnsi="Arial" w:cs="Arial"/>
          <w:sz w:val="24"/>
          <w:szCs w:val="24"/>
          <w:shd w:val="clear" w:color="auto" w:fill="FFFFFF"/>
        </w:rPr>
        <w:t>(2), pp.89-96.</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Burnes, B., 2020. The origins of Lewin’s three-step model of change. </w:t>
      </w:r>
      <w:r>
        <w:rPr>
          <w:rFonts w:hint="default" w:ascii="Arial" w:hAnsi="Arial" w:cs="Arial"/>
          <w:i/>
          <w:iCs/>
          <w:sz w:val="24"/>
          <w:szCs w:val="24"/>
          <w:shd w:val="clear" w:color="auto" w:fill="FFFFFF"/>
        </w:rPr>
        <w:t>The Journal of Applied Behavioral Science</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56</w:t>
      </w:r>
      <w:r>
        <w:rPr>
          <w:rFonts w:hint="default" w:ascii="Arial" w:hAnsi="Arial" w:cs="Arial"/>
          <w:sz w:val="24"/>
          <w:szCs w:val="24"/>
          <w:shd w:val="clear" w:color="auto" w:fill="FFFFFF"/>
        </w:rPr>
        <w:t>(1), pp.32-59.</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Busari, A.H., Khan, S.N., Abdullah, S.M. and Mughal, Y.H., 2020. Transformational leadership style, followership, and factors of employees’ reactions towards organizational change. </w:t>
      </w:r>
      <w:r>
        <w:rPr>
          <w:rFonts w:hint="default" w:ascii="Arial" w:hAnsi="Arial" w:cs="Arial"/>
          <w:i/>
          <w:iCs/>
          <w:sz w:val="24"/>
          <w:szCs w:val="24"/>
          <w:shd w:val="clear" w:color="auto" w:fill="FFFFFF"/>
        </w:rPr>
        <w:t>Journal of Asia Business Studies</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14</w:t>
      </w:r>
      <w:r>
        <w:rPr>
          <w:rFonts w:hint="default" w:ascii="Arial" w:hAnsi="Arial" w:cs="Arial"/>
          <w:sz w:val="24"/>
          <w:szCs w:val="24"/>
          <w:shd w:val="clear" w:color="auto" w:fill="FFFFFF"/>
        </w:rPr>
        <w:t>(2), pp.181-209.</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Cameron, E. and Green, M., 2019. </w:t>
      </w:r>
      <w:r>
        <w:rPr>
          <w:rFonts w:hint="default" w:ascii="Arial" w:hAnsi="Arial" w:cs="Arial"/>
          <w:i/>
          <w:iCs/>
          <w:sz w:val="24"/>
          <w:szCs w:val="24"/>
          <w:shd w:val="clear" w:color="auto" w:fill="FFFFFF"/>
        </w:rPr>
        <w:t>Making sense of change management: A complete guide to the models, tools and techniques of organizational change</w:t>
      </w:r>
      <w:r>
        <w:rPr>
          <w:rFonts w:hint="default" w:ascii="Arial" w:hAnsi="Arial" w:cs="Arial"/>
          <w:sz w:val="24"/>
          <w:szCs w:val="24"/>
          <w:shd w:val="clear" w:color="auto" w:fill="FFFFFF"/>
        </w:rPr>
        <w:t>. Kogan Page Publishers.</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Chen, Y. and Biswas, M.I., 2021. Turning crisis into opportunities: how a firm can enrich its business operations using artificial intelligence and big data during COVID-19. </w:t>
      </w:r>
      <w:r>
        <w:rPr>
          <w:rFonts w:hint="default" w:ascii="Arial" w:hAnsi="Arial" w:cs="Arial"/>
          <w:i/>
          <w:iCs/>
          <w:sz w:val="24"/>
          <w:szCs w:val="24"/>
          <w:shd w:val="clear" w:color="auto" w:fill="FFFFFF"/>
        </w:rPr>
        <w:t>Sustainability</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13</w:t>
      </w:r>
      <w:r>
        <w:rPr>
          <w:rFonts w:hint="default" w:ascii="Arial" w:hAnsi="Arial" w:cs="Arial"/>
          <w:sz w:val="24"/>
          <w:szCs w:val="24"/>
          <w:shd w:val="clear" w:color="auto" w:fill="FFFFFF"/>
        </w:rPr>
        <w:t>(22), p.12656.</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Chuang, H.J., 2019. Starbucks in the world. </w:t>
      </w:r>
      <w:r>
        <w:rPr>
          <w:rFonts w:hint="default" w:ascii="Arial" w:hAnsi="Arial" w:cs="Arial"/>
          <w:i/>
          <w:iCs/>
          <w:sz w:val="24"/>
          <w:szCs w:val="24"/>
          <w:shd w:val="clear" w:color="auto" w:fill="FFFFFF"/>
        </w:rPr>
        <w:t>HOLISTICA–Journal of Business and Public Administration</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10</w:t>
      </w:r>
      <w:r>
        <w:rPr>
          <w:rFonts w:hint="default" w:ascii="Arial" w:hAnsi="Arial" w:cs="Arial"/>
          <w:sz w:val="24"/>
          <w:szCs w:val="24"/>
          <w:shd w:val="clear" w:color="auto" w:fill="FFFFFF"/>
        </w:rPr>
        <w:t>(3), pp.99-110.</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Cone, C. and Unni, E., 2020. Achieving consensus using a modified Delphi Technique embedded in Lewin's change management model designed to improve faculty satisfaction in a pharmacy school. </w:t>
      </w:r>
      <w:r>
        <w:rPr>
          <w:rFonts w:hint="default" w:ascii="Arial" w:hAnsi="Arial" w:cs="Arial"/>
          <w:i/>
          <w:iCs/>
          <w:sz w:val="24"/>
          <w:szCs w:val="24"/>
          <w:shd w:val="clear" w:color="auto" w:fill="FFFFFF"/>
        </w:rPr>
        <w:t>Research in Social and Administrative Pharmacy</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16</w:t>
      </w:r>
      <w:r>
        <w:rPr>
          <w:rFonts w:hint="default" w:ascii="Arial" w:hAnsi="Arial" w:cs="Arial"/>
          <w:sz w:val="24"/>
          <w:szCs w:val="24"/>
          <w:shd w:val="clear" w:color="auto" w:fill="FFFFFF"/>
        </w:rPr>
        <w:t>(12), pp.1711-1717.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Errida, A. and Lotfi, B., 2021. The determinants of organizational change management success: Literature review and case study. </w:t>
      </w:r>
      <w:r>
        <w:rPr>
          <w:rFonts w:hint="default" w:ascii="Arial" w:hAnsi="Arial" w:cs="Arial"/>
          <w:i/>
          <w:iCs/>
          <w:sz w:val="24"/>
          <w:szCs w:val="24"/>
          <w:shd w:val="clear" w:color="auto" w:fill="FFFFFF"/>
        </w:rPr>
        <w:t>International Journal of Engineering Business Management</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13</w:t>
      </w:r>
      <w:r>
        <w:rPr>
          <w:rFonts w:hint="default" w:ascii="Arial" w:hAnsi="Arial" w:cs="Arial"/>
          <w:sz w:val="24"/>
          <w:szCs w:val="24"/>
          <w:shd w:val="clear" w:color="auto" w:fill="FFFFFF"/>
        </w:rPr>
        <w:t>, p.18479790211016273.</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Hanelt, A., Bohnsack, R., Marz, D. and Antunes Marante, C., 2021. A systematic review of the literature on digital transformation: Insights and implications for strategy and organizational change. </w:t>
      </w:r>
      <w:r>
        <w:rPr>
          <w:rFonts w:hint="default" w:ascii="Arial" w:hAnsi="Arial" w:cs="Arial"/>
          <w:i/>
          <w:iCs/>
          <w:sz w:val="24"/>
          <w:szCs w:val="24"/>
          <w:shd w:val="clear" w:color="auto" w:fill="FFFFFF"/>
        </w:rPr>
        <w:t>Journal of Management Studies</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58</w:t>
      </w:r>
      <w:r>
        <w:rPr>
          <w:rFonts w:hint="default" w:ascii="Arial" w:hAnsi="Arial" w:cs="Arial"/>
          <w:sz w:val="24"/>
          <w:szCs w:val="24"/>
          <w:shd w:val="clear" w:color="auto" w:fill="FFFFFF"/>
        </w:rPr>
        <w:t>(5), pp.1159-1197.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He, G., Xiang, S. and Yin, J., 2021, December. Corporate Value Investing Research in Covid-19-A Case of Starbucks. In </w:t>
      </w:r>
      <w:r>
        <w:rPr>
          <w:rFonts w:hint="default" w:ascii="Arial" w:hAnsi="Arial" w:cs="Arial"/>
          <w:i/>
          <w:iCs/>
          <w:sz w:val="24"/>
          <w:szCs w:val="24"/>
          <w:shd w:val="clear" w:color="auto" w:fill="FFFFFF"/>
        </w:rPr>
        <w:t>2021 3rd International Conference on Economic Management and Cultural Industry (ICEMCI 2021)</w:t>
      </w:r>
      <w:r>
        <w:rPr>
          <w:rFonts w:hint="default" w:ascii="Arial" w:hAnsi="Arial" w:cs="Arial"/>
          <w:sz w:val="24"/>
          <w:szCs w:val="24"/>
          <w:shd w:val="clear" w:color="auto" w:fill="FFFFFF"/>
        </w:rPr>
        <w:t> (pp. 2790-2796). Atlantis Press.</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Kang, L. and Bi, C., 2022. Research on Starbucks Brand Value Marketing in China's Coffee Industry. </w:t>
      </w:r>
      <w:r>
        <w:rPr>
          <w:rFonts w:hint="default" w:ascii="Arial" w:hAnsi="Arial" w:cs="Arial"/>
          <w:i/>
          <w:iCs/>
          <w:sz w:val="24"/>
          <w:szCs w:val="24"/>
          <w:shd w:val="clear" w:color="auto" w:fill="FFFFFF"/>
        </w:rPr>
        <w:t>Technium Soc. Sci. J.</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37</w:t>
      </w:r>
      <w:r>
        <w:rPr>
          <w:rFonts w:hint="default" w:ascii="Arial" w:hAnsi="Arial" w:cs="Arial"/>
          <w:sz w:val="24"/>
          <w:szCs w:val="24"/>
          <w:shd w:val="clear" w:color="auto" w:fill="FFFFFF"/>
        </w:rPr>
        <w:t>, p.230.</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Kok, S.L. and Siripipatthanakul, S., 2023. Change Management Model in Corporate Culture and Values: A Case Study of Intel Cooperation. </w:t>
      </w:r>
      <w:r>
        <w:rPr>
          <w:rFonts w:hint="default" w:ascii="Arial" w:hAnsi="Arial" w:cs="Arial"/>
          <w:i/>
          <w:iCs/>
          <w:sz w:val="24"/>
          <w:szCs w:val="24"/>
          <w:shd w:val="clear" w:color="auto" w:fill="FFFFFF"/>
        </w:rPr>
        <w:t>Advance Knowledge for Executives</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2</w:t>
      </w:r>
      <w:r>
        <w:rPr>
          <w:rFonts w:hint="default" w:ascii="Arial" w:hAnsi="Arial" w:cs="Arial"/>
          <w:sz w:val="24"/>
          <w:szCs w:val="24"/>
          <w:shd w:val="clear" w:color="auto" w:fill="FFFFFF"/>
        </w:rPr>
        <w:t>(1), pp.1-30.</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Lewis, L., 2019. Organizational change. In </w:t>
      </w:r>
      <w:r>
        <w:rPr>
          <w:rFonts w:hint="default" w:ascii="Arial" w:hAnsi="Arial" w:cs="Arial"/>
          <w:i/>
          <w:iCs/>
          <w:sz w:val="24"/>
          <w:szCs w:val="24"/>
          <w:shd w:val="clear" w:color="auto" w:fill="FFFFFF"/>
        </w:rPr>
        <w:t>Origins and traditions of organizational communication</w:t>
      </w:r>
      <w:r>
        <w:rPr>
          <w:rFonts w:hint="default" w:ascii="Arial" w:hAnsi="Arial" w:cs="Arial"/>
          <w:sz w:val="24"/>
          <w:szCs w:val="24"/>
          <w:shd w:val="clear" w:color="auto" w:fill="FFFFFF"/>
        </w:rPr>
        <w:t> (pp. 406-423). Routledge.</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Li, J.Y., Sun, R., Tao, W. and Lee, Y., 2021. Employee coping with organizational change in the face of a pandemic: The role of transparent internal communication. </w:t>
      </w:r>
      <w:r>
        <w:rPr>
          <w:rFonts w:hint="default" w:ascii="Arial" w:hAnsi="Arial" w:cs="Arial"/>
          <w:i/>
          <w:iCs/>
          <w:sz w:val="24"/>
          <w:szCs w:val="24"/>
          <w:shd w:val="clear" w:color="auto" w:fill="FFFFFF"/>
        </w:rPr>
        <w:t>Public Relations Review</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47</w:t>
      </w:r>
      <w:r>
        <w:rPr>
          <w:rFonts w:hint="default" w:ascii="Arial" w:hAnsi="Arial" w:cs="Arial"/>
          <w:sz w:val="24"/>
          <w:szCs w:val="24"/>
          <w:shd w:val="clear" w:color="auto" w:fill="FFFFFF"/>
        </w:rPr>
        <w:t>(1), p.101984.</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Lim, S.Y., Liang, C., Li, M., Liang, M. and Smitha, M., 2022. Customer Satisfaction on Starbucks Malaysia Post-Covid 19 Pandemic. </w:t>
      </w:r>
      <w:r>
        <w:rPr>
          <w:rFonts w:hint="default" w:ascii="Arial" w:hAnsi="Arial" w:cs="Arial"/>
          <w:i/>
          <w:iCs/>
          <w:sz w:val="24"/>
          <w:szCs w:val="24"/>
          <w:shd w:val="clear" w:color="auto" w:fill="FFFFFF"/>
        </w:rPr>
        <w:t>International Journal of Tourism and Hospitality in Asia Pasific (IJTHAP)</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5</w:t>
      </w:r>
      <w:r>
        <w:rPr>
          <w:rFonts w:hint="default" w:ascii="Arial" w:hAnsi="Arial" w:cs="Arial"/>
          <w:sz w:val="24"/>
          <w:szCs w:val="24"/>
          <w:shd w:val="clear" w:color="auto" w:fill="FFFFFF"/>
        </w:rPr>
        <w:t>(3), pp.92-104.</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Liu, M., 2023. In the Post-pandemic and Internet 4.0 era, Cafes’ New Operation Mode of Compound Space. </w:t>
      </w:r>
      <w:r>
        <w:rPr>
          <w:rFonts w:hint="default" w:ascii="Arial" w:hAnsi="Arial" w:cs="Arial"/>
          <w:i/>
          <w:iCs/>
          <w:sz w:val="24"/>
          <w:szCs w:val="24"/>
          <w:shd w:val="clear" w:color="auto" w:fill="FFFFFF"/>
        </w:rPr>
        <w:t>Frontiers in Business, Economics and Management</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7</w:t>
      </w:r>
      <w:r>
        <w:rPr>
          <w:rFonts w:hint="default" w:ascii="Arial" w:hAnsi="Arial" w:cs="Arial"/>
          <w:sz w:val="24"/>
          <w:szCs w:val="24"/>
          <w:shd w:val="clear" w:color="auto" w:fill="FFFFFF"/>
        </w:rPr>
        <w:t>(1), pp.24-33.</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Liu, X., 2022, July. Exploring the Future Value of Starbucks. In </w:t>
      </w:r>
      <w:r>
        <w:rPr>
          <w:rFonts w:hint="default" w:ascii="Arial" w:hAnsi="Arial" w:cs="Arial"/>
          <w:i/>
          <w:iCs/>
          <w:sz w:val="24"/>
          <w:szCs w:val="24"/>
          <w:shd w:val="clear" w:color="auto" w:fill="FFFFFF"/>
        </w:rPr>
        <w:t>2022 2nd International Conference on Enterprise Management and Economic Development (ICEMED 2022)</w:t>
      </w:r>
      <w:r>
        <w:rPr>
          <w:rFonts w:hint="default" w:ascii="Arial" w:hAnsi="Arial" w:cs="Arial"/>
          <w:sz w:val="24"/>
          <w:szCs w:val="24"/>
          <w:shd w:val="clear" w:color="auto" w:fill="FFFFFF"/>
        </w:rPr>
        <w:t> (pp. 793-800). Atlantis Press.</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Lombardi, C.V., Chidiac, N.T. and Record, B.C., 2021. Starbucks coffee corporation’s marketing response to the COVID-19 pandemic. </w:t>
      </w:r>
      <w:r>
        <w:rPr>
          <w:rFonts w:hint="default" w:ascii="Arial" w:hAnsi="Arial" w:cs="Arial"/>
          <w:i/>
          <w:iCs/>
          <w:sz w:val="24"/>
          <w:szCs w:val="24"/>
          <w:shd w:val="clear" w:color="auto" w:fill="FFFFFF"/>
        </w:rPr>
        <w:t>Innovative Marketing</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17</w:t>
      </w:r>
      <w:r>
        <w:rPr>
          <w:rFonts w:hint="default" w:ascii="Arial" w:hAnsi="Arial" w:cs="Arial"/>
          <w:sz w:val="24"/>
          <w:szCs w:val="24"/>
          <w:shd w:val="clear" w:color="auto" w:fill="FFFFFF"/>
        </w:rPr>
        <w:t>(2), p.177.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Mak, A.H. and Chang, R.C., 2019. The driving and restraining forces for environmental strategy adoption in the hotel industry: A force field analysis approach. </w:t>
      </w:r>
      <w:r>
        <w:rPr>
          <w:rFonts w:hint="default" w:ascii="Arial" w:hAnsi="Arial" w:cs="Arial"/>
          <w:i/>
          <w:iCs/>
          <w:sz w:val="24"/>
          <w:szCs w:val="24"/>
          <w:shd w:val="clear" w:color="auto" w:fill="FFFFFF"/>
        </w:rPr>
        <w:t>Tourism Management</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73</w:t>
      </w:r>
      <w:r>
        <w:rPr>
          <w:rFonts w:hint="default" w:ascii="Arial" w:hAnsi="Arial" w:cs="Arial"/>
          <w:sz w:val="24"/>
          <w:szCs w:val="24"/>
          <w:shd w:val="clear" w:color="auto" w:fill="FFFFFF"/>
        </w:rPr>
        <w:t>, pp.48-60.</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Mansaray, H.E., 2019. The role of leadership style in organisational change management: a literature review. </w:t>
      </w:r>
      <w:r>
        <w:rPr>
          <w:rFonts w:hint="default" w:ascii="Arial" w:hAnsi="Arial" w:cs="Arial"/>
          <w:i/>
          <w:iCs/>
          <w:sz w:val="24"/>
          <w:szCs w:val="24"/>
          <w:shd w:val="clear" w:color="auto" w:fill="FFFFFF"/>
        </w:rPr>
        <w:t>Journal of Human Resource Management</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7</w:t>
      </w:r>
      <w:r>
        <w:rPr>
          <w:rFonts w:hint="default" w:ascii="Arial" w:hAnsi="Arial" w:cs="Arial"/>
          <w:sz w:val="24"/>
          <w:szCs w:val="24"/>
          <w:shd w:val="clear" w:color="auto" w:fill="FFFFFF"/>
        </w:rPr>
        <w:t>(1), pp.18-31.</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Oreg, S. and Berson, Y., 2019. Leaders’ impact on organizational change: Bridging theoretical and methodological chasms. </w:t>
      </w:r>
      <w:r>
        <w:rPr>
          <w:rFonts w:hint="default" w:ascii="Arial" w:hAnsi="Arial" w:cs="Arial"/>
          <w:i/>
          <w:iCs/>
          <w:sz w:val="24"/>
          <w:szCs w:val="24"/>
          <w:shd w:val="clear" w:color="auto" w:fill="FFFFFF"/>
        </w:rPr>
        <w:t>Academy of Management Annals</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13</w:t>
      </w:r>
      <w:r>
        <w:rPr>
          <w:rFonts w:hint="default" w:ascii="Arial" w:hAnsi="Arial" w:cs="Arial"/>
          <w:sz w:val="24"/>
          <w:szCs w:val="24"/>
          <w:shd w:val="clear" w:color="auto" w:fill="FFFFFF"/>
        </w:rPr>
        <w:t>(1), pp.272-307.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Roşca, V.I., 2020. Implications of Lewin’s field theory on social change. In </w:t>
      </w:r>
      <w:r>
        <w:rPr>
          <w:rFonts w:hint="default" w:ascii="Arial" w:hAnsi="Arial" w:cs="Arial"/>
          <w:i/>
          <w:iCs/>
          <w:sz w:val="24"/>
          <w:szCs w:val="24"/>
          <w:shd w:val="clear" w:color="auto" w:fill="FFFFFF"/>
        </w:rPr>
        <w:t>Proceedings of the International Conference on Business Excellence</w:t>
      </w:r>
      <w:r>
        <w:rPr>
          <w:rFonts w:hint="default" w:ascii="Arial" w:hAnsi="Arial" w:cs="Arial"/>
          <w:sz w:val="24"/>
          <w:szCs w:val="24"/>
          <w:shd w:val="clear" w:color="auto" w:fill="FFFFFF"/>
        </w:rPr>
        <w:t> (Vol. 14, No. 1, pp. 617-625).</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Sander, R. and Peters, C., 2021, October. Artificial Intelligence in the Customer Journey: A Systematic Overview of the Most Popular Use Cases Through the Creation of AI Archetypes. In </w:t>
      </w:r>
      <w:r>
        <w:rPr>
          <w:rFonts w:hint="default" w:ascii="Arial" w:hAnsi="Arial" w:cs="Arial"/>
          <w:i/>
          <w:iCs/>
          <w:sz w:val="24"/>
          <w:szCs w:val="24"/>
          <w:shd w:val="clear" w:color="auto" w:fill="FFFFFF"/>
        </w:rPr>
        <w:t>Conference of the European Association for Research on Services (RESER)</w:t>
      </w:r>
      <w:r>
        <w:rPr>
          <w:rFonts w:hint="default" w:ascii="Arial" w:hAnsi="Arial" w:cs="Arial"/>
          <w:sz w:val="24"/>
          <w:szCs w:val="24"/>
          <w:shd w:val="clear" w:color="auto" w:fill="FFFFFF"/>
        </w:rPr>
        <w:t>.</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Shim, J., Moon, J., Song, M. and Lee, W.S., 2021. Antecedents of purchase intention at Starbucks in the context of COVID-19 pandemic. </w:t>
      </w:r>
      <w:r>
        <w:rPr>
          <w:rFonts w:hint="default" w:ascii="Arial" w:hAnsi="Arial" w:cs="Arial"/>
          <w:i/>
          <w:iCs/>
          <w:sz w:val="24"/>
          <w:szCs w:val="24"/>
          <w:shd w:val="clear" w:color="auto" w:fill="FFFFFF"/>
        </w:rPr>
        <w:t>Sustainability</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13</w:t>
      </w:r>
      <w:r>
        <w:rPr>
          <w:rFonts w:hint="default" w:ascii="Arial" w:hAnsi="Arial" w:cs="Arial"/>
          <w:sz w:val="24"/>
          <w:szCs w:val="24"/>
          <w:shd w:val="clear" w:color="auto" w:fill="FFFFFF"/>
        </w:rPr>
        <w:t>(4), p.1758.</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Sinha, R., Ganatra, V., Pandey, P., Kee, D.M.H., Lekha, G.S., Kumar, N., Kew, S.D., Dhupad, A., Nair, R.K., Tenh, Y.Y. and Yue, H., 2021. Impact of Covid-19 on business performance: A Case Study of Starbucks. </w:t>
      </w:r>
      <w:r>
        <w:rPr>
          <w:rFonts w:hint="default" w:ascii="Arial" w:hAnsi="Arial" w:cs="Arial"/>
          <w:i/>
          <w:iCs/>
          <w:sz w:val="24"/>
          <w:szCs w:val="24"/>
          <w:shd w:val="clear" w:color="auto" w:fill="FFFFFF"/>
        </w:rPr>
        <w:t>International journal of Tourism and hospitality in Asia Pasific (IJTHAP)</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4</w:t>
      </w:r>
      <w:r>
        <w:rPr>
          <w:rFonts w:hint="default" w:ascii="Arial" w:hAnsi="Arial" w:cs="Arial"/>
          <w:sz w:val="24"/>
          <w:szCs w:val="24"/>
          <w:shd w:val="clear" w:color="auto" w:fill="FFFFFF"/>
        </w:rPr>
        <w:t>(2), pp.13-27.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Spurlock Jr, D., 2020. Scholarship during a pandemic: Secondary data analysis. </w:t>
      </w:r>
      <w:r>
        <w:rPr>
          <w:rFonts w:hint="default" w:ascii="Arial" w:hAnsi="Arial" w:cs="Arial"/>
          <w:i/>
          <w:iCs/>
          <w:sz w:val="24"/>
          <w:szCs w:val="24"/>
          <w:shd w:val="clear" w:color="auto" w:fill="FFFFFF"/>
        </w:rPr>
        <w:t>Journal of Nursing Education</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59</w:t>
      </w:r>
      <w:r>
        <w:rPr>
          <w:rFonts w:hint="default" w:ascii="Arial" w:hAnsi="Arial" w:cs="Arial"/>
          <w:sz w:val="24"/>
          <w:szCs w:val="24"/>
          <w:shd w:val="clear" w:color="auto" w:fill="FFFFFF"/>
        </w:rPr>
        <w:t>(5), pp.245-247.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Subramaniam, T.V., 2020. Impact of social media on digital marketing: starbucks marketing strategy on Twitter. </w:t>
      </w:r>
      <w:r>
        <w:rPr>
          <w:rFonts w:hint="default" w:ascii="Arial" w:hAnsi="Arial" w:cs="Arial"/>
          <w:i/>
          <w:iCs/>
          <w:sz w:val="24"/>
          <w:szCs w:val="24"/>
          <w:shd w:val="clear" w:color="auto" w:fill="FFFFFF"/>
        </w:rPr>
        <w:t>Case study</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2</w:t>
      </w:r>
      <w:r>
        <w:rPr>
          <w:rFonts w:hint="default" w:ascii="Arial" w:hAnsi="Arial" w:cs="Arial"/>
          <w:sz w:val="24"/>
          <w:szCs w:val="24"/>
          <w:shd w:val="clear" w:color="auto" w:fill="FFFFFF"/>
        </w:rPr>
        <w:t>, pp.1-7.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rPr>
      </w:pPr>
      <w:r>
        <w:rPr>
          <w:rFonts w:hint="default" w:ascii="Arial" w:hAnsi="Arial" w:cs="Arial"/>
          <w:sz w:val="24"/>
          <w:szCs w:val="24"/>
          <w:shd w:val="clear" w:color="auto" w:fill="FFFFFF"/>
        </w:rPr>
        <w:t>Tidd, J. and Bessant, J.R., 2020. </w:t>
      </w:r>
      <w:r>
        <w:rPr>
          <w:rFonts w:hint="default" w:ascii="Arial" w:hAnsi="Arial" w:cs="Arial"/>
          <w:i/>
          <w:iCs/>
          <w:sz w:val="24"/>
          <w:szCs w:val="24"/>
          <w:shd w:val="clear" w:color="auto" w:fill="FFFFFF"/>
        </w:rPr>
        <w:t>Managing innovation: integrating technological, market and organizational change</w:t>
      </w:r>
      <w:r>
        <w:rPr>
          <w:rFonts w:hint="default" w:ascii="Arial" w:hAnsi="Arial" w:cs="Arial"/>
          <w:sz w:val="24"/>
          <w:szCs w:val="24"/>
          <w:shd w:val="clear" w:color="auto" w:fill="FFFFFF"/>
        </w:rPr>
        <w:t>. John Wiley &amp; Sons.</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rPr>
      </w:pPr>
      <w:r>
        <w:rPr>
          <w:rFonts w:hint="default" w:ascii="Arial" w:hAnsi="Arial" w:cs="Arial"/>
          <w:sz w:val="24"/>
          <w:szCs w:val="24"/>
          <w:shd w:val="clear" w:color="auto" w:fill="FFFFFF"/>
        </w:rPr>
        <w:t>Xinyue, O., Qiao, L. and Yang, C., 2022, July. Research on Financial Risk Management in Coffee Industry under COVID-19. In </w:t>
      </w:r>
      <w:r>
        <w:rPr>
          <w:rFonts w:hint="default" w:ascii="Arial" w:hAnsi="Arial" w:cs="Arial"/>
          <w:i/>
          <w:iCs/>
          <w:sz w:val="24"/>
          <w:szCs w:val="24"/>
          <w:shd w:val="clear" w:color="auto" w:fill="FFFFFF"/>
        </w:rPr>
        <w:t>2022 2nd International Conference on Enterprise Management and Economic Development (ICEMED 2022)</w:t>
      </w:r>
      <w:r>
        <w:rPr>
          <w:rFonts w:hint="default" w:ascii="Arial" w:hAnsi="Arial" w:cs="Arial"/>
          <w:sz w:val="24"/>
          <w:szCs w:val="24"/>
          <w:shd w:val="clear" w:color="auto" w:fill="FFFFFF"/>
        </w:rPr>
        <w:t> (pp. 3-9). Atlantis Press.</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rPr>
      </w:pPr>
      <w:r>
        <w:rPr>
          <w:rFonts w:hint="default" w:ascii="Arial" w:hAnsi="Arial" w:cs="Arial"/>
          <w:sz w:val="24"/>
          <w:szCs w:val="24"/>
          <w:shd w:val="clear" w:color="auto" w:fill="FFFFFF"/>
        </w:rPr>
        <w:t>Yu, H., Li, S., Li, G. and Wang, D., 2021. How to Maximize Business Opportunities-Take Starbucks, for Example. </w:t>
      </w:r>
      <w:r>
        <w:rPr>
          <w:rFonts w:hint="default" w:ascii="Arial" w:hAnsi="Arial" w:cs="Arial"/>
          <w:i/>
          <w:iCs/>
          <w:sz w:val="24"/>
          <w:szCs w:val="24"/>
          <w:shd w:val="clear" w:color="auto" w:fill="FFFFFF"/>
        </w:rPr>
        <w:t>Learning &amp; Education</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10</w:t>
      </w:r>
      <w:r>
        <w:rPr>
          <w:rFonts w:hint="default" w:ascii="Arial" w:hAnsi="Arial" w:cs="Arial"/>
          <w:sz w:val="24"/>
          <w:szCs w:val="24"/>
          <w:shd w:val="clear" w:color="auto" w:fill="FFFFFF"/>
        </w:rPr>
        <w:t>(2), pp.132-133.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02FF" w:usb1="4000ACFF" w:usb2="00000001" w:usb3="00000000" w:csb0="2000019F" w:csb1="00000000"/>
  </w:font>
  <w:font w:name="Calibri">
    <w:panose1 w:val="020F0502020204030204"/>
    <w:charset w:val="00"/>
    <w:family w:val="auto"/>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 w:name="等线 Light">
    <w:altName w:val="ksdb"/>
    <w:panose1 w:val="00000000000000000000"/>
    <w:charset w:val="00"/>
    <w:family w:val="auto"/>
    <w:pitch w:val="default"/>
    <w:sig w:usb0="00000000" w:usb1="00000000" w:usb2="00000000" w:usb3="00000000" w:csb0="00000000" w:csb1="00000000"/>
  </w:font>
  <w:font w:name="ksdb">
    <w:panose1 w:val="02000500000000000000"/>
    <w:charset w:val="00"/>
    <w:family w:val="auto"/>
    <w:pitch w:val="default"/>
    <w:sig w:usb0="00000001" w:usb1="00000000" w:usb2="00000000" w:usb3="00000000" w:csb0="00000001" w:csb1="00000000"/>
  </w:font>
  <w:font w:name="Aharoni">
    <w:panose1 w:val="02010803020104030203"/>
    <w:charset w:val="00"/>
    <w:family w:val="auto"/>
    <w:pitch w:val="default"/>
    <w:sig w:usb0="00000801" w:usb1="00000000" w:usb2="00000000" w:usb3="00000000" w:csb0="00000020" w:csb1="00200000"/>
  </w:font>
  <w:font w:name="Arial">
    <w:panose1 w:val="020B0604020202020204"/>
    <w:charset w:val="00"/>
    <w:family w:val="auto"/>
    <w:pitch w:val="default"/>
    <w:sig w:usb0="E0002AFF" w:usb1="C0007843" w:usb2="00000009" w:usb3="00000000" w:csb0="400001FF" w:csb1="FFFF0000"/>
  </w:font>
  <w:font w:name="方正粗黑宋简体">
    <w:panose1 w:val="02000000000000000000"/>
    <w:charset w:val="86"/>
    <w:family w:val="auto"/>
    <w:pitch w:val="default"/>
    <w:sig w:usb0="A00002BF" w:usb1="184F6CFA" w:usb2="00000012" w:usb3="00000000" w:csb0="00040001" w:csb1="00000000"/>
  </w:font>
  <w:font w:name="DotumChe">
    <w:panose1 w:val="020B0609000101010101"/>
    <w:charset w:val="81"/>
    <w:family w:val="auto"/>
    <w:pitch w:val="default"/>
    <w:sig w:usb0="B00002AF" w:usb1="69D77CFB" w:usb2="00000030" w:usb3="00000000" w:csb0="4008009F" w:csb1="DFD70000"/>
  </w:font>
  <w:font w:name="Malgun Gothic">
    <w:panose1 w:val="020B0503020000020004"/>
    <w:charset w:val="81"/>
    <w:family w:val="auto"/>
    <w:pitch w:val="default"/>
    <w:sig w:usb0="900002AF" w:usb1="01D77CFB" w:usb2="00000012" w:usb3="00000000" w:csb0="00080001" w:csb1="00000000"/>
  </w:font>
  <w:font w:name="Microsoft JhengHei">
    <w:panose1 w:val="020B0604030504040204"/>
    <w:charset w:val="88"/>
    <w:family w:val="auto"/>
    <w:pitch w:val="default"/>
    <w:sig w:usb0="00000087" w:usb1="28AF4000" w:usb2="00000016" w:usb3="00000000" w:csb0="00100009" w:csb1="00000000"/>
  </w:font>
  <w:font w:name="SimSun-ExtB">
    <w:panose1 w:val="02010609060101010101"/>
    <w:charset w:val="86"/>
    <w:family w:val="auto"/>
    <w:pitch w:val="default"/>
    <w:sig w:usb0="00000001" w:usb1="02000000" w:usb2="00000000" w:usb3="00000000" w:csb0="00040001" w:csb1="00000000"/>
  </w:font>
  <w:font w:name="AngsanaUPC">
    <w:panose1 w:val="02020603050405020304"/>
    <w:charset w:val="00"/>
    <w:family w:val="auto"/>
    <w:pitch w:val="default"/>
    <w:sig w:usb0="81000003" w:usb1="00000000" w:usb2="00000000" w:usb3="00000000" w:csb0="0001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9042032"/>
      <w:docPartObj>
        <w:docPartGallery w:val="AutoText"/>
      </w:docPartObj>
    </w:sdtPr>
    <w:sdtContent>
      <w:p>
        <w:pPr>
          <w:pStyle w:val="8"/>
          <w:jc w:val="center"/>
        </w:pPr>
        <w:r>
          <w:fldChar w:fldCharType="begin"/>
        </w:r>
        <w:r>
          <w:instrText xml:space="preserve"> PAGE   \* MERGEFORMAT </w:instrText>
        </w:r>
        <w:r>
          <w:fldChar w:fldCharType="separate"/>
        </w:r>
        <w:r>
          <w:t>2</w:t>
        </w:r>
        <w:r>
          <w:fldChar w:fldCharType="end"/>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TU0ODMyMGY1YWZjOTg1Nzk3YWIzOGRhNzgyZjRmZTQifQ=="/>
  </w:docVars>
  <w:rsids>
    <w:rsidRoot w:val="003E79EC"/>
    <w:rsid w:val="00011440"/>
    <w:rsid w:val="00040429"/>
    <w:rsid w:val="000419C5"/>
    <w:rsid w:val="000506C2"/>
    <w:rsid w:val="00052CA2"/>
    <w:rsid w:val="00095BF2"/>
    <w:rsid w:val="000A4C07"/>
    <w:rsid w:val="000B2158"/>
    <w:rsid w:val="00111D22"/>
    <w:rsid w:val="00125497"/>
    <w:rsid w:val="00152A3F"/>
    <w:rsid w:val="00190C4A"/>
    <w:rsid w:val="001A5336"/>
    <w:rsid w:val="001F535A"/>
    <w:rsid w:val="00201FDB"/>
    <w:rsid w:val="00206DA5"/>
    <w:rsid w:val="00265CA3"/>
    <w:rsid w:val="0028085C"/>
    <w:rsid w:val="002F2FA3"/>
    <w:rsid w:val="00305533"/>
    <w:rsid w:val="003140E3"/>
    <w:rsid w:val="00326FCB"/>
    <w:rsid w:val="0034763F"/>
    <w:rsid w:val="003820BA"/>
    <w:rsid w:val="00385ACB"/>
    <w:rsid w:val="003A75F7"/>
    <w:rsid w:val="003C2536"/>
    <w:rsid w:val="003E79EC"/>
    <w:rsid w:val="003F7723"/>
    <w:rsid w:val="00422CCB"/>
    <w:rsid w:val="004264F5"/>
    <w:rsid w:val="0043725E"/>
    <w:rsid w:val="00442D61"/>
    <w:rsid w:val="00492837"/>
    <w:rsid w:val="004D7DD6"/>
    <w:rsid w:val="004F0F8C"/>
    <w:rsid w:val="00506C2B"/>
    <w:rsid w:val="00512C7F"/>
    <w:rsid w:val="005244FE"/>
    <w:rsid w:val="0053777D"/>
    <w:rsid w:val="00570C8A"/>
    <w:rsid w:val="005C4870"/>
    <w:rsid w:val="005E18A1"/>
    <w:rsid w:val="005F274C"/>
    <w:rsid w:val="005F51D3"/>
    <w:rsid w:val="00610CF0"/>
    <w:rsid w:val="0062525B"/>
    <w:rsid w:val="00647DAE"/>
    <w:rsid w:val="0066595A"/>
    <w:rsid w:val="006B2087"/>
    <w:rsid w:val="006B5AA1"/>
    <w:rsid w:val="006C0DE0"/>
    <w:rsid w:val="006C49AF"/>
    <w:rsid w:val="006E1BCB"/>
    <w:rsid w:val="007501F1"/>
    <w:rsid w:val="00764476"/>
    <w:rsid w:val="007661EA"/>
    <w:rsid w:val="00777942"/>
    <w:rsid w:val="007968B6"/>
    <w:rsid w:val="007F5DDA"/>
    <w:rsid w:val="00802FC7"/>
    <w:rsid w:val="00824053"/>
    <w:rsid w:val="008264FE"/>
    <w:rsid w:val="00864C39"/>
    <w:rsid w:val="00870DCC"/>
    <w:rsid w:val="00872416"/>
    <w:rsid w:val="008750D0"/>
    <w:rsid w:val="008771F5"/>
    <w:rsid w:val="008B66DE"/>
    <w:rsid w:val="008E1864"/>
    <w:rsid w:val="008E38BF"/>
    <w:rsid w:val="008F4F74"/>
    <w:rsid w:val="0090357B"/>
    <w:rsid w:val="00912955"/>
    <w:rsid w:val="00927053"/>
    <w:rsid w:val="00950085"/>
    <w:rsid w:val="0095795C"/>
    <w:rsid w:val="00970027"/>
    <w:rsid w:val="00982320"/>
    <w:rsid w:val="009A4044"/>
    <w:rsid w:val="009D0C21"/>
    <w:rsid w:val="00A2392B"/>
    <w:rsid w:val="00A25A22"/>
    <w:rsid w:val="00A32185"/>
    <w:rsid w:val="00A420D0"/>
    <w:rsid w:val="00A437E7"/>
    <w:rsid w:val="00A721FF"/>
    <w:rsid w:val="00AC0B4A"/>
    <w:rsid w:val="00AF426C"/>
    <w:rsid w:val="00B14D4A"/>
    <w:rsid w:val="00B6228C"/>
    <w:rsid w:val="00B6540C"/>
    <w:rsid w:val="00BC5229"/>
    <w:rsid w:val="00C054CA"/>
    <w:rsid w:val="00C06430"/>
    <w:rsid w:val="00C61F08"/>
    <w:rsid w:val="00CC3AB7"/>
    <w:rsid w:val="00CD3038"/>
    <w:rsid w:val="00CE368A"/>
    <w:rsid w:val="00CF5163"/>
    <w:rsid w:val="00CF5FD7"/>
    <w:rsid w:val="00D30D1F"/>
    <w:rsid w:val="00D5199B"/>
    <w:rsid w:val="00D559E9"/>
    <w:rsid w:val="00D62EC7"/>
    <w:rsid w:val="00D634E5"/>
    <w:rsid w:val="00D6677B"/>
    <w:rsid w:val="00D721D3"/>
    <w:rsid w:val="00D95F69"/>
    <w:rsid w:val="00D9720C"/>
    <w:rsid w:val="00DF0CBC"/>
    <w:rsid w:val="00DF53D8"/>
    <w:rsid w:val="00DF7EAE"/>
    <w:rsid w:val="00E44854"/>
    <w:rsid w:val="00E45C30"/>
    <w:rsid w:val="00E45FCD"/>
    <w:rsid w:val="00E64342"/>
    <w:rsid w:val="00E7352D"/>
    <w:rsid w:val="00E83A7E"/>
    <w:rsid w:val="00EA7009"/>
    <w:rsid w:val="00EC2C5E"/>
    <w:rsid w:val="00ED1492"/>
    <w:rsid w:val="00EF331E"/>
    <w:rsid w:val="00EF3E65"/>
    <w:rsid w:val="00EF4637"/>
    <w:rsid w:val="00F00B2B"/>
    <w:rsid w:val="00F361BD"/>
    <w:rsid w:val="00F61403"/>
    <w:rsid w:val="00F743BB"/>
    <w:rsid w:val="00F75C45"/>
    <w:rsid w:val="00F77747"/>
    <w:rsid w:val="00F91E29"/>
    <w:rsid w:val="00FA27DB"/>
    <w:rsid w:val="00FC6D5E"/>
    <w:rsid w:val="00FD2C96"/>
    <w:rsid w:val="20CE739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26"/>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19"/>
    <w:qFormat/>
    <w:uiPriority w:val="9"/>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4">
    <w:name w:val="heading 3"/>
    <w:basedOn w:val="1"/>
    <w:next w:val="1"/>
    <w:link w:val="20"/>
    <w:qFormat/>
    <w:uiPriority w:val="9"/>
    <w:pPr>
      <w:spacing w:before="100" w:beforeAutospacing="1" w:after="100" w:afterAutospacing="1" w:line="240" w:lineRule="auto"/>
      <w:outlineLvl w:val="2"/>
    </w:pPr>
    <w:rPr>
      <w:rFonts w:ascii="Times New Roman" w:hAnsi="Times New Roman" w:eastAsia="Times New Roman" w:cs="Times New Roman"/>
      <w:b/>
      <w:bCs/>
      <w:sz w:val="27"/>
      <w:szCs w:val="27"/>
    </w:rPr>
  </w:style>
  <w:style w:type="paragraph" w:styleId="5">
    <w:name w:val="heading 4"/>
    <w:basedOn w:val="1"/>
    <w:next w:val="1"/>
    <w:link w:val="21"/>
    <w:semiHidden/>
    <w:unhideWhenUsed/>
    <w:qFormat/>
    <w:uiPriority w:val="9"/>
    <w:pPr>
      <w:keepNext/>
      <w:keepLines/>
      <w:spacing w:before="40" w:after="0"/>
      <w:outlineLvl w:val="3"/>
    </w:pPr>
    <w:rPr>
      <w:rFonts w:asciiTheme="majorHAnsi" w:hAnsiTheme="majorHAnsi" w:eastAsiaTheme="majorEastAsia" w:cstheme="majorBidi"/>
      <w:i/>
      <w:iCs/>
      <w:color w:val="2F5597" w:themeColor="accent1" w:themeShade="BF"/>
    </w:rPr>
  </w:style>
  <w:style w:type="paragraph" w:styleId="6">
    <w:name w:val="heading 5"/>
    <w:basedOn w:val="1"/>
    <w:next w:val="1"/>
    <w:link w:val="22"/>
    <w:semiHidden/>
    <w:unhideWhenUsed/>
    <w:qFormat/>
    <w:uiPriority w:val="9"/>
    <w:pPr>
      <w:keepNext/>
      <w:keepLines/>
      <w:spacing w:before="40" w:after="0"/>
      <w:outlineLvl w:val="4"/>
    </w:pPr>
    <w:rPr>
      <w:rFonts w:asciiTheme="majorHAnsi" w:hAnsiTheme="majorHAnsi" w:eastAsiaTheme="majorEastAsia" w:cstheme="majorBidi"/>
      <w:color w:val="2F5597" w:themeColor="accent1" w:themeShade="BF"/>
    </w:rPr>
  </w:style>
  <w:style w:type="character" w:default="1" w:styleId="14">
    <w:name w:val="Default Paragraph Font"/>
    <w:semiHidden/>
    <w:unhideWhenUsed/>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7">
    <w:name w:val="toc 3"/>
    <w:basedOn w:val="1"/>
    <w:next w:val="1"/>
    <w:unhideWhenUsed/>
    <w:uiPriority w:val="39"/>
    <w:pPr>
      <w:spacing w:after="100"/>
      <w:ind w:left="440"/>
    </w:pPr>
  </w:style>
  <w:style w:type="paragraph" w:styleId="8">
    <w:name w:val="footer"/>
    <w:basedOn w:val="1"/>
    <w:link w:val="29"/>
    <w:unhideWhenUsed/>
    <w:uiPriority w:val="99"/>
    <w:pPr>
      <w:tabs>
        <w:tab w:val="center" w:pos="4680"/>
        <w:tab w:val="right" w:pos="9360"/>
      </w:tabs>
      <w:spacing w:after="0" w:line="240" w:lineRule="auto"/>
    </w:pPr>
  </w:style>
  <w:style w:type="paragraph" w:styleId="9">
    <w:name w:val="header"/>
    <w:basedOn w:val="1"/>
    <w:link w:val="28"/>
    <w:unhideWhenUsed/>
    <w:uiPriority w:val="99"/>
    <w:pPr>
      <w:tabs>
        <w:tab w:val="center" w:pos="4680"/>
        <w:tab w:val="right" w:pos="9360"/>
      </w:tabs>
      <w:spacing w:after="0" w:line="240" w:lineRule="auto"/>
    </w:pPr>
  </w:style>
  <w:style w:type="paragraph" w:styleId="10">
    <w:name w:val="toc 1"/>
    <w:basedOn w:val="1"/>
    <w:next w:val="1"/>
    <w:unhideWhenUsed/>
    <w:uiPriority w:val="39"/>
    <w:pPr>
      <w:spacing w:after="100"/>
    </w:pPr>
  </w:style>
  <w:style w:type="paragraph" w:styleId="11">
    <w:name w:val="toc 2"/>
    <w:basedOn w:val="1"/>
    <w:next w:val="1"/>
    <w:unhideWhenUsed/>
    <w:uiPriority w:val="39"/>
    <w:pPr>
      <w:spacing w:after="100"/>
      <w:ind w:left="220"/>
    </w:pPr>
  </w:style>
  <w:style w:type="paragraph" w:styleId="12">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15">
    <w:name w:val="Strong"/>
    <w:basedOn w:val="14"/>
    <w:qFormat/>
    <w:uiPriority w:val="22"/>
    <w:rPr>
      <w:b/>
      <w:bCs/>
    </w:rPr>
  </w:style>
  <w:style w:type="character" w:styleId="16">
    <w:name w:val="Emphasis"/>
    <w:basedOn w:val="14"/>
    <w:qFormat/>
    <w:uiPriority w:val="20"/>
    <w:rPr>
      <w:i/>
      <w:iCs/>
    </w:rPr>
  </w:style>
  <w:style w:type="character" w:styleId="17">
    <w:name w:val="Hyperlink"/>
    <w:basedOn w:val="14"/>
    <w:unhideWhenUsed/>
    <w:uiPriority w:val="99"/>
    <w:rPr>
      <w:color w:val="0000FF"/>
      <w:u w:val="single"/>
    </w:rPr>
  </w:style>
  <w:style w:type="paragraph" w:styleId="18">
    <w:name w:val="List Paragraph"/>
    <w:basedOn w:val="1"/>
    <w:qFormat/>
    <w:uiPriority w:val="34"/>
    <w:pPr>
      <w:ind w:left="720"/>
      <w:contextualSpacing/>
    </w:pPr>
  </w:style>
  <w:style w:type="character" w:customStyle="1" w:styleId="19">
    <w:name w:val="Heading 2 Char"/>
    <w:basedOn w:val="14"/>
    <w:link w:val="3"/>
    <w:uiPriority w:val="9"/>
    <w:rPr>
      <w:rFonts w:ascii="Times New Roman" w:hAnsi="Times New Roman" w:eastAsia="Times New Roman" w:cs="Times New Roman"/>
      <w:b/>
      <w:bCs/>
      <w:sz w:val="36"/>
      <w:szCs w:val="36"/>
    </w:rPr>
  </w:style>
  <w:style w:type="character" w:customStyle="1" w:styleId="20">
    <w:name w:val="Heading 3 Char"/>
    <w:basedOn w:val="14"/>
    <w:link w:val="4"/>
    <w:uiPriority w:val="9"/>
    <w:rPr>
      <w:rFonts w:ascii="Times New Roman" w:hAnsi="Times New Roman" w:eastAsia="Times New Roman" w:cs="Times New Roman"/>
      <w:b/>
      <w:bCs/>
      <w:sz w:val="27"/>
      <w:szCs w:val="27"/>
    </w:rPr>
  </w:style>
  <w:style w:type="character" w:customStyle="1" w:styleId="21">
    <w:name w:val="Heading 4 Char"/>
    <w:basedOn w:val="14"/>
    <w:link w:val="5"/>
    <w:semiHidden/>
    <w:uiPriority w:val="9"/>
    <w:rPr>
      <w:rFonts w:asciiTheme="majorHAnsi" w:hAnsiTheme="majorHAnsi" w:eastAsiaTheme="majorEastAsia" w:cstheme="majorBidi"/>
      <w:i/>
      <w:iCs/>
      <w:color w:val="2F5597" w:themeColor="accent1" w:themeShade="BF"/>
    </w:rPr>
  </w:style>
  <w:style w:type="character" w:customStyle="1" w:styleId="22">
    <w:name w:val="Heading 5 Char"/>
    <w:basedOn w:val="14"/>
    <w:link w:val="6"/>
    <w:semiHidden/>
    <w:qFormat/>
    <w:uiPriority w:val="9"/>
    <w:rPr>
      <w:rFonts w:asciiTheme="majorHAnsi" w:hAnsiTheme="majorHAnsi" w:eastAsiaTheme="majorEastAsia" w:cstheme="majorBidi"/>
      <w:color w:val="2F5597" w:themeColor="accent1" w:themeShade="BF"/>
    </w:rPr>
  </w:style>
  <w:style w:type="paragraph" w:customStyle="1" w:styleId="23">
    <w:name w:val="mt-4"/>
    <w:basedOn w:val="1"/>
    <w:uiPriority w:val="0"/>
    <w:pPr>
      <w:spacing w:before="100" w:beforeAutospacing="1" w:after="100" w:afterAutospacing="1" w:line="240" w:lineRule="auto"/>
    </w:pPr>
    <w:rPr>
      <w:rFonts w:ascii="Times New Roman" w:hAnsi="Times New Roman" w:eastAsia="Times New Roman" w:cs="Times New Roman"/>
      <w:sz w:val="24"/>
      <w:szCs w:val="24"/>
    </w:rPr>
  </w:style>
  <w:style w:type="character" w:customStyle="1" w:styleId="24">
    <w:name w:val="cskcde"/>
    <w:basedOn w:val="14"/>
    <w:uiPriority w:val="0"/>
  </w:style>
  <w:style w:type="character" w:customStyle="1" w:styleId="25">
    <w:name w:val="hgkelc"/>
    <w:basedOn w:val="14"/>
    <w:uiPriority w:val="0"/>
  </w:style>
  <w:style w:type="character" w:customStyle="1" w:styleId="26">
    <w:name w:val="Heading 1 Char"/>
    <w:basedOn w:val="14"/>
    <w:link w:val="2"/>
    <w:uiPriority w:val="9"/>
    <w:rPr>
      <w:rFonts w:asciiTheme="majorHAnsi" w:hAnsiTheme="majorHAnsi" w:eastAsiaTheme="majorEastAsia" w:cstheme="majorBidi"/>
      <w:color w:val="2F5597" w:themeColor="accent1" w:themeShade="BF"/>
      <w:sz w:val="32"/>
      <w:szCs w:val="32"/>
    </w:rPr>
  </w:style>
  <w:style w:type="paragraph" w:customStyle="1" w:styleId="27">
    <w:name w:val="TOC Heading"/>
    <w:basedOn w:val="2"/>
    <w:next w:val="1"/>
    <w:unhideWhenUsed/>
    <w:qFormat/>
    <w:uiPriority w:val="39"/>
    <w:pPr>
      <w:outlineLvl w:val="9"/>
    </w:pPr>
  </w:style>
  <w:style w:type="character" w:customStyle="1" w:styleId="28">
    <w:name w:val="Header Char"/>
    <w:basedOn w:val="14"/>
    <w:link w:val="9"/>
    <w:uiPriority w:val="99"/>
  </w:style>
  <w:style w:type="character" w:customStyle="1" w:styleId="29">
    <w:name w:val="Footer Char"/>
    <w:basedOn w:val="14"/>
    <w:link w:val="8"/>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GIF"/><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6A98E-E446-43FF-8456-8BF750FECA98}">
  <ds:schemaRefs/>
</ds:datastoreItem>
</file>

<file path=docProps/app.xml><?xml version="1.0" encoding="utf-8"?>
<Properties xmlns="http://schemas.openxmlformats.org/officeDocument/2006/extended-properties" xmlns:vt="http://schemas.openxmlformats.org/officeDocument/2006/docPropsVTypes">
  <Template>Normal</Template>
  <Pages>20</Pages>
  <Words>4488</Words>
  <Characters>27272</Characters>
  <Lines>236</Lines>
  <Paragraphs>66</Paragraphs>
  <TotalTime>830</TotalTime>
  <ScaleCrop>false</ScaleCrop>
  <LinksUpToDate>false</LinksUpToDate>
  <CharactersWithSpaces>32003</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2023-04-24T11:45:00Z</dcterms:created>
  <dc:creator>apple</dc:creator>
  <cp:lastModifiedBy>尤他</cp:lastModifiedBy>
  <dcterms:modified xsi:type="dcterms:W3CDTF">2023-04-30T02:04:25Z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00f9ad68-74d7-4d13-8c80-14e43961b90d</vt:lpwstr>
  </property>
  <property fmtid="{D5CDD505-2E9C-101B-9397-08002B2CF9AE}" pid="3" name="KSOProductBuildVer">
    <vt:lpwstr>2052-11.1.0.14309</vt:lpwstr>
  </property>
  <property fmtid="{D5CDD505-2E9C-101B-9397-08002B2CF9AE}" pid="4" name="ICV">
    <vt:lpwstr>70FF555593834F3196063D28B904C15B_12</vt:lpwstr>
  </property>
</Properties>
</file>