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3836"/>
        <w:gridCol w:w="739"/>
        <w:gridCol w:w="555"/>
        <w:gridCol w:w="184"/>
        <w:gridCol w:w="739"/>
        <w:gridCol w:w="371"/>
        <w:gridCol w:w="370"/>
        <w:gridCol w:w="739"/>
        <w:gridCol w:w="186"/>
        <w:gridCol w:w="554"/>
        <w:gridCol w:w="743"/>
      </w:tblGrid>
      <w:tr w:rsidR="006854BE" w:rsidRPr="000C666D" w14:paraId="72260208" w14:textId="77777777" w:rsidTr="00B068B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CE6ED2E" w14:textId="77777777" w:rsidR="006854BE" w:rsidRPr="000C666D" w:rsidRDefault="006854BE" w:rsidP="00B068B7">
            <w:pPr>
              <w:rPr>
                <w:rFonts w:ascii="Trebuchet MS" w:eastAsia="Arial" w:hAnsi="Trebuchet MS" w:cs="Arial"/>
                <w:b/>
                <w:bCs/>
              </w:rPr>
            </w:pPr>
            <w:r w:rsidRPr="000C666D">
              <w:rPr>
                <w:rFonts w:ascii="Trebuchet MS" w:eastAsia="Arial" w:hAnsi="Trebuchet MS" w:cs="Arial"/>
                <w:b/>
                <w:bCs/>
                <w:szCs w:val="22"/>
              </w:rPr>
              <w:t>Please write clearly in block capitals.</w:t>
            </w:r>
            <w:r w:rsidRPr="000C666D">
              <w:rPr>
                <w:rFonts w:ascii="Trebuchet MS" w:hAnsi="Trebuchet MS"/>
              </w:rPr>
              <w:t xml:space="preserve">  </w:t>
            </w:r>
          </w:p>
        </w:tc>
      </w:tr>
      <w:tr w:rsidR="006854BE" w:rsidRPr="000C666D" w14:paraId="1B4B99C7" w14:textId="77777777" w:rsidTr="00B068B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728E4B8"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DB2B67" w14:textId="77777777" w:rsidR="006854BE" w:rsidRPr="000C666D" w:rsidRDefault="006854BE" w:rsidP="00B068B7">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1CEFFA" w14:textId="77777777" w:rsidR="006854BE" w:rsidRPr="000C666D" w:rsidRDefault="006854BE" w:rsidP="00B068B7">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2F1055" w14:textId="77777777" w:rsidR="006854BE" w:rsidRPr="000C666D" w:rsidRDefault="006854BE" w:rsidP="00B068B7">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923D70" w14:textId="77777777" w:rsidR="006854BE" w:rsidRPr="000C666D" w:rsidRDefault="006854BE" w:rsidP="00B068B7">
            <w:pPr>
              <w:rPr>
                <w:rFonts w:ascii="Trebuchet MS" w:eastAsia="Arial" w:hAnsi="Trebuchet MS" w:cs="Arial"/>
                <w:szCs w:val="22"/>
              </w:rPr>
            </w:pPr>
          </w:p>
        </w:tc>
      </w:tr>
      <w:tr w:rsidR="006854BE" w:rsidRPr="000C666D" w14:paraId="134A2BE7" w14:textId="77777777" w:rsidTr="00B068B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E572196"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Centre name:</w:t>
            </w:r>
          </w:p>
          <w:p w14:paraId="2FB05D79" w14:textId="77777777" w:rsidR="006854BE" w:rsidRPr="000C666D" w:rsidRDefault="006854BE" w:rsidP="00B068B7">
            <w:pPr>
              <w:rPr>
                <w:rFonts w:ascii="Trebuchet MS" w:eastAsia="Arial" w:hAnsi="Trebuchet MS"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FEA69A" w14:textId="77777777" w:rsidR="006854BE" w:rsidRPr="000C666D" w:rsidRDefault="006854BE" w:rsidP="00B068B7">
            <w:pPr>
              <w:rPr>
                <w:rFonts w:ascii="Trebuchet MS" w:eastAsia="Arial" w:hAnsi="Trebuchet MS" w:cs="Arial"/>
                <w:szCs w:val="22"/>
              </w:rPr>
            </w:pPr>
            <w:r>
              <w:rPr>
                <w:rFonts w:ascii="Trebuchet MS" w:eastAsia="Arial" w:hAnsi="Trebuchet MS" w:cs="Arial"/>
                <w:szCs w:val="22"/>
              </w:rPr>
              <w:t>University of Wales Trinity Saint David</w:t>
            </w:r>
          </w:p>
        </w:tc>
      </w:tr>
      <w:tr w:rsidR="006854BE" w:rsidRPr="000C666D" w14:paraId="19199355" w14:textId="77777777" w:rsidTr="00B068B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F82FB1C"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EE831DE" w14:textId="7AC80829" w:rsidR="006854BE" w:rsidRPr="000C666D" w:rsidRDefault="006854BE" w:rsidP="00B068B7">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CE038A" w14:textId="7BA01568" w:rsidR="006854BE" w:rsidRPr="000C666D" w:rsidRDefault="006854BE" w:rsidP="00B068B7">
            <w:pPr>
              <w:rPr>
                <w:rFonts w:ascii="Trebuchet MS" w:eastAsia="Arial" w:hAnsi="Trebuchet MS" w:cs="Arial"/>
                <w:szCs w:val="22"/>
              </w:rPr>
            </w:pPr>
            <w:r>
              <w:rPr>
                <w:rFonts w:ascii="Trebuchet MS" w:eastAsia="Arial" w:hAnsi="Trebuchet MS" w:cs="Arial"/>
                <w:szCs w:val="22"/>
              </w:rPr>
              <w:t>1</w:t>
            </w:r>
            <w:r w:rsidRPr="000C666D">
              <w:rPr>
                <w:rFonts w:ascii="Trebuchet MS" w:eastAsia="Arial" w:hAnsi="Trebuchet MS" w:cs="Arial"/>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66AA291" w14:textId="47621F9B" w:rsidR="006854BE" w:rsidRPr="000C666D" w:rsidRDefault="006854BE" w:rsidP="00B068B7">
            <w:pPr>
              <w:rPr>
                <w:rFonts w:ascii="Trebuchet MS" w:eastAsia="Arial" w:hAnsi="Trebuchet MS" w:cs="Arial"/>
                <w:szCs w:val="22"/>
              </w:rPr>
            </w:pPr>
            <w:r>
              <w:rPr>
                <w:rFonts w:ascii="Trebuchet MS" w:eastAsia="Arial" w:hAnsi="Trebuchet MS" w:cs="Arial"/>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B81EB" w14:textId="1A635BA5" w:rsidR="006854BE" w:rsidRPr="000C666D" w:rsidRDefault="006854BE" w:rsidP="00B068B7">
            <w:pPr>
              <w:rPr>
                <w:rFonts w:ascii="Trebuchet MS" w:eastAsia="Arial" w:hAnsi="Trebuchet MS" w:cs="Arial"/>
                <w:szCs w:val="22"/>
              </w:rPr>
            </w:pPr>
            <w:r>
              <w:rPr>
                <w:rFonts w:ascii="Trebuchet MS" w:eastAsia="Arial" w:hAnsi="Trebuchet MS" w:cs="Arial"/>
                <w:szCs w:val="22"/>
              </w:rPr>
              <w:t>6</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E40E48" w14:textId="70BF96B7" w:rsidR="006854BE" w:rsidRPr="000C666D" w:rsidRDefault="006854BE" w:rsidP="00B068B7">
            <w:pPr>
              <w:rPr>
                <w:rFonts w:ascii="Trebuchet MS" w:eastAsia="Arial" w:hAnsi="Trebuchet MS" w:cs="Arial"/>
                <w:szCs w:val="22"/>
              </w:rPr>
            </w:pPr>
            <w:r>
              <w:rPr>
                <w:rFonts w:ascii="Trebuchet MS" w:eastAsia="Arial" w:hAnsi="Trebuchet MS" w:cs="Arial"/>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04A803" w14:textId="0105D927" w:rsidR="006854BE" w:rsidRPr="000C666D" w:rsidRDefault="006854BE" w:rsidP="00B068B7">
            <w:pPr>
              <w:rPr>
                <w:rFonts w:ascii="Trebuchet MS" w:eastAsia="Arial" w:hAnsi="Trebuchet MS" w:cs="Arial"/>
                <w:szCs w:val="22"/>
              </w:rPr>
            </w:pPr>
            <w:r>
              <w:rPr>
                <w:rFonts w:ascii="Trebuchet MS" w:eastAsia="Arial" w:hAnsi="Trebuchet MS" w:cs="Arial"/>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AE5C5A" w14:textId="58686B95" w:rsidR="006854BE" w:rsidRPr="000C666D" w:rsidRDefault="006854BE" w:rsidP="00B068B7">
            <w:pPr>
              <w:rPr>
                <w:rFonts w:ascii="Trebuchet MS" w:eastAsia="Arial" w:hAnsi="Trebuchet MS" w:cs="Arial"/>
                <w:szCs w:val="22"/>
              </w:rPr>
            </w:pPr>
            <w:r>
              <w:rPr>
                <w:rFonts w:ascii="Trebuchet MS" w:eastAsia="Arial" w:hAnsi="Trebuchet MS" w:cs="Arial"/>
                <w:szCs w:val="22"/>
              </w:rPr>
              <w:t>3</w:t>
            </w:r>
          </w:p>
        </w:tc>
      </w:tr>
      <w:tr w:rsidR="006854BE" w:rsidRPr="000C666D" w14:paraId="1C3928D5"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5E4EC"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F9BEF52" w14:textId="60E7E885" w:rsidR="006854BE" w:rsidRPr="000C666D" w:rsidRDefault="006854BE" w:rsidP="00B068B7">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SANDERSON</w:t>
            </w:r>
          </w:p>
        </w:tc>
      </w:tr>
      <w:tr w:rsidR="006854BE" w:rsidRPr="000C666D" w14:paraId="46AB267D"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7E03996"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0E10E6" w14:textId="115EBEBD" w:rsidR="006854BE" w:rsidRPr="000C666D" w:rsidRDefault="006854BE" w:rsidP="00B068B7">
            <w:pPr>
              <w:rPr>
                <w:rFonts w:ascii="Trebuchet MS" w:eastAsia="Arial" w:hAnsi="Trebuchet MS" w:cs="Arial"/>
                <w:szCs w:val="22"/>
              </w:rPr>
            </w:pPr>
            <w:r w:rsidRPr="000C666D">
              <w:rPr>
                <w:rFonts w:ascii="Trebuchet MS" w:eastAsia="Arial" w:hAnsi="Trebuchet MS" w:cs="Arial"/>
                <w:szCs w:val="22"/>
              </w:rPr>
              <w:t xml:space="preserve"> </w:t>
            </w:r>
            <w:r>
              <w:rPr>
                <w:rFonts w:ascii="Trebuchet MS" w:eastAsia="Arial" w:hAnsi="Trebuchet MS" w:cs="Arial"/>
                <w:szCs w:val="22"/>
              </w:rPr>
              <w:t>LYDIA</w:t>
            </w:r>
          </w:p>
        </w:tc>
      </w:tr>
      <w:tr w:rsidR="006854BE" w:rsidRPr="000C666D" w14:paraId="57E876BD" w14:textId="77777777" w:rsidTr="00B068B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97132" w:themeFill="accent2"/>
            <w:vAlign w:val="center"/>
          </w:tcPr>
          <w:p w14:paraId="2EF06892" w14:textId="77777777" w:rsidR="006854BE" w:rsidRPr="000C666D" w:rsidRDefault="006854BE" w:rsidP="00B068B7">
            <w:pPr>
              <w:rPr>
                <w:rFonts w:ascii="Trebuchet MS" w:eastAsia="Arial" w:hAnsi="Trebuchet MS" w:cs="Arial"/>
                <w:szCs w:val="22"/>
              </w:rPr>
            </w:pPr>
          </w:p>
        </w:tc>
      </w:tr>
      <w:tr w:rsidR="006854BE" w:rsidRPr="000C666D" w14:paraId="091FD126"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C20185D"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536A3F" w14:textId="77777777" w:rsidR="006854BE" w:rsidRPr="000C666D" w:rsidRDefault="006854BE" w:rsidP="00B068B7">
            <w:pPr>
              <w:rPr>
                <w:rFonts w:ascii="Trebuchet MS" w:eastAsia="Arial" w:hAnsi="Trebuchet MS" w:cs="Arial"/>
                <w:szCs w:val="22"/>
              </w:rPr>
            </w:pPr>
            <w:r w:rsidRPr="000C666D">
              <w:rPr>
                <w:rFonts w:ascii="Trebuchet MS" w:eastAsia="Arial" w:hAnsi="Trebuchet MS" w:cs="Arial"/>
                <w:szCs w:val="22"/>
              </w:rPr>
              <w:t>5CO01</w:t>
            </w:r>
          </w:p>
        </w:tc>
      </w:tr>
      <w:tr w:rsidR="006854BE" w:rsidRPr="000C666D" w14:paraId="13A20733"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4A7659D"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F20476" w14:textId="77777777" w:rsidR="006854BE" w:rsidRPr="000C666D" w:rsidRDefault="006854BE" w:rsidP="00B068B7">
            <w:pPr>
              <w:rPr>
                <w:rFonts w:ascii="Trebuchet MS" w:eastAsia="Arial" w:hAnsi="Trebuchet MS" w:cs="Arial"/>
                <w:szCs w:val="22"/>
              </w:rPr>
            </w:pPr>
            <w:r w:rsidRPr="000C666D">
              <w:rPr>
                <w:rFonts w:ascii="Trebuchet MS" w:eastAsia="Arial" w:hAnsi="Trebuchet MS" w:cs="Arial"/>
                <w:szCs w:val="22"/>
              </w:rPr>
              <w:t>Organisational performance and culture in practice</w:t>
            </w:r>
          </w:p>
        </w:tc>
      </w:tr>
      <w:tr w:rsidR="006854BE" w:rsidRPr="000C666D" w14:paraId="58AF6F85"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AEB52" w14:textId="77777777" w:rsidR="006854BE" w:rsidRPr="000C666D" w:rsidRDefault="006854BE" w:rsidP="00B068B7">
            <w:pPr>
              <w:rPr>
                <w:rFonts w:ascii="Trebuchet MS" w:eastAsia="Arial" w:hAnsi="Trebuchet MS" w:cs="Arial"/>
                <w:b/>
                <w:bCs/>
                <w:szCs w:val="22"/>
              </w:rPr>
            </w:pPr>
            <w:r w:rsidRPr="000C666D">
              <w:rPr>
                <w:rFonts w:ascii="Trebuchet MS" w:eastAsia="Arial" w:hAnsi="Trebuchet MS" w:cs="Arial"/>
                <w:b/>
                <w:bCs/>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A2280AE" w14:textId="77777777" w:rsidR="006854BE" w:rsidRPr="000C666D" w:rsidRDefault="006854BE" w:rsidP="00B068B7">
            <w:pPr>
              <w:rPr>
                <w:rFonts w:ascii="Trebuchet MS" w:eastAsia="Arial" w:hAnsi="Trebuchet MS" w:cs="Arial"/>
                <w:szCs w:val="22"/>
              </w:rPr>
            </w:pPr>
            <w:r w:rsidRPr="000C666D">
              <w:rPr>
                <w:rFonts w:ascii="Trebuchet MS" w:eastAsia="Arial" w:hAnsi="Trebuchet MS" w:cs="Arial"/>
                <w:szCs w:val="22"/>
              </w:rPr>
              <w:t>CIPD_5CO01_24_0</w:t>
            </w:r>
            <w:r>
              <w:rPr>
                <w:rFonts w:ascii="Trebuchet MS" w:eastAsia="Arial" w:hAnsi="Trebuchet MS" w:cs="Arial"/>
                <w:szCs w:val="22"/>
              </w:rPr>
              <w:t>1</w:t>
            </w:r>
          </w:p>
        </w:tc>
      </w:tr>
      <w:tr w:rsidR="006854BE" w:rsidRPr="000C666D" w14:paraId="0959DB8D"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D563920" w14:textId="77777777" w:rsidR="006854BE" w:rsidRPr="000C666D" w:rsidRDefault="006854BE" w:rsidP="00B068B7">
            <w:pPr>
              <w:rPr>
                <w:rFonts w:ascii="Trebuchet MS" w:eastAsia="Arial" w:hAnsi="Trebuchet MS" w:cs="Arial"/>
                <w:b/>
                <w:bCs/>
              </w:rPr>
            </w:pPr>
            <w:r w:rsidRPr="000C666D">
              <w:rPr>
                <w:rFonts w:ascii="Trebuchet MS" w:eastAsia="Arial" w:hAnsi="Trebuchet MS"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DA6B79" w14:textId="77777777" w:rsidR="006854BE" w:rsidRPr="000C666D" w:rsidRDefault="006854BE" w:rsidP="00B068B7">
            <w:pPr>
              <w:rPr>
                <w:rFonts w:ascii="Trebuchet MS" w:eastAsia="Arial" w:hAnsi="Trebuchet MS" w:cs="Arial"/>
                <w:szCs w:val="22"/>
              </w:rPr>
            </w:pPr>
            <w:r>
              <w:rPr>
                <w:rFonts w:ascii="Trebuchet MS" w:eastAsia="Arial" w:hAnsi="Trebuchet MS" w:cs="Arial"/>
                <w:szCs w:val="22"/>
              </w:rPr>
              <w:t>9.4.25</w:t>
            </w:r>
          </w:p>
        </w:tc>
      </w:tr>
      <w:tr w:rsidR="006854BE" w:rsidRPr="000C666D" w14:paraId="3EFD039D"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748547D" w14:textId="77777777" w:rsidR="006854BE" w:rsidRPr="000C666D" w:rsidRDefault="006854BE" w:rsidP="00B068B7">
            <w:pPr>
              <w:rPr>
                <w:rFonts w:ascii="Trebuchet MS" w:eastAsia="Arial" w:hAnsi="Trebuchet MS" w:cs="Arial"/>
                <w:b/>
                <w:bCs/>
              </w:rPr>
            </w:pPr>
            <w:r w:rsidRPr="000C666D">
              <w:rPr>
                <w:rFonts w:ascii="Trebuchet MS" w:eastAsia="Arial" w:hAnsi="Trebuchet MS"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DE15F5" w14:textId="77777777" w:rsidR="006854BE" w:rsidRPr="000C666D" w:rsidRDefault="006854BE" w:rsidP="00B068B7">
            <w:pPr>
              <w:rPr>
                <w:rFonts w:ascii="Trebuchet MS" w:eastAsia="Arial" w:hAnsi="Trebuchet MS" w:cs="Arial"/>
                <w:szCs w:val="22"/>
              </w:rPr>
            </w:pPr>
            <w:r>
              <w:rPr>
                <w:rFonts w:ascii="Trebuchet MS" w:eastAsia="Arial" w:hAnsi="Trebuchet MS" w:cs="Arial"/>
                <w:szCs w:val="22"/>
              </w:rPr>
              <w:t>16.6.25 (Cohort 11)</w:t>
            </w:r>
          </w:p>
        </w:tc>
      </w:tr>
      <w:tr w:rsidR="006854BE" w:rsidRPr="000C666D" w14:paraId="222AA7B7"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B806CF0" w14:textId="77777777" w:rsidR="006854BE" w:rsidRPr="000C666D" w:rsidRDefault="006854BE" w:rsidP="00B068B7">
            <w:pPr>
              <w:rPr>
                <w:rFonts w:ascii="Trebuchet MS" w:eastAsia="Arial" w:hAnsi="Trebuchet MS" w:cs="Arial"/>
                <w:b/>
                <w:bCs/>
              </w:rPr>
            </w:pPr>
            <w:r w:rsidRPr="000C666D">
              <w:rPr>
                <w:rFonts w:ascii="Trebuchet MS" w:eastAsia="Arial" w:hAnsi="Trebuchet MS"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DFF0ED" w14:textId="77777777" w:rsidR="006854BE" w:rsidRPr="000C666D" w:rsidRDefault="006854BE" w:rsidP="00B068B7">
            <w:pPr>
              <w:rPr>
                <w:rFonts w:ascii="Trebuchet MS" w:eastAsia="Arial" w:hAnsi="Trebuchet MS" w:cs="Arial"/>
                <w:szCs w:val="22"/>
              </w:rPr>
            </w:pPr>
          </w:p>
        </w:tc>
      </w:tr>
      <w:tr w:rsidR="006854BE" w:rsidRPr="000C666D" w14:paraId="6B414709"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70D55F" w14:textId="77777777" w:rsidR="006854BE" w:rsidRPr="000C666D" w:rsidRDefault="006854BE" w:rsidP="00B068B7">
            <w:pPr>
              <w:rPr>
                <w:rFonts w:ascii="Trebuchet MS" w:eastAsia="Arial" w:hAnsi="Trebuchet MS" w:cs="Arial"/>
                <w:b/>
                <w:bCs/>
              </w:rPr>
            </w:pPr>
            <w:r w:rsidRPr="000C666D">
              <w:rPr>
                <w:rFonts w:ascii="Trebuchet MS" w:eastAsia="Arial" w:hAnsi="Trebuchet MS"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B678B3" w14:textId="77777777" w:rsidR="006854BE" w:rsidRPr="000C666D" w:rsidRDefault="006854BE" w:rsidP="00B068B7">
            <w:pPr>
              <w:rPr>
                <w:rFonts w:ascii="Trebuchet MS" w:eastAsia="Arial" w:hAnsi="Trebuchet MS" w:cs="Arial"/>
                <w:szCs w:val="22"/>
              </w:rPr>
            </w:pPr>
          </w:p>
        </w:tc>
      </w:tr>
      <w:tr w:rsidR="006854BE" w:rsidRPr="000C666D" w14:paraId="76E2F9AF" w14:textId="77777777" w:rsidTr="00B068B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24F2692" w14:textId="77777777" w:rsidR="006854BE" w:rsidRPr="000C666D" w:rsidRDefault="006854BE" w:rsidP="00B068B7">
            <w:pPr>
              <w:rPr>
                <w:rFonts w:ascii="Trebuchet MS" w:eastAsia="Arial" w:hAnsi="Trebuchet MS" w:cs="Arial"/>
                <w:b/>
                <w:bCs/>
              </w:rPr>
            </w:pPr>
            <w:r w:rsidRPr="000C666D">
              <w:rPr>
                <w:rFonts w:ascii="Trebuchet MS" w:eastAsia="Arial" w:hAnsi="Trebuchet MS"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8414" w14:textId="5212526B" w:rsidR="006854BE" w:rsidRPr="000C666D" w:rsidRDefault="004119FE" w:rsidP="00B068B7">
            <w:pPr>
              <w:rPr>
                <w:rFonts w:ascii="Trebuchet MS" w:eastAsia="Arial" w:hAnsi="Trebuchet MS" w:cs="Arial"/>
                <w:szCs w:val="22"/>
              </w:rPr>
            </w:pPr>
            <w:r w:rsidRPr="008065A1">
              <w:rPr>
                <w:rFonts w:ascii="Trebuchet MS" w:eastAsia="Arial" w:hAnsi="Trebuchet MS" w:cs="Arial"/>
                <w:color w:val="FF0000"/>
                <w:szCs w:val="22"/>
              </w:rPr>
              <w:t>4</w:t>
            </w:r>
            <w:r w:rsidR="008065A1" w:rsidRPr="008065A1">
              <w:rPr>
                <w:rFonts w:ascii="Trebuchet MS" w:eastAsia="Arial" w:hAnsi="Trebuchet MS" w:cs="Arial"/>
                <w:color w:val="FF0000"/>
                <w:szCs w:val="22"/>
              </w:rPr>
              <w:t>985</w:t>
            </w:r>
          </w:p>
        </w:tc>
      </w:tr>
    </w:tbl>
    <w:p w14:paraId="0A877F39" w14:textId="77777777" w:rsidR="006854BE" w:rsidRDefault="006854BE" w:rsidP="006854BE">
      <w:pPr>
        <w:ind w:left="720" w:hanging="360"/>
      </w:pPr>
    </w:p>
    <w:p w14:paraId="5AFB18DD" w14:textId="77777777" w:rsidR="006854BE" w:rsidRDefault="006854BE" w:rsidP="006854BE">
      <w:pPr>
        <w:ind w:left="720" w:hanging="360"/>
      </w:pPr>
    </w:p>
    <w:p w14:paraId="0694E03D" w14:textId="77777777" w:rsidR="006854BE" w:rsidRDefault="006854BE" w:rsidP="006854BE">
      <w:pPr>
        <w:ind w:left="720" w:hanging="360"/>
      </w:pPr>
    </w:p>
    <w:p w14:paraId="65113093" w14:textId="77777777" w:rsidR="006854BE" w:rsidRDefault="006854BE" w:rsidP="006854BE">
      <w:pPr>
        <w:ind w:left="720" w:hanging="360"/>
      </w:pPr>
    </w:p>
    <w:p w14:paraId="008C3863" w14:textId="77777777" w:rsidR="006854BE" w:rsidRDefault="006854BE" w:rsidP="006854BE">
      <w:pPr>
        <w:ind w:left="720" w:hanging="360"/>
      </w:pPr>
    </w:p>
    <w:p w14:paraId="4606FC2C" w14:textId="77777777" w:rsidR="006854BE" w:rsidRDefault="006854BE" w:rsidP="006854BE">
      <w:pPr>
        <w:ind w:left="720" w:hanging="360"/>
      </w:pPr>
    </w:p>
    <w:p w14:paraId="7B88E96C" w14:textId="77777777" w:rsidR="006854BE" w:rsidRDefault="006854BE" w:rsidP="006854BE">
      <w:pPr>
        <w:ind w:left="720" w:hanging="360"/>
      </w:pPr>
    </w:p>
    <w:p w14:paraId="33F915A4" w14:textId="77777777" w:rsidR="006854BE" w:rsidRDefault="006854BE" w:rsidP="006854BE">
      <w:pPr>
        <w:ind w:left="720" w:hanging="360"/>
      </w:pPr>
    </w:p>
    <w:p w14:paraId="632F9977" w14:textId="77777777" w:rsidR="006854BE" w:rsidRDefault="006854BE" w:rsidP="006854BE">
      <w:pPr>
        <w:ind w:left="720" w:hanging="360"/>
      </w:pPr>
    </w:p>
    <w:p w14:paraId="30D35D92" w14:textId="77777777" w:rsidR="006854BE" w:rsidRDefault="006854BE" w:rsidP="006854BE">
      <w:pPr>
        <w:ind w:left="720" w:hanging="360"/>
      </w:pPr>
    </w:p>
    <w:p w14:paraId="623629B8" w14:textId="77777777" w:rsidR="006854BE" w:rsidRDefault="006854BE" w:rsidP="006854BE">
      <w:pPr>
        <w:ind w:left="720" w:hanging="360"/>
      </w:pPr>
    </w:p>
    <w:p w14:paraId="2CD10866" w14:textId="77777777" w:rsidR="006854BE" w:rsidRDefault="006854BE" w:rsidP="006854BE">
      <w:pPr>
        <w:ind w:left="720" w:hanging="360"/>
      </w:pPr>
    </w:p>
    <w:p w14:paraId="73F7A706" w14:textId="77777777" w:rsidR="006854BE" w:rsidRDefault="006854BE" w:rsidP="006854BE">
      <w:pPr>
        <w:ind w:left="720" w:hanging="360"/>
      </w:pPr>
    </w:p>
    <w:p w14:paraId="181F770B" w14:textId="77777777" w:rsidR="006854BE" w:rsidRDefault="006854BE" w:rsidP="006854BE">
      <w:pPr>
        <w:ind w:left="720" w:hanging="360"/>
      </w:pPr>
    </w:p>
    <w:p w14:paraId="08F1CB67" w14:textId="77777777" w:rsidR="006854BE" w:rsidRDefault="006854BE" w:rsidP="006854BE">
      <w:pPr>
        <w:ind w:left="720" w:hanging="360"/>
      </w:pPr>
    </w:p>
    <w:p w14:paraId="534D93A4" w14:textId="77777777" w:rsidR="001E7C8C" w:rsidRDefault="001E7C8C" w:rsidP="001E7C8C">
      <w:pPr>
        <w:rPr>
          <w:b/>
          <w:bCs/>
        </w:rPr>
      </w:pPr>
    </w:p>
    <w:p w14:paraId="1E5E9B7B" w14:textId="7CAF3EAD" w:rsidR="001E7C8C" w:rsidRPr="001E7C8C" w:rsidRDefault="001E7C8C" w:rsidP="00F649C0">
      <w:pPr>
        <w:numPr>
          <w:ilvl w:val="0"/>
          <w:numId w:val="1"/>
        </w:numPr>
        <w:rPr>
          <w:b/>
          <w:bCs/>
        </w:rPr>
      </w:pPr>
      <w:r w:rsidRPr="001E7C8C">
        <w:rPr>
          <w:b/>
          <w:bCs/>
        </w:rPr>
        <w:lastRenderedPageBreak/>
        <w:t>Evaluate the advantages and disadvantages of both a divisional structure and a matrix structure. Within the evaluation, you should include the reasons underpinning each structure. (AC 1.1)</w:t>
      </w:r>
    </w:p>
    <w:p w14:paraId="4B1492E0" w14:textId="6EE9E762" w:rsidR="001E7C8C" w:rsidRDefault="001E7C8C" w:rsidP="001E7C8C">
      <w:r w:rsidRPr="008A2C64">
        <w:t>Organisational structure is defined as “the pattern of relationships of the workforce and their relative positions in the organisation” (Campbell and Craig, 2005). It outlines how employees are organised and how their roles support organisational goals. The choice of structure depends on factors such as size, planned locations, maturity, and ownership (Taylor and Woodhams, 2022), meaning there is no one-size-fits-all model. Ultimately, the structure must align with and support the organisation’s function.</w:t>
      </w:r>
    </w:p>
    <w:p w14:paraId="6F537B6E" w14:textId="77777777" w:rsidR="001E7C8C" w:rsidRDefault="001E7C8C" w:rsidP="001E7C8C">
      <w:r w:rsidRPr="00DB0621">
        <w:t>Divisional structure is defined as a ‘system in which the business is divided into segments by product, market or geographies’ (Ellis, 2023). This type of organisational structure is fragmented. There may be an overall organisational goal, but the employees are in separate divisions which are independently operational. Global organisations such as Apple utilise this type of structure.</w:t>
      </w:r>
    </w:p>
    <w:p w14:paraId="70B325EA" w14:textId="77777777" w:rsidR="001E7C8C" w:rsidRDefault="001E7C8C" w:rsidP="001E7C8C">
      <w:r w:rsidRPr="008A2C64">
        <w:t>It allows for focused teams dedicated to specific areas, reducing distractions and enhancing productivity. Additionally, such organisations typically have specialised teams (e.g. IT, finance, HR), easing managerial pressure and enabling employees to concentrate on core tasks. This setup benefits employee wellbeing and management effectiveness, improving overall work quality.</w:t>
      </w:r>
    </w:p>
    <w:p w14:paraId="23C2850F" w14:textId="77777777" w:rsidR="001E7C8C" w:rsidRPr="00DB0621" w:rsidRDefault="001E7C8C" w:rsidP="001E7C8C">
      <w:r w:rsidRPr="00DB0621">
        <w:t xml:space="preserve">However, there are </w:t>
      </w:r>
      <w:r>
        <w:t>drawbacks in the creation of</w:t>
      </w:r>
      <w:r w:rsidRPr="00DB0621">
        <w:t xml:space="preserve"> siloed teams. One issue is that all the talent and knowledge is contained in isolation within each division. As an organisation needs to have the ability to quickly adapt to new situations, the sections of knowledge that are not shared by employees across divisions cannot be utilised.  </w:t>
      </w:r>
    </w:p>
    <w:p w14:paraId="78775E72" w14:textId="77777777" w:rsidR="001E7C8C" w:rsidRDefault="001E7C8C" w:rsidP="001E7C8C">
      <w:r w:rsidRPr="008A2C64">
        <w:t>The matrix structure, as defined by Taylor and Woodhams (2022), involves “two (or more) organisational structures overlap, and employees report to two (or more) managers.” This is often used for project-based work. A major advantage is that overlapping teams promote knowledge sharing, resource optimisation, and stronger decision-making through enhanced communication. Teams can draw on skills from different departments, often resulting in more comprehensive outcomes.</w:t>
      </w:r>
    </w:p>
    <w:p w14:paraId="166F3EFE" w14:textId="77777777" w:rsidR="001E7C8C" w:rsidRPr="00DB0621" w:rsidRDefault="001E7C8C" w:rsidP="001E7C8C">
      <w:r w:rsidRPr="00164A61">
        <w:t xml:space="preserve">However, this structure can cause confusion and conflict when teams overlap, with competing </w:t>
      </w:r>
      <w:r>
        <w:t>ideas and responsibilities. G</w:t>
      </w:r>
      <w:r w:rsidRPr="00164A61">
        <w:t>oals an</w:t>
      </w:r>
      <w:r>
        <w:t>d</w:t>
      </w:r>
      <w:r w:rsidRPr="00164A61">
        <w:t xml:space="preserve"> responsibilities</w:t>
      </w:r>
      <w:r>
        <w:t xml:space="preserve"> set by different line managers</w:t>
      </w:r>
      <w:r w:rsidRPr="00164A61">
        <w:t xml:space="preserve"> </w:t>
      </w:r>
      <w:r>
        <w:t xml:space="preserve">may become unclear, </w:t>
      </w:r>
      <w:r w:rsidRPr="00164A61">
        <w:t>leading to misdirected efforts and poor project outcomes.</w:t>
      </w:r>
    </w:p>
    <w:p w14:paraId="44D04840" w14:textId="77777777" w:rsidR="001E7C8C" w:rsidRDefault="001E7C8C" w:rsidP="001E7C8C">
      <w:r w:rsidRPr="00DB0621">
        <w:t>In conclusion, no single structure is universally effective, and each comes with its own set of challenges. While combining multiple structures within an organisation can offer a range of benefits, it may also lead to confusion and complexity. Ultimately, the effectiveness of any organisational structure depends on how well it is managed to address potential drawbacks.</w:t>
      </w:r>
    </w:p>
    <w:p w14:paraId="2345A43F" w14:textId="77777777" w:rsidR="001E7C8C" w:rsidRDefault="001E7C8C" w:rsidP="001E7C8C">
      <w:pPr>
        <w:spacing w:after="0" w:line="256" w:lineRule="auto"/>
      </w:pPr>
    </w:p>
    <w:p w14:paraId="7F74E542" w14:textId="363532F3" w:rsidR="001E7C8C" w:rsidRPr="001E7C8C" w:rsidRDefault="001E7C8C" w:rsidP="001E7C8C">
      <w:pPr>
        <w:pStyle w:val="ListParagraph"/>
        <w:numPr>
          <w:ilvl w:val="0"/>
          <w:numId w:val="1"/>
        </w:numPr>
        <w:spacing w:after="0" w:line="256" w:lineRule="auto"/>
        <w:rPr>
          <w:rFonts w:ascii="Trebuchet MS" w:eastAsia="Arial" w:hAnsi="Trebuchet MS" w:cs="Times New Roman"/>
          <w:b/>
          <w:bCs/>
        </w:rPr>
      </w:pPr>
      <w:r w:rsidRPr="001E7C8C">
        <w:rPr>
          <w:rFonts w:ascii="Trebuchet MS" w:eastAsia="Arial" w:hAnsi="Trebuchet MS" w:cs="Times New Roman"/>
          <w:b/>
          <w:bCs/>
        </w:rPr>
        <w:t>Analyse the extent to which the organisational strategy in your organisation (or an organisation with which you are familiar) helps to ensure products or services meet customers’ needs. (AC 1.2)</w:t>
      </w:r>
    </w:p>
    <w:p w14:paraId="27D3858B" w14:textId="77777777" w:rsidR="001E7C8C" w:rsidRDefault="001E7C8C" w:rsidP="001E7C8C"/>
    <w:p w14:paraId="34D307F1" w14:textId="77777777" w:rsidR="001E7C8C" w:rsidRDefault="001E7C8C" w:rsidP="001E7C8C"/>
    <w:p w14:paraId="2B49FF5C" w14:textId="77777777" w:rsidR="001E7C8C" w:rsidRDefault="001E7C8C" w:rsidP="001E7C8C">
      <w:r w:rsidRPr="00FC502C">
        <w:lastRenderedPageBreak/>
        <w:t xml:space="preserve">Chandler (1962) defined organisational strategy as “the determination of the long-term goals and objectives of an enterprise.” </w:t>
      </w:r>
      <w:r>
        <w:t xml:space="preserve">Lynch (2003) identified three core areas to developing an organisational strategy: strategic analysis, development, and implementation. </w:t>
      </w:r>
    </w:p>
    <w:p w14:paraId="50D6461C" w14:textId="77777777" w:rsidR="001E7C8C" w:rsidRPr="00FC502C" w:rsidRDefault="001E7C8C" w:rsidP="001E7C8C">
      <w:r w:rsidRPr="00FC502C">
        <w:t>To develop an effective strategy, an organisation must identify its primary objective and analyse it within the wider economic environment, internal resources, customer needs, and the competitive market (Taylor and Woodhams, 2022). Data from this analysis highlights areas for improvement.</w:t>
      </w:r>
    </w:p>
    <w:p w14:paraId="474C8A45" w14:textId="77777777" w:rsidR="001E7C8C" w:rsidRPr="00FC502C" w:rsidRDefault="001E7C8C" w:rsidP="001E7C8C">
      <w:r w:rsidRPr="00FC502C">
        <w:t xml:space="preserve">The Vale of Glamorgan Council (VOG) is a local authority that publishes a corporate plan every five years, aiming to deliver high-quality services to </w:t>
      </w:r>
      <w:proofErr w:type="gramStart"/>
      <w:r w:rsidRPr="00FC502C">
        <w:t>local residents</w:t>
      </w:r>
      <w:proofErr w:type="gramEnd"/>
      <w:r w:rsidRPr="00FC502C">
        <w:t>. Publicly funded and subject to public scrutiny, VOG must ensure services respond to residents' changing needs. The corporate plan sets goals for departments to guide projects that support these wider objectives.</w:t>
      </w:r>
    </w:p>
    <w:p w14:paraId="5E615AB2" w14:textId="0D44D810" w:rsidR="001E7C8C" w:rsidRPr="00FC502C" w:rsidRDefault="001E7C8C" w:rsidP="001E7C8C">
      <w:r w:rsidRPr="00FC502C">
        <w:t xml:space="preserve">In the VOG 2025–2030 strategy, a 17% increase in residents aged 65+ since 2014 has raised pressure on social care. A local survey revealed that 73.1% of respondents were concerned about services for older people (valeofglamorgan.gov.uk, 2025). This highlights a growing need </w:t>
      </w:r>
      <w:r w:rsidR="007A2728">
        <w:t xml:space="preserve">for </w:t>
      </w:r>
      <w:r w:rsidRPr="00FC502C">
        <w:t>social workers.</w:t>
      </w:r>
    </w:p>
    <w:p w14:paraId="57E15281" w14:textId="77777777" w:rsidR="001E7C8C" w:rsidRPr="00FC502C" w:rsidRDefault="001E7C8C" w:rsidP="001E7C8C">
      <w:r w:rsidRPr="00FC502C">
        <w:rPr>
          <w:color w:val="000000" w:themeColor="text1"/>
        </w:rPr>
        <w:t>Strategic development is how an organisation looks to achieve the improvements identified using an appropriate model and tools. One simple model is a SWOT analysis (strengths, weaknesses, opportunities, and threats).  VOG</w:t>
      </w:r>
      <w:r w:rsidRPr="00FC502C">
        <w:t xml:space="preserve"> used a SWOT analysis to guide strategic planning. Strengths include enhanced support for vulnerable populations and improved service capacity. Weaknesses include higher costs for salaries, training, and onboarding. Opportunities lie in potential funding increases and innovations from new hires. However, threats include a national shortage of qualified professionals and unstable funding.</w:t>
      </w:r>
    </w:p>
    <w:p w14:paraId="7A26F1A8" w14:textId="77777777" w:rsidR="001E7C8C" w:rsidRPr="00FC502C" w:rsidRDefault="001E7C8C" w:rsidP="001E7C8C">
      <w:r w:rsidRPr="00FC502C">
        <w:t>Strategy implementation involves aligning departments, allocating resources, and communicating the plan across the organisation. VOG has allocated 32% of its budget to social care, using it to increase recruitment, particularly through overseas sponsorship, and to implement new software to support staff with rising workloads.</w:t>
      </w:r>
    </w:p>
    <w:p w14:paraId="4311AF38" w14:textId="77777777" w:rsidR="001E7C8C" w:rsidRDefault="001E7C8C" w:rsidP="001E7C8C">
      <w:r w:rsidRPr="00FC502C">
        <w:t>Finally, the implementation process includes measuring success. VOG conducts annual reviews each spring to reassess goals, respond to changing budget constraints, and refocus priorities. Their performance management system helps identify gaps and drive improvement, ensuring the strategy continues to meet the needs of the local population.</w:t>
      </w:r>
    </w:p>
    <w:p w14:paraId="6041CF9F" w14:textId="77777777" w:rsidR="001E7C8C" w:rsidRDefault="001E7C8C" w:rsidP="001E7C8C"/>
    <w:p w14:paraId="40AB1FCE" w14:textId="05A4AF93" w:rsidR="001E7C8C" w:rsidRPr="001E7C8C" w:rsidRDefault="001E7C8C" w:rsidP="001E7C8C">
      <w:pPr>
        <w:pStyle w:val="ListParagraph"/>
        <w:numPr>
          <w:ilvl w:val="0"/>
          <w:numId w:val="1"/>
        </w:numPr>
        <w:spacing w:after="0" w:line="256" w:lineRule="auto"/>
        <w:rPr>
          <w:rFonts w:ascii="Trebuchet MS" w:eastAsia="Arial" w:hAnsi="Trebuchet MS" w:cs="Times New Roman"/>
          <w:b/>
          <w:bCs/>
        </w:rPr>
      </w:pPr>
      <w:r w:rsidRPr="001E7C8C">
        <w:rPr>
          <w:rFonts w:ascii="Trebuchet MS" w:eastAsia="Arial" w:hAnsi="Trebuchet MS" w:cs="Times New Roman"/>
          <w:b/>
          <w:bCs/>
        </w:rPr>
        <w:t>Analyse the current impact of interest rates, inflation and one other external factor on your organisation (or one with which you are familiar). Identify organisational priorities arising from your analysis. (AC 1.3)</w:t>
      </w:r>
    </w:p>
    <w:p w14:paraId="23814E5C" w14:textId="77777777" w:rsidR="001E7C8C" w:rsidRDefault="001E7C8C" w:rsidP="001E7C8C"/>
    <w:p w14:paraId="4497714E" w14:textId="4ACAE11D" w:rsidR="001E7C8C" w:rsidRPr="00716C0F" w:rsidRDefault="001E7C8C" w:rsidP="001E7C8C">
      <w:r w:rsidRPr="00716C0F">
        <w:t>Interest rates have risen significantly in recent years. The Bank of England (2025) acknowledged the increase since late 2021 as a measure to reduce inflation.</w:t>
      </w:r>
    </w:p>
    <w:p w14:paraId="11B4352B" w14:textId="13DF19BD" w:rsidR="001E7C8C" w:rsidRPr="00A75CBA" w:rsidRDefault="001E7C8C" w:rsidP="001E7C8C">
      <w:r w:rsidRPr="00A75CBA">
        <w:t xml:space="preserve">High interest rates increase financial pressure on local government authorities. For the Vale of Glamorgan Council (VOG), borrowing costs have reduced the capital available for investment in public services and infrastructure. As a result, departments face greater pressure to deliver the same outcomes with fewer resources. With a reduced budget, the council must still meet growing demands from an increasing population, forcing tougher decisions around service </w:t>
      </w:r>
      <w:r w:rsidRPr="00A75CBA">
        <w:lastRenderedPageBreak/>
        <w:t>prioritisation and staffing levels</w:t>
      </w:r>
      <w:r w:rsidRPr="00716C0F">
        <w:t xml:space="preserve">. Despite a recent fall in interest rates this year, </w:t>
      </w:r>
      <w:r w:rsidRPr="00A75CBA">
        <w:t xml:space="preserve">the change has not yet been in effect long enough to ease financial pressures or significantly impact VOG’s </w:t>
      </w:r>
      <w:r w:rsidRPr="00716C0F">
        <w:t>corporate plan</w:t>
      </w:r>
      <w:r w:rsidRPr="00A75CBA">
        <w:t>.</w:t>
      </w:r>
    </w:p>
    <w:p w14:paraId="442D5540" w14:textId="2A4DD5C8" w:rsidR="001E7C8C" w:rsidRPr="00716C0F" w:rsidRDefault="001E7C8C" w:rsidP="001E7C8C">
      <w:r w:rsidRPr="00716C0F">
        <w:t xml:space="preserve">To manage financial constraints, </w:t>
      </w:r>
      <w:r w:rsidR="00E93A82">
        <w:t>VOG</w:t>
      </w:r>
      <w:r w:rsidRPr="00716C0F">
        <w:t xml:space="preserve"> produces a corporate plan every five years to align funding with the most urgent local needs. VOG reports funding has not been increasing year on year in line with inflation.  In the latest 2025–2030 plan, the council used public surveys to identify priority areas. Education and social care were identified as the highest priorities, with 45% and 32% of the budget allocated to these sectors, respectively.</w:t>
      </w:r>
    </w:p>
    <w:p w14:paraId="1A2C3EFC" w14:textId="77777777" w:rsidR="001E7C8C" w:rsidRPr="00716C0F" w:rsidRDefault="001E7C8C" w:rsidP="001E7C8C">
      <w:r w:rsidRPr="00716C0F">
        <w:t xml:space="preserve">Although inflation has begun to decline, there are continued effects of the COVID-19 pandemic’s sharp inflationary spike (BBC, 2025). Inflation has meant the cost of goods and living has increased, which has exacerbated </w:t>
      </w:r>
      <w:proofErr w:type="gramStart"/>
      <w:r w:rsidRPr="00716C0F">
        <w:t>local residents</w:t>
      </w:r>
      <w:proofErr w:type="gramEnd"/>
      <w:r w:rsidRPr="00716C0F">
        <w:t>’ economic hardship. Additionally, higher interest rates can lead to increased council tax to help bridge funding gaps, placing further strain on residents.</w:t>
      </w:r>
    </w:p>
    <w:p w14:paraId="754181CF" w14:textId="7862058F" w:rsidR="001E7C8C" w:rsidRPr="00716C0F" w:rsidRDefault="001E7C8C" w:rsidP="001E7C8C">
      <w:r w:rsidRPr="00716C0F">
        <w:t xml:space="preserve">In response, VOG has implemented support schemes. The 2025-2030 corporate plan states ‘services providing support to the most vulnerable will be prioritised and continue to operate as effectively as possible’. They reported more than 35,000 residents received £150 Cost of Living Support payments, £825,000 was paid through </w:t>
      </w:r>
      <w:r w:rsidR="007A2728">
        <w:t>the</w:t>
      </w:r>
      <w:r w:rsidRPr="00716C0F">
        <w:t xml:space="preserve"> local discretionary scheme and over 500 households supported through </w:t>
      </w:r>
      <w:r>
        <w:t>a</w:t>
      </w:r>
      <w:r w:rsidRPr="00716C0F">
        <w:t xml:space="preserve">lternative </w:t>
      </w:r>
      <w:r>
        <w:t>f</w:t>
      </w:r>
      <w:r w:rsidRPr="00716C0F">
        <w:t xml:space="preserve">uel </w:t>
      </w:r>
      <w:r>
        <w:t>p</w:t>
      </w:r>
      <w:r w:rsidRPr="00716C0F">
        <w:t>ayments.</w:t>
      </w:r>
    </w:p>
    <w:p w14:paraId="6D1DEA57" w14:textId="77777777" w:rsidR="001E7C8C" w:rsidRDefault="001E7C8C" w:rsidP="001E7C8C">
      <w:r w:rsidRPr="00716C0F">
        <w:t>Another external factor which affects local councils is the housing crisis. UK house prices and mortgage interest rates have risen, making home ownership and private renting less affordable. As a result, there is an increasing pressure on social housing. The VOG (2025) reported the area had the second highest average house price in Wales and the third highest average rent in Wales. The council has built 253 new social homes and 90 temporary accommodation units for emergency housing. Currently, VOG offers 3,972 social rent homes, with plans for more.</w:t>
      </w:r>
    </w:p>
    <w:p w14:paraId="784B75F0" w14:textId="77777777" w:rsidR="001E7C8C" w:rsidRDefault="001E7C8C" w:rsidP="001E7C8C"/>
    <w:p w14:paraId="735AE1A7" w14:textId="3E4CD47E" w:rsidR="001E7C8C" w:rsidRPr="001E7C8C" w:rsidRDefault="001E7C8C" w:rsidP="001E7C8C">
      <w:pPr>
        <w:pStyle w:val="ListParagraph"/>
        <w:numPr>
          <w:ilvl w:val="0"/>
          <w:numId w:val="1"/>
        </w:numPr>
        <w:spacing w:after="0" w:line="256" w:lineRule="auto"/>
        <w:rPr>
          <w:rFonts w:ascii="Trebuchet MS" w:eastAsia="Arial" w:hAnsi="Trebuchet MS" w:cs="Times New Roman"/>
          <w:b/>
          <w:bCs/>
        </w:rPr>
      </w:pPr>
      <w:r w:rsidRPr="001E7C8C">
        <w:rPr>
          <w:rFonts w:ascii="Trebuchet MS" w:eastAsia="Arial" w:hAnsi="Trebuchet MS" w:cs="Times New Roman"/>
          <w:b/>
          <w:bCs/>
        </w:rPr>
        <w:t>In February 2024,</w:t>
      </w:r>
      <w:r w:rsidRPr="001E7C8C">
        <w:rPr>
          <w:rFonts w:ascii="Trebuchet MS" w:hAnsi="Trebuchet MS"/>
          <w:b/>
          <w:bCs/>
        </w:rPr>
        <w:t xml:space="preserve"> </w:t>
      </w:r>
      <w:r w:rsidRPr="001E7C8C">
        <w:rPr>
          <w:rFonts w:ascii="Trebuchet MS" w:eastAsia="Arial" w:hAnsi="Trebuchet MS" w:cs="Times New Roman"/>
          <w:b/>
          <w:bCs/>
        </w:rPr>
        <w:t>Peter Cheese, current CEO of CIPD stated, “</w:t>
      </w:r>
      <w:r w:rsidRPr="001E7C8C">
        <w:rPr>
          <w:rFonts w:ascii="Trebuchet MS" w:eastAsia="Arial" w:hAnsi="Trebuchet MS" w:cs="Times New Roman"/>
          <w:b/>
          <w:bCs/>
          <w:i/>
          <w:iCs/>
        </w:rPr>
        <w:t>AI is transforming jobs, careers and workplaces. People professionals have a key role to play in encouraging safe experimentation and rapid learning, so that we can reap the benefits and mitigate the risks</w:t>
      </w:r>
      <w:r w:rsidRPr="001E7C8C">
        <w:rPr>
          <w:rFonts w:ascii="Trebuchet MS" w:eastAsia="Arial" w:hAnsi="Trebuchet MS" w:cs="Times New Roman"/>
          <w:b/>
          <w:bCs/>
        </w:rPr>
        <w:t>.” Assess the extent that AI is, or could be, used in your organisation (or an organisation with which you are familiar) and assess how AI impacts work. (AC 1.4)</w:t>
      </w:r>
    </w:p>
    <w:p w14:paraId="314127E8" w14:textId="77777777" w:rsidR="001E7C8C" w:rsidRDefault="001E7C8C" w:rsidP="001E7C8C"/>
    <w:p w14:paraId="238CFAE2" w14:textId="77777777" w:rsidR="001E7C8C" w:rsidRPr="006D6B26" w:rsidRDefault="001E7C8C" w:rsidP="001E7C8C">
      <w:r w:rsidRPr="006D6B26">
        <w:t xml:space="preserve">Artificial intelligence is defined as ‘computer systems that can perform complex tasks normally done by human-reasoning’ (NASA, 2024). The use of AI has rapidly increased in work organisations. Forbes (2025) reported that one in six UK organisations regularly use at least one AI technology. Forbes also revealed 79% of people had used generative AI such as ChatGPT and Microsoft Copilot, in the workplace. However, the study also revealed that 59% of people were concerned about AI use. Organisations can utilise </w:t>
      </w:r>
      <w:proofErr w:type="gramStart"/>
      <w:r w:rsidRPr="006D6B26">
        <w:t>AI, but</w:t>
      </w:r>
      <w:proofErr w:type="gramEnd"/>
      <w:r w:rsidRPr="006D6B26">
        <w:t xml:space="preserve"> must be mindful of the risks.</w:t>
      </w:r>
    </w:p>
    <w:p w14:paraId="728188BD" w14:textId="57B07432" w:rsidR="001E7C8C" w:rsidRPr="006D6B26" w:rsidRDefault="001E7C8C" w:rsidP="001E7C8C">
      <w:pPr>
        <w:rPr>
          <w:strike/>
        </w:rPr>
      </w:pPr>
      <w:r w:rsidRPr="006D6B26">
        <w:t xml:space="preserve">My organisation is a Local Authority Council. We have been trialling the use of AI to generate job adverts for different social media platforms. Multiple adverts need to be created to enable consistent posting and maintain audience engagement. The adverts must also use different language styles tailored to each social media platform. For example, the tone used in Facebook posts differs from that on LinkedIn. These variations are generated using AI platforms. Here, the use of AI can reduce workload because AI produces work faster than a human can. In this </w:t>
      </w:r>
      <w:r w:rsidRPr="006D6B26">
        <w:lastRenderedPageBreak/>
        <w:t xml:space="preserve">example, the recruitment team use it as </w:t>
      </w:r>
      <w:r w:rsidR="007A2728">
        <w:t>it has</w:t>
      </w:r>
      <w:r w:rsidRPr="006D6B26">
        <w:t xml:space="preserve"> limited staff. Reductions to public sector funding have meant areas who were not considered ‘front-line’ were cut, including HR functions. The public sector is underequipped to deal with recruitment (Taylor and Woodhams, 2022). This means the workload demand is greater than resources, so AI is a helpful tool to reduce the demand on employees.</w:t>
      </w:r>
    </w:p>
    <w:p w14:paraId="6E67B64A" w14:textId="77777777" w:rsidR="001E7C8C" w:rsidRPr="006D6B26" w:rsidRDefault="001E7C8C" w:rsidP="001E7C8C">
      <w:pPr>
        <w:rPr>
          <w:strike/>
        </w:rPr>
      </w:pPr>
      <w:r w:rsidRPr="006D6B26">
        <w:t xml:space="preserve">On the other hand, AI can also create an increased workload.  AI must be regulated, as it can replicate human work, but the work is not created by a human. In contexts where content is publicly displayed—such as job adverts—it’s essential that outputs are reviewed to ensure accuracy and appropriateness. This review process can increase the workload for employees, who must check and often revise AI-generated material. If left unchecked, errors can harm an organisation’s reputation. This raises the question of AI’s true efficiency, given the time employees must spend reviewing its work. </w:t>
      </w:r>
    </w:p>
    <w:p w14:paraId="1BC92A00" w14:textId="77777777" w:rsidR="001E7C8C" w:rsidRDefault="001E7C8C" w:rsidP="001E7C8C">
      <w:r w:rsidRPr="006D6B26">
        <w:t xml:space="preserve">In conclusion, AI remains in the early stages of development and has not been fully tested to understand its potential. While it is used in many organisations, its current impact is limited. Further trials are needed to explore its effective use. As AI evolves, early integration may help organisations adapt more easily and avoid unfamiliarity in the future. </w:t>
      </w:r>
    </w:p>
    <w:p w14:paraId="27CDF348" w14:textId="77777777" w:rsidR="002550E5" w:rsidRPr="00F511FB" w:rsidRDefault="002550E5" w:rsidP="001E7C8C"/>
    <w:p w14:paraId="3BEA3707" w14:textId="42986E47" w:rsidR="002550E5" w:rsidRPr="002550E5" w:rsidRDefault="002550E5" w:rsidP="002550E5">
      <w:pPr>
        <w:pStyle w:val="ListParagraph"/>
        <w:numPr>
          <w:ilvl w:val="0"/>
          <w:numId w:val="1"/>
        </w:numPr>
        <w:spacing w:after="0" w:line="256" w:lineRule="auto"/>
        <w:rPr>
          <w:rFonts w:ascii="Trebuchet MS" w:eastAsia="Arial" w:hAnsi="Trebuchet MS" w:cs="Times New Roman"/>
          <w:b/>
          <w:bCs/>
        </w:rPr>
      </w:pPr>
      <w:r w:rsidRPr="002550E5">
        <w:rPr>
          <w:rFonts w:ascii="Trebuchet MS" w:eastAsia="Arial" w:hAnsi="Trebuchet MS" w:cs="Times New Roman"/>
          <w:b/>
          <w:bCs/>
        </w:rPr>
        <w:t>Explain Charles Handy’s model of organisational culture and explain David Rock’s SCARF theory. (AC 2.1)</w:t>
      </w:r>
    </w:p>
    <w:p w14:paraId="30C6777B" w14:textId="77777777" w:rsidR="001E7C8C" w:rsidRPr="00716C0F" w:rsidRDefault="001E7C8C" w:rsidP="001E7C8C"/>
    <w:p w14:paraId="30710EDD" w14:textId="6AFAFE91" w:rsidR="002550E5" w:rsidRPr="00255A97" w:rsidRDefault="002550E5" w:rsidP="002550E5">
      <w:r w:rsidRPr="00255A97">
        <w:t>Organisation culture refers to “a set of norms, values, beliefs, and attitudes that guide the actions of all organi</w:t>
      </w:r>
      <w:r w:rsidR="00E93A82">
        <w:t>s</w:t>
      </w:r>
      <w:r w:rsidRPr="00255A97">
        <w:t xml:space="preserve">ation members and have a significant impact on employee behaviour” (Schein, 1992, in Bogale and Debela, 2024). Charles Handy (1976) devised a theory to categorise and understand the behaviours in the four types of culture that are seen in an organisation. </w:t>
      </w:r>
    </w:p>
    <w:p w14:paraId="7C53F279" w14:textId="77777777" w:rsidR="002550E5" w:rsidRDefault="002550E5" w:rsidP="002550E5">
      <w:r>
        <w:t xml:space="preserve">Handy’s </w:t>
      </w:r>
      <w:r w:rsidRPr="00255A97">
        <w:t>first type of culture is power culture. H</w:t>
      </w:r>
      <w:r>
        <w:t xml:space="preserve">e </w:t>
      </w:r>
      <w:r w:rsidRPr="00255A97">
        <w:t xml:space="preserve">suggests the values and behaviours are set by a centralised few, which is then distributed to the wider organisation. This type of culture suggests that others in the organisation have no choice but to follow the culture rules set. </w:t>
      </w:r>
    </w:p>
    <w:p w14:paraId="3B8A0305" w14:textId="77777777" w:rsidR="002550E5" w:rsidRPr="00255A97" w:rsidRDefault="002550E5" w:rsidP="002550E5">
      <w:r w:rsidRPr="00A51D82">
        <w:t>Role culture is defined by employees’ roles and responsibilities, with rules shaping their behaviour and values. It assumes employees conform to their position within the organi</w:t>
      </w:r>
      <w:r>
        <w:t>s</w:t>
      </w:r>
      <w:r w:rsidRPr="00A51D82">
        <w:t>ational structure.</w:t>
      </w:r>
    </w:p>
    <w:p w14:paraId="38A2A26B" w14:textId="2467A4BE" w:rsidR="002550E5" w:rsidRPr="00255A97" w:rsidRDefault="002550E5" w:rsidP="002550E5">
      <w:r w:rsidRPr="00531C97">
        <w:t>Task culture is driven by specific projects or tasks. Here, culture forms within teams, often resulting in siloed behaviours that differ across department</w:t>
      </w:r>
      <w:r w:rsidR="007A2728">
        <w:t>s.</w:t>
      </w:r>
    </w:p>
    <w:p w14:paraId="523DC746" w14:textId="77777777" w:rsidR="002550E5" w:rsidRDefault="002550E5" w:rsidP="002550E5">
      <w:r>
        <w:t>Person culture tends</w:t>
      </w:r>
      <w:r w:rsidRPr="00255A97">
        <w:t xml:space="preserve"> to be prevalent in areas where individuals perform based on their knowledge and experience, for example legal firms or medical practices. The culture tends to reflect individual’s ideas, rather than reflecting an organisation’s values.</w:t>
      </w:r>
    </w:p>
    <w:p w14:paraId="2712B18E" w14:textId="22FA63B8" w:rsidR="002550E5" w:rsidRPr="00255A97" w:rsidRDefault="002550E5" w:rsidP="002550E5">
      <w:r w:rsidRPr="00026FA9">
        <w:t>David Rock’s SCARF theory</w:t>
      </w:r>
      <w:r w:rsidR="00E93A82">
        <w:t xml:space="preserve"> (200</w:t>
      </w:r>
      <w:r w:rsidR="00B466DC">
        <w:t>8</w:t>
      </w:r>
      <w:r w:rsidR="00E93A82">
        <w:t>)</w:t>
      </w:r>
      <w:r w:rsidRPr="00026FA9">
        <w:t xml:space="preserve"> explains workplace behaviour by focusing on five elements </w:t>
      </w:r>
      <w:r>
        <w:t xml:space="preserve">of motivation </w:t>
      </w:r>
      <w:r w:rsidRPr="00026FA9">
        <w:t>that trigger reward or threat responses. Reward responses boost motivation and creativity, while threat responses lead to disengagement. Managers can use this model to better anticipate employee behaviour.</w:t>
      </w:r>
    </w:p>
    <w:p w14:paraId="1332685C" w14:textId="77777777" w:rsidR="002550E5" w:rsidRDefault="002550E5" w:rsidP="002550E5">
      <w:r>
        <w:t>Rock’s</w:t>
      </w:r>
      <w:r w:rsidRPr="00255A97">
        <w:t xml:space="preserve"> first motivation is status, which is how we assume our relative importance to others. A person may perceive threat of status when receiving feedback about their work, which may be </w:t>
      </w:r>
      <w:r w:rsidRPr="00255A97">
        <w:lastRenderedPageBreak/>
        <w:t>viewed as criticism. A person’s sense of status may be increased by praise or recognition of their work.</w:t>
      </w:r>
    </w:p>
    <w:p w14:paraId="0FDA47C0" w14:textId="77777777" w:rsidR="002550E5" w:rsidRDefault="002550E5" w:rsidP="002550E5">
      <w:r>
        <w:t>His</w:t>
      </w:r>
      <w:r w:rsidRPr="00026FA9">
        <w:t xml:space="preserve"> second motivator, certainty, is the ability to predict the future. Routine and familiarity boost the reward response, while unpredictability, like sudden meetings or decisions, can trigger a threat response.</w:t>
      </w:r>
    </w:p>
    <w:p w14:paraId="43FF3850" w14:textId="77777777" w:rsidR="002550E5" w:rsidRDefault="002550E5" w:rsidP="002550E5">
      <w:r>
        <w:t>Thirdly, a</w:t>
      </w:r>
      <w:r w:rsidRPr="00B84EAF">
        <w:t>utonomy provides a sense of control, boosting the reward response. In contrast, close management and unexpected changes can feel threatening. Allowing employees to use their judgment increases certainty and engagement.</w:t>
      </w:r>
      <w:r>
        <w:t xml:space="preserve"> </w:t>
      </w:r>
    </w:p>
    <w:p w14:paraId="31202B4E" w14:textId="77777777" w:rsidR="002550E5" w:rsidRDefault="002550E5" w:rsidP="002550E5">
      <w:r>
        <w:t>Fourthly, there is the motivation of relatedness, which is defined as a sense of social safety. People do not want to feel alienated from their peers. This might occur in the globalisation of organisations. Work is now carried out largely online, which increases isolation and feels more impersonal. Increasing human connections and building a rapport in teams, will increase the reward response.</w:t>
      </w:r>
    </w:p>
    <w:p w14:paraId="3A2A2BCC" w14:textId="77777777" w:rsidR="002550E5" w:rsidRDefault="002550E5" w:rsidP="002550E5">
      <w:r w:rsidRPr="00B84EAF">
        <w:t>Fairness, the final motivator, is based on perceived fair treatment. Inconsistencies, like unequal enforcement of rules, can seem unfair. Transparency and consistent treatment boost motivation and engagement.</w:t>
      </w:r>
    </w:p>
    <w:p w14:paraId="7B878E64" w14:textId="77777777" w:rsidR="002550E5" w:rsidRPr="006D7813" w:rsidRDefault="002550E5" w:rsidP="002550E5">
      <w:pPr>
        <w:rPr>
          <w:rFonts w:ascii="Trebuchet MS" w:eastAsia="Arial" w:hAnsi="Trebuchet MS" w:cs="Times New Roman"/>
          <w:b/>
          <w:bCs/>
        </w:rPr>
      </w:pPr>
    </w:p>
    <w:p w14:paraId="1A6E9C46" w14:textId="5D44FB5D" w:rsidR="002550E5" w:rsidRPr="006D7813" w:rsidRDefault="002550E5" w:rsidP="002550E5">
      <w:pPr>
        <w:pStyle w:val="ListParagraph"/>
        <w:numPr>
          <w:ilvl w:val="0"/>
          <w:numId w:val="1"/>
        </w:numPr>
        <w:spacing w:after="0" w:line="256" w:lineRule="auto"/>
        <w:rPr>
          <w:rFonts w:ascii="Trebuchet MS" w:eastAsia="Arial" w:hAnsi="Trebuchet MS" w:cs="Times New Roman"/>
          <w:b/>
          <w:bCs/>
        </w:rPr>
      </w:pPr>
      <w:r w:rsidRPr="006D7813">
        <w:rPr>
          <w:rFonts w:ascii="Trebuchet MS" w:eastAsia="Arial" w:hAnsi="Trebuchet MS" w:cs="Times New Roman"/>
          <w:b/>
          <w:bCs/>
        </w:rPr>
        <w:t>Assess how employee selection or employee development impacts organisational culture and behaviour in your organisation (or one with which you are familiar). (AC 2.2)</w:t>
      </w:r>
    </w:p>
    <w:p w14:paraId="52C94315" w14:textId="77777777" w:rsidR="002550E5" w:rsidRDefault="002550E5" w:rsidP="002550E5"/>
    <w:p w14:paraId="5632863D" w14:textId="77777777" w:rsidR="002550E5" w:rsidRPr="00202E81" w:rsidRDefault="002550E5" w:rsidP="002550E5">
      <w:r w:rsidRPr="00202E81">
        <w:t xml:space="preserve">The employee selection process is a two-way process, whereby organisations screen potential employees and assess how they would integrate into the organisational culture, </w:t>
      </w:r>
      <w:proofErr w:type="gramStart"/>
      <w:r w:rsidRPr="00202E81">
        <w:t>and also</w:t>
      </w:r>
      <w:proofErr w:type="gramEnd"/>
      <w:r w:rsidRPr="00202E81">
        <w:t xml:space="preserve"> candidates assess the company and evaluate organisational fit.</w:t>
      </w:r>
    </w:p>
    <w:p w14:paraId="6B54A7F3" w14:textId="77777777" w:rsidR="002550E5" w:rsidRPr="00202E81" w:rsidRDefault="002550E5" w:rsidP="002550E5">
      <w:r w:rsidRPr="00202E81">
        <w:t>The selection process is extensive. Applications are assessed, then additional interviews evaluate potential candidates further. Hiring managers ensure they have the required skills and knowledge to succeed in the role, but also ensure their values align with the organisation’s.</w:t>
      </w:r>
    </w:p>
    <w:p w14:paraId="510888D6" w14:textId="7E1904DA" w:rsidR="00A11A9A" w:rsidRDefault="002550E5" w:rsidP="002550E5">
      <w:pPr>
        <w:rPr>
          <w:color w:val="FF0000"/>
        </w:rPr>
      </w:pPr>
      <w:r w:rsidRPr="00202E81">
        <w:t>It is important to ensure a good cultural fit before hiring a candidate.</w:t>
      </w:r>
      <w:r w:rsidR="00147ABF">
        <w:t xml:space="preserve"> </w:t>
      </w:r>
      <w:r w:rsidRPr="00202E81">
        <w:t xml:space="preserve">An organisation should aim to ensure a person’s values are aligned with its way of working, because the employee will carry out their work based on their own values. </w:t>
      </w:r>
      <w:r w:rsidR="004B5B22">
        <w:rPr>
          <w:color w:val="FF0000"/>
        </w:rPr>
        <w:t>Hoffman and Woehr (200</w:t>
      </w:r>
      <w:r w:rsidR="00A2354B">
        <w:rPr>
          <w:color w:val="FF0000"/>
        </w:rPr>
        <w:t>6</w:t>
      </w:r>
      <w:r w:rsidR="004B5B22">
        <w:rPr>
          <w:color w:val="FF0000"/>
        </w:rPr>
        <w:t xml:space="preserve">) highlighted that </w:t>
      </w:r>
      <w:r w:rsidR="00050686">
        <w:rPr>
          <w:color w:val="FF0000"/>
        </w:rPr>
        <w:t>person-organisation fit</w:t>
      </w:r>
      <w:r w:rsidR="00050686" w:rsidRPr="00050686">
        <w:rPr>
          <w:color w:val="FF0000"/>
        </w:rPr>
        <w:t xml:space="preserve"> is related to a variety of </w:t>
      </w:r>
      <w:r w:rsidR="004B5B22" w:rsidRPr="00050686">
        <w:rPr>
          <w:color w:val="FF0000"/>
        </w:rPr>
        <w:t>behavioural</w:t>
      </w:r>
      <w:r w:rsidR="00050686" w:rsidRPr="00050686">
        <w:rPr>
          <w:color w:val="FF0000"/>
        </w:rPr>
        <w:t xml:space="preserve"> outcomes, including turnover and task performance</w:t>
      </w:r>
      <w:r w:rsidR="004B5B22">
        <w:rPr>
          <w:color w:val="FF0000"/>
        </w:rPr>
        <w:t>.</w:t>
      </w:r>
    </w:p>
    <w:p w14:paraId="29BC14A8" w14:textId="7C5A4E5E" w:rsidR="002550E5" w:rsidRPr="00202E81" w:rsidRDefault="004B5B22" w:rsidP="002550E5">
      <w:r w:rsidRPr="004B5B22">
        <w:rPr>
          <w:color w:val="FF0000"/>
        </w:rPr>
        <w:t>Hiring the best fit</w:t>
      </w:r>
      <w:r w:rsidR="002550E5" w:rsidRPr="004B5B22">
        <w:rPr>
          <w:color w:val="FF0000"/>
        </w:rPr>
        <w:t xml:space="preserve"> </w:t>
      </w:r>
      <w:r w:rsidR="002550E5" w:rsidRPr="00202E81">
        <w:t xml:space="preserve">can be achieved by reviewing the application alongside an </w:t>
      </w:r>
      <w:proofErr w:type="gramStart"/>
      <w:r w:rsidR="002550E5" w:rsidRPr="00202E81">
        <w:t>assessment criteria</w:t>
      </w:r>
      <w:proofErr w:type="gramEnd"/>
      <w:r w:rsidR="002550E5" w:rsidRPr="00202E81">
        <w:t>, which would disqualify candidates who do not demonstrate these values. The Vale of Glamorgan Council promotes the idea that the work must always have citizens in mind. It must be transparent when a service is being delivered and how the work impacts their lives. Ensuring that a candidate is invested in the best for the local community help</w:t>
      </w:r>
      <w:r w:rsidR="00161710">
        <w:t>s</w:t>
      </w:r>
      <w:r w:rsidR="002550E5" w:rsidRPr="00202E81">
        <w:t xml:space="preserve"> them to uphold these values when carrying out their work</w:t>
      </w:r>
      <w:r w:rsidR="00161710">
        <w:t>, therefore a successful</w:t>
      </w:r>
      <w:r w:rsidR="002550E5" w:rsidRPr="00202E81">
        <w:t xml:space="preserve"> candidate’s application must reflect these values.  </w:t>
      </w:r>
    </w:p>
    <w:p w14:paraId="2F7142C8" w14:textId="2284DBCF" w:rsidR="002550E5" w:rsidRDefault="002550E5" w:rsidP="002550E5">
      <w:r w:rsidRPr="00202E81">
        <w:t xml:space="preserve">Furthermore, ineffective selection processes that do not aim for organisational and employee value alignment can mean the continuation of bad practices. If certain teams are not reflecting the core values of the organisation, it is likely they will not prioritise the appropriate values in a </w:t>
      </w:r>
      <w:r w:rsidRPr="00202E81">
        <w:lastRenderedPageBreak/>
        <w:t>person when hiring.</w:t>
      </w:r>
      <w:r w:rsidR="00B717F8" w:rsidRPr="00B717F8">
        <w:rPr>
          <w:color w:val="FF0000"/>
        </w:rPr>
        <w:t xml:space="preserve"> </w:t>
      </w:r>
      <w:r w:rsidR="004B5B22">
        <w:rPr>
          <w:color w:val="FF0000"/>
        </w:rPr>
        <w:t>The Society of Human Re</w:t>
      </w:r>
      <w:r w:rsidR="00FF6EFE">
        <w:rPr>
          <w:color w:val="FF0000"/>
        </w:rPr>
        <w:t xml:space="preserve">source Management (2024) </w:t>
      </w:r>
      <w:r w:rsidR="004B5B22">
        <w:rPr>
          <w:color w:val="FF0000"/>
        </w:rPr>
        <w:t>identified th</w:t>
      </w:r>
      <w:r w:rsidR="00FF6EFE">
        <w:rPr>
          <w:color w:val="FF0000"/>
        </w:rPr>
        <w:t>at</w:t>
      </w:r>
      <w:r w:rsidR="004B5B22">
        <w:rPr>
          <w:color w:val="FF0000"/>
        </w:rPr>
        <w:t xml:space="preserve"> </w:t>
      </w:r>
      <w:r w:rsidR="00B717F8" w:rsidRPr="00B717F8">
        <w:rPr>
          <w:color w:val="FF0000"/>
        </w:rPr>
        <w:t>bad workplace culture leads to lower employee productivity and greater turnover</w:t>
      </w:r>
      <w:r w:rsidR="004B5B22">
        <w:rPr>
          <w:color w:val="FF0000"/>
        </w:rPr>
        <w:t>.</w:t>
      </w:r>
      <w:r w:rsidRPr="00B717F8">
        <w:rPr>
          <w:color w:val="FF0000"/>
        </w:rPr>
        <w:t xml:space="preserve"> </w:t>
      </w:r>
      <w:r w:rsidR="00161710">
        <w:t>VOG m</w:t>
      </w:r>
      <w:r w:rsidRPr="00202E81">
        <w:t xml:space="preserve">anagers are </w:t>
      </w:r>
      <w:r w:rsidR="00161710">
        <w:t xml:space="preserve">thus </w:t>
      </w:r>
      <w:r w:rsidRPr="00202E81">
        <w:t xml:space="preserve">required to review and attend training which will reemphasise the values which are forefront to </w:t>
      </w:r>
      <w:r w:rsidR="00161710">
        <w:t>the Council</w:t>
      </w:r>
      <w:r w:rsidRPr="00202E81">
        <w:t>. They are then expected to integrate these into team practices. Strengthening the existing organisational values into the culture of the team mean</w:t>
      </w:r>
      <w:r w:rsidR="00161710">
        <w:t>s</w:t>
      </w:r>
      <w:r w:rsidRPr="00202E81">
        <w:t xml:space="preserve"> the values they are looking for in the selection process will likely align.</w:t>
      </w:r>
    </w:p>
    <w:p w14:paraId="3EE459F2" w14:textId="63992137" w:rsidR="00840F77" w:rsidRDefault="002550E5" w:rsidP="002550E5">
      <w:pPr>
        <w:rPr>
          <w:color w:val="FF0000"/>
        </w:rPr>
      </w:pPr>
      <w:r w:rsidRPr="00202E81">
        <w:t xml:space="preserve">Ensuring candidates </w:t>
      </w:r>
      <w:r w:rsidR="00161710">
        <w:t>are</w:t>
      </w:r>
      <w:r w:rsidRPr="00202E81">
        <w:t xml:space="preserve"> compliant with existing organisational culture at the selection stage can be damaging to the organisation. It can lead to a lack of diversity. </w:t>
      </w:r>
      <w:r w:rsidR="00161710">
        <w:t xml:space="preserve">Candidates </w:t>
      </w:r>
      <w:r w:rsidRPr="00202E81">
        <w:t>are compared to existing employees and their culture; therefore, this will likely mirror the existing demographic.</w:t>
      </w:r>
      <w:r w:rsidR="00147ABF">
        <w:t xml:space="preserve"> </w:t>
      </w:r>
      <w:r w:rsidR="00FF6EFE" w:rsidRPr="00724A5B">
        <w:rPr>
          <w:color w:val="FF0000"/>
        </w:rPr>
        <w:t xml:space="preserve">Tholen (2023) found hiring </w:t>
      </w:r>
      <w:r w:rsidR="00FF6EFE">
        <w:rPr>
          <w:color w:val="FF0000"/>
        </w:rPr>
        <w:t xml:space="preserve">based </w:t>
      </w:r>
      <w:r w:rsidR="00840F77" w:rsidRPr="00840F77">
        <w:rPr>
          <w:color w:val="FF0000"/>
        </w:rPr>
        <w:t xml:space="preserve">on organisational fit </w:t>
      </w:r>
      <w:r w:rsidR="00FF6EFE">
        <w:rPr>
          <w:color w:val="FF0000"/>
        </w:rPr>
        <w:t>“</w:t>
      </w:r>
      <w:r w:rsidR="00840F77" w:rsidRPr="00840F77">
        <w:rPr>
          <w:color w:val="FF0000"/>
        </w:rPr>
        <w:t>opens up biases against particular genders, ethnicities, older workers and those with different personalities or work backgrounds</w:t>
      </w:r>
      <w:r w:rsidR="00FF6EFE">
        <w:rPr>
          <w:color w:val="FF0000"/>
        </w:rPr>
        <w:t>”.</w:t>
      </w:r>
    </w:p>
    <w:p w14:paraId="271BACA7" w14:textId="3EF42CFC" w:rsidR="002550E5" w:rsidRDefault="00161710" w:rsidP="002550E5">
      <w:r>
        <w:t>To combat this, VOG m</w:t>
      </w:r>
      <w:r w:rsidR="002550E5" w:rsidRPr="00202E81">
        <w:t>anagers are required to attend recruitment training, which includes unconscious bias training, blind CV and shortlisting training, and training for reasonable adjustments in interview, so the talent pool demonstrates a range of applicants who have relevant experience and skills.</w:t>
      </w:r>
    </w:p>
    <w:p w14:paraId="41C72390" w14:textId="77777777" w:rsidR="00ED3EB0" w:rsidRDefault="00ED3EB0" w:rsidP="002550E5"/>
    <w:p w14:paraId="4D59458E" w14:textId="385D48B4" w:rsidR="00121533" w:rsidRPr="00121533" w:rsidRDefault="00121533" w:rsidP="00121533">
      <w:pPr>
        <w:pStyle w:val="ListParagraph"/>
        <w:numPr>
          <w:ilvl w:val="0"/>
          <w:numId w:val="1"/>
        </w:numPr>
        <w:spacing w:after="0" w:line="256" w:lineRule="auto"/>
        <w:rPr>
          <w:rFonts w:ascii="Trebuchet MS" w:eastAsia="Arial" w:hAnsi="Trebuchet MS" w:cs="Times New Roman"/>
        </w:rPr>
      </w:pPr>
      <w:r w:rsidRPr="00121533">
        <w:rPr>
          <w:rFonts w:ascii="Trebuchet MS" w:eastAsia="Arial" w:hAnsi="Trebuchet MS" w:cs="Times New Roman"/>
        </w:rPr>
        <w:t>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(AC 2.3)</w:t>
      </w:r>
    </w:p>
    <w:p w14:paraId="6502D608" w14:textId="77777777" w:rsidR="002550E5" w:rsidRDefault="002550E5" w:rsidP="002550E5"/>
    <w:p w14:paraId="2A32C36A" w14:textId="09EA32B2" w:rsidR="00121533" w:rsidRPr="00B716CA" w:rsidRDefault="00121533" w:rsidP="00121533">
      <w:r w:rsidRPr="00B716CA">
        <w:t>John Kotter (1996) developed an eight-step model to guide managers to plan and execute change. Organisations need to be able to implement change to develop with environmental changes, but employees can present resistance to change.</w:t>
      </w:r>
    </w:p>
    <w:p w14:paraId="5158AE19" w14:textId="5A625881" w:rsidR="00121533" w:rsidRDefault="00121533" w:rsidP="00121533">
      <w:r w:rsidRPr="00D679B7">
        <w:t>The first step in establishing change is creating a sense of urgency by clearly communicating the need for change to employees.</w:t>
      </w:r>
      <w:r w:rsidRPr="00B716CA">
        <w:t xml:space="preserve"> This can be illustrated by data. In Kotter’s 2012 review of the model, he suggests a need to “remove sources of complacency or minimise the impact”. </w:t>
      </w:r>
      <w:r w:rsidRPr="00D679B7">
        <w:t>One method is sharing market data, such as examples of competitors improving performance by reintroducing office days. Showing links between office attendance and gains in revenue or customer satisfaction can motivate employees to support change.</w:t>
      </w:r>
    </w:p>
    <w:p w14:paraId="113CB5A2" w14:textId="4FA725CF" w:rsidR="00121533" w:rsidRDefault="00121533" w:rsidP="00121533">
      <w:r w:rsidRPr="00B716CA">
        <w:t xml:space="preserve">Secondly, a guiding coalition needs to be established. This refers to gathering influential members of an organisation, who can communicate it positively to other employees. Kotter explains an organisation can identify the best members for this coalition by considering position power, expertise, credibility and leadership. This will be individual to each organisation. </w:t>
      </w:r>
    </w:p>
    <w:p w14:paraId="5942DEF2" w14:textId="3696BB95" w:rsidR="00121533" w:rsidRDefault="00121533" w:rsidP="00121533">
      <w:r w:rsidRPr="0046121E">
        <w:t xml:space="preserve">Thirdly, a clear strategic vision is essential to guide the change, such as setting specific office days. </w:t>
      </w:r>
      <w:r w:rsidRPr="00B716CA">
        <w:t xml:space="preserve">For example, there may be different members of a team in on different days or two dedicated office days for the whole organisation. </w:t>
      </w:r>
      <w:r w:rsidRPr="0046121E">
        <w:t>A focused goal, like improving financial outcomes, helps measure success. Without a strong vision, the change may lose direction and fail.</w:t>
      </w:r>
    </w:p>
    <w:p w14:paraId="5E33B813" w14:textId="6FDAC3CE" w:rsidR="00121533" w:rsidRPr="00B716CA" w:rsidRDefault="00121533" w:rsidP="00121533">
      <w:r w:rsidRPr="0046121E">
        <w:t xml:space="preserve">The fourth step involves introducing the change by clearly communicating the vision. Leaders should lead by example, </w:t>
      </w:r>
      <w:r w:rsidRPr="00B716CA">
        <w:t>for example actively being in the office on the days they have outlined</w:t>
      </w:r>
      <w:r>
        <w:t xml:space="preserve">. </w:t>
      </w:r>
      <w:r>
        <w:lastRenderedPageBreak/>
        <w:t>Leadership should</w:t>
      </w:r>
      <w:r w:rsidRPr="0046121E">
        <w:t xml:space="preserve"> encourage participation and unify employees to ensure active contribution and lasting impact.</w:t>
      </w:r>
    </w:p>
    <w:p w14:paraId="328B6363" w14:textId="7CAB487E" w:rsidR="00121533" w:rsidRPr="00B716CA" w:rsidRDefault="00121533" w:rsidP="00121533">
      <w:r w:rsidRPr="00B716CA">
        <w:t>Additionally, management must identify and tackle obstacles which may impact the ability to facilitate the change. For example, one advantage of home working is no transport is needed to get to work. Organisations may collect data on employees’ commuting methods to improve the accessibility of transport options.</w:t>
      </w:r>
    </w:p>
    <w:p w14:paraId="79D43E62" w14:textId="76D54C3D" w:rsidR="00121533" w:rsidRPr="00121533" w:rsidRDefault="00121533" w:rsidP="00121533">
      <w:pPr>
        <w:rPr>
          <w:strike/>
        </w:rPr>
      </w:pPr>
      <w:r w:rsidRPr="00B716CA">
        <w:t>Management can also provide motivation by communicating small successes as the change is implemented</w:t>
      </w:r>
      <w:r>
        <w:t>,</w:t>
      </w:r>
      <w:r w:rsidRPr="00B716CA">
        <w:t xml:space="preserve"> reinforc</w:t>
      </w:r>
      <w:r>
        <w:t>ing</w:t>
      </w:r>
      <w:r w:rsidRPr="00B716CA">
        <w:t xml:space="preserve"> the notion that progress is being made. For example, collecting data on improvements since introducing two-day office working and promoting these results can highlight its benefits. </w:t>
      </w:r>
    </w:p>
    <w:p w14:paraId="5E6A228C" w14:textId="77777777" w:rsidR="00121533" w:rsidRPr="00B716CA" w:rsidRDefault="00121533" w:rsidP="00121533">
      <w:r w:rsidRPr="00B716CA">
        <w:t xml:space="preserve">Lastly, the change needs to be absorbed as the norm in organisational culture. </w:t>
      </w:r>
      <w:r w:rsidRPr="0046121E">
        <w:t>Initial success</w:t>
      </w:r>
      <w:r>
        <w:t xml:space="preserve"> </w:t>
      </w:r>
      <w:r w:rsidRPr="0046121E">
        <w:t xml:space="preserve">must be scaled and supported over time. To maintain momentum, organisations need ongoing motivation and </w:t>
      </w:r>
      <w:r>
        <w:t>new</w:t>
      </w:r>
      <w:r w:rsidRPr="0046121E">
        <w:t xml:space="preserve"> ideas</w:t>
      </w:r>
      <w:r>
        <w:t>.</w:t>
      </w:r>
      <w:r w:rsidRPr="00B716CA">
        <w:t xml:space="preserve"> The change needs to be cemented in organisational processes, behaviours and mindsets, so it continues. The example organisation will have hybrid working as a norm.</w:t>
      </w:r>
    </w:p>
    <w:p w14:paraId="6CB14372" w14:textId="4FCF65D6" w:rsidR="001E7C8C" w:rsidRPr="006D7813" w:rsidRDefault="00121533" w:rsidP="00121533">
      <w:pPr>
        <w:pStyle w:val="ListParagraph"/>
        <w:numPr>
          <w:ilvl w:val="0"/>
          <w:numId w:val="1"/>
        </w:numPr>
        <w:spacing w:line="256" w:lineRule="auto"/>
        <w:rPr>
          <w:rFonts w:ascii="Trebuchet MS" w:eastAsia="Arial" w:hAnsi="Trebuchet MS" w:cs="Times New Roman"/>
          <w:b/>
          <w:bCs/>
        </w:rPr>
      </w:pPr>
      <w:r w:rsidRPr="006D7813">
        <w:rPr>
          <w:rFonts w:ascii="Trebuchet MS" w:eastAsia="Arial" w:hAnsi="Trebuchet MS" w:cs="Times New Roman"/>
          <w:b/>
          <w:bCs/>
        </w:rPr>
        <w:t>Using the Kubler-Ross change curve, discuss how change is experienced. (AC 2.4)</w:t>
      </w:r>
    </w:p>
    <w:p w14:paraId="68D7E996" w14:textId="701FDB94" w:rsidR="00121533" w:rsidRPr="00523BF9" w:rsidRDefault="00121533" w:rsidP="00121533">
      <w:r w:rsidRPr="00523BF9">
        <w:t>Dr Elisabeth Kübler-Ross originally developed a five-stage model of grief in</w:t>
      </w:r>
      <w:r w:rsidR="00DF3065">
        <w:t xml:space="preserve"> 1969,</w:t>
      </w:r>
      <w:r w:rsidRPr="00523BF9">
        <w:t xml:space="preserve"> to understand how people cope with bereavement. This has since progressed into a more advanced model called the change curve. This has since been applied to other contexts of life change and can be applied to the acceptance of organisational change.</w:t>
      </w:r>
      <w:r w:rsidR="00462CB8">
        <w:t xml:space="preserve"> </w:t>
      </w:r>
      <w:r w:rsidR="00462CB8" w:rsidRPr="00462CB8">
        <w:rPr>
          <w:color w:val="FF0000"/>
        </w:rPr>
        <w:t xml:space="preserve">Malik (2025) praises </w:t>
      </w:r>
      <w:r w:rsidR="003C4AE6">
        <w:rPr>
          <w:color w:val="FF0000"/>
        </w:rPr>
        <w:t>h</w:t>
      </w:r>
      <w:r w:rsidR="00462CB8" w:rsidRPr="00462CB8">
        <w:rPr>
          <w:color w:val="FF0000"/>
        </w:rPr>
        <w:t>ow the model provides guidance in predicting negative reactions to change and how it helps overcome barriers for the adoption of change.</w:t>
      </w:r>
    </w:p>
    <w:p w14:paraId="3E2912CF" w14:textId="5F9D13BA" w:rsidR="00121533" w:rsidRPr="00523BF9" w:rsidRDefault="00121533" w:rsidP="00121533">
      <w:r w:rsidRPr="00523BF9">
        <w:t xml:space="preserve">Whilst versions of the model can differ slightly, the stages, outlined by The Elisabeth Kübler-Ross Foundation </w:t>
      </w:r>
      <w:proofErr w:type="gramStart"/>
      <w:r w:rsidRPr="00523BF9">
        <w:t>are:</w:t>
      </w:r>
      <w:proofErr w:type="gramEnd"/>
      <w:r w:rsidRPr="00523BF9">
        <w:t xml:space="preserve"> shock, denial, frustration, depression, experiment, decision, and integration. The stages are not necessarily experienced in a linear fashion and people will move through the stages over different timeframes.</w:t>
      </w:r>
    </w:p>
    <w:p w14:paraId="48C35794" w14:textId="75F5B127" w:rsidR="00121533" w:rsidRPr="00523BF9" w:rsidRDefault="00121533" w:rsidP="00121533">
      <w:r w:rsidRPr="00523BF9">
        <w:t xml:space="preserve">The first stages understand the negative emotions experienced. People refuse to accept that a change will occur, leading to emotions of shock and denial. Organisations may propose a change, but employees </w:t>
      </w:r>
      <w:r>
        <w:t xml:space="preserve">might </w:t>
      </w:r>
      <w:r w:rsidRPr="00523BF9">
        <w:t>think it is just an idea and dismiss it or refuse to engage with the change. This is a mechanism used to by individuals to protect themselves from the change.</w:t>
      </w:r>
      <w:r w:rsidR="00113CC9">
        <w:t xml:space="preserve"> </w:t>
      </w:r>
      <w:r w:rsidR="00DF3065">
        <w:rPr>
          <w:color w:val="FF0000"/>
        </w:rPr>
        <w:t>Erwin and Garman (2010) suggest resistance, regardless of the form, is one of the main reason change fails.</w:t>
      </w:r>
    </w:p>
    <w:p w14:paraId="0903B471" w14:textId="77777777" w:rsidR="00121533" w:rsidRPr="00523BF9" w:rsidRDefault="00121533" w:rsidP="00121533">
      <w:r w:rsidRPr="00523BF9">
        <w:t>This continue</w:t>
      </w:r>
      <w:r>
        <w:t>s</w:t>
      </w:r>
      <w:r w:rsidRPr="00523BF9">
        <w:t xml:space="preserve"> into frustration and depression. People </w:t>
      </w:r>
      <w:r>
        <w:t>might</w:t>
      </w:r>
      <w:r w:rsidRPr="00523BF9">
        <w:t xml:space="preserve"> come to terms with the fact a change is inevitable. Employees may look for someone to blame for the change. There </w:t>
      </w:r>
      <w:r>
        <w:t>could be</w:t>
      </w:r>
      <w:r w:rsidRPr="00523BF9">
        <w:t xml:space="preserve"> feelings of hopelessness and lack of self-worth.</w:t>
      </w:r>
    </w:p>
    <w:p w14:paraId="6E2E0733" w14:textId="77777777" w:rsidR="00121533" w:rsidRPr="00523BF9" w:rsidRDefault="00121533" w:rsidP="00121533">
      <w:r w:rsidRPr="00523BF9">
        <w:t>The stages in the negative decline of the model mean employees demonstrate a lack of engagement of work and may try to rebel against the change. This means managers will have to demonstrate clear communication and support to encourage people to move into the stages of the positive incline of the model.</w:t>
      </w:r>
    </w:p>
    <w:p w14:paraId="76D7198C" w14:textId="77777777" w:rsidR="00121533" w:rsidRPr="00523BF9" w:rsidRDefault="00121533" w:rsidP="00121533">
      <w:r w:rsidRPr="00523BF9">
        <w:t>It is not possible to ignore the change forever; the change is inevitable. Individuals</w:t>
      </w:r>
      <w:r>
        <w:t xml:space="preserve"> will</w:t>
      </w:r>
      <w:r w:rsidRPr="00523BF9">
        <w:t xml:space="preserve"> begin to demonstrate the emotions and behaviours associated with the positive curve. </w:t>
      </w:r>
    </w:p>
    <w:p w14:paraId="34FC10F6" w14:textId="776449EB" w:rsidR="00121533" w:rsidRPr="00523BF9" w:rsidRDefault="00121533" w:rsidP="00121533">
      <w:r w:rsidRPr="00523BF9">
        <w:lastRenderedPageBreak/>
        <w:t>People begin to experiment with new ways of dealing with the change. They w</w:t>
      </w:r>
      <w:r>
        <w:t>ould</w:t>
      </w:r>
      <w:r w:rsidRPr="00523BF9">
        <w:t xml:space="preserve"> make decisions which will help adapt to the change as it begins to take effect. Managers can help within organisations as they can offer support and training to navigate the change. </w:t>
      </w:r>
      <w:r w:rsidR="00DF3065" w:rsidRPr="00DF3065">
        <w:rPr>
          <w:color w:val="FF0000"/>
        </w:rPr>
        <w:t>Golembiewski (20</w:t>
      </w:r>
      <w:r w:rsidR="0010218A">
        <w:rPr>
          <w:color w:val="FF0000"/>
        </w:rPr>
        <w:t>0</w:t>
      </w:r>
      <w:r w:rsidR="00590F2B">
        <w:rPr>
          <w:color w:val="FF0000"/>
        </w:rPr>
        <w:t>0</w:t>
      </w:r>
      <w:r w:rsidR="00DF3065" w:rsidRPr="00DF3065">
        <w:rPr>
          <w:color w:val="FF0000"/>
        </w:rPr>
        <w:t xml:space="preserve">) highlights that a well-managed change can expect a higher success rate. </w:t>
      </w:r>
      <w:r w:rsidRPr="00523BF9">
        <w:t>Ultimately, productivity and engagement will begin to improve in the workplace.</w:t>
      </w:r>
    </w:p>
    <w:p w14:paraId="45238602" w14:textId="77777777" w:rsidR="00121533" w:rsidRPr="00523BF9" w:rsidRDefault="00121533" w:rsidP="00121533">
      <w:r w:rsidRPr="00523BF9">
        <w:t>The final stage is integration of the change. The initial change will eventually become the new norm. People will once again feel they are in control of the situation and be comfortable with the change. Organisations can use the experience of previous changes to help integrate new changes into the workplace. An example of a change which impacted all organisations was the effects of the COVID pandemic.</w:t>
      </w:r>
    </w:p>
    <w:p w14:paraId="6384CEA3" w14:textId="28038FD3" w:rsidR="00121533" w:rsidRPr="00121533" w:rsidRDefault="00121533" w:rsidP="00121533">
      <w:pPr>
        <w:pStyle w:val="ListParagraph"/>
        <w:numPr>
          <w:ilvl w:val="0"/>
          <w:numId w:val="1"/>
        </w:numPr>
        <w:spacing w:after="0" w:line="256" w:lineRule="auto"/>
        <w:rPr>
          <w:rFonts w:ascii="Trebuchet MS" w:eastAsia="Arial" w:hAnsi="Trebuchet MS" w:cs="Times New Roman"/>
          <w:b/>
          <w:bCs/>
        </w:rPr>
      </w:pPr>
      <w:r w:rsidRPr="00121533">
        <w:rPr>
          <w:rFonts w:ascii="Trebuchet MS" w:eastAsia="Arial" w:hAnsi="Trebuchet MS" w:cs="Times New Roman"/>
          <w:b/>
          <w:bCs/>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 (AC 2.5)</w:t>
      </w:r>
    </w:p>
    <w:p w14:paraId="3C09CEED" w14:textId="77777777" w:rsidR="001E7C8C" w:rsidRPr="00DB0621" w:rsidRDefault="001E7C8C" w:rsidP="001E7C8C"/>
    <w:p w14:paraId="58514061" w14:textId="77777777" w:rsidR="00121533" w:rsidRPr="009D746A" w:rsidRDefault="00121533" w:rsidP="00121533">
      <w:r w:rsidRPr="009D746A">
        <w:t>The World Health Organisation defines wellbeing as ‘an individual’s experience of their life: and a comparison of life circumstances with social norms and values’. It can be assessed both objectively (e.g. access to food, education, safety) and subjectively, based on personal life satisfaction. Wellbeing is typically considered in terms of both physical and mental health.</w:t>
      </w:r>
    </w:p>
    <w:p w14:paraId="1B1BACC8" w14:textId="36AB299B" w:rsidR="00121533" w:rsidRPr="009D746A" w:rsidRDefault="00121533" w:rsidP="00121533">
      <w:r w:rsidRPr="009D746A">
        <w:t>Poor</w:t>
      </w:r>
      <w:r w:rsidRPr="008A0225">
        <w:t xml:space="preserve"> wellbeing</w:t>
      </w:r>
      <w:r w:rsidRPr="009D746A">
        <w:t xml:space="preserve"> in employees</w:t>
      </w:r>
      <w:r w:rsidRPr="008A0225">
        <w:t xml:space="preserve"> can have a detrimental effect on both employees and organisational performance. The CIPD (2023) highlights that despite not feeling well, 53% of employees continued working over the past three months. This phenomenon, often referred to as presenteeism, leads to unhealthy working practices, such as reduced performance, loss of motivation, and withdrawal from tasks. Beyond work, poor wellbeing can cause physical symptoms like headaches, tiredness, and irritability, and in extreme cases, increased alcohol consumption, impacting individuals’ lives outside of the workplace.</w:t>
      </w:r>
    </w:p>
    <w:p w14:paraId="5C48D592" w14:textId="5F67E883" w:rsidR="00121533" w:rsidRPr="009D746A" w:rsidRDefault="00121533" w:rsidP="00121533">
      <w:r w:rsidRPr="009D746A">
        <w:t>Alternatively, employees who are unable to attend work due to poor wellbeing is known as absenteeism. The CIPD (2023) reported sickness absence rates have reached their highest level in over a decade, increasing from an average of 5.8 days per employee in 2019 to 7.8 days in 2023, This significant rise highlights the growing impact of health and wellbeing issues on the workforce. High levels of sickness absence can disrupt productivity, increase operational costs, and place additional strain on remaining staff.</w:t>
      </w:r>
    </w:p>
    <w:p w14:paraId="71362983" w14:textId="77777777" w:rsidR="00121533" w:rsidRPr="008A0225" w:rsidRDefault="00121533" w:rsidP="00121533">
      <w:r w:rsidRPr="008A0225">
        <w:t>Work itself significantly influences wellbeing. According to the CIPD (2023), over a quarter of employees felt that work negatively affected their mental health, with public sector workers reporting higher levels of exhaustion and pressure. Financial constraints in the public sector may contribute to limited resources, increasing stress and impacting employees’ physical and mental health. Such stress can adversely affect behaviour and performance, creating a challenging cycle for both individuals and organisations.</w:t>
      </w:r>
    </w:p>
    <w:p w14:paraId="45E380DF" w14:textId="77777777" w:rsidR="00121533" w:rsidRPr="008A0225" w:rsidRDefault="00121533" w:rsidP="00121533">
      <w:r w:rsidRPr="008A0225">
        <w:t>However, good work environments can mitigate these issues by supporting employee wellbeing. Key factors include supportive management, manageable workloads, and resources to cope with work demands. When organisations prioritise these elements, they foster healthier employees who are more motivated, engaged, and productive.</w:t>
      </w:r>
    </w:p>
    <w:p w14:paraId="43D3D5A3" w14:textId="77777777" w:rsidR="00121533" w:rsidRPr="008A0225" w:rsidRDefault="00121533" w:rsidP="00121533">
      <w:r w:rsidRPr="008A0225">
        <w:lastRenderedPageBreak/>
        <w:t>Recognising the importance of wellbeing, the CIPD advocates for integrating employee wellbeing into organisational strategies to benefit both employees and employers. Their 2023 report found that 53% of organisations had a wellbeing strategy in place, demonstrating employer recognition of its significance.</w:t>
      </w:r>
      <w:r w:rsidRPr="009D746A">
        <w:t xml:space="preserve"> Investing in wellbeing not only reduces absenteeism but also improves employee engagement and retention.</w:t>
      </w:r>
    </w:p>
    <w:p w14:paraId="30B793E6" w14:textId="77777777" w:rsidR="00121533" w:rsidRPr="008A0225" w:rsidRDefault="00121533" w:rsidP="00121533">
      <w:r w:rsidRPr="008A0225">
        <w:t>In summary, wellbeing at work is vital for sustaining employee health and organisational success. Poor wellbeing harms individuals and businesses, while good work conditions positively influence wellbeing, enhancing performance and retention.</w:t>
      </w:r>
    </w:p>
    <w:p w14:paraId="0D7E8DDA" w14:textId="77777777" w:rsidR="001E7C8C" w:rsidRPr="001E7C8C" w:rsidRDefault="001E7C8C" w:rsidP="001E7C8C">
      <w:pPr>
        <w:rPr>
          <w:b/>
          <w:bCs/>
        </w:rPr>
      </w:pPr>
    </w:p>
    <w:p w14:paraId="6F9C358F" w14:textId="525B1BB4" w:rsidR="00E60137" w:rsidRDefault="00E60137" w:rsidP="00E60137">
      <w:pPr>
        <w:pStyle w:val="ListParagraph"/>
        <w:numPr>
          <w:ilvl w:val="0"/>
          <w:numId w:val="1"/>
        </w:numPr>
        <w:spacing w:after="0" w:line="256" w:lineRule="auto"/>
        <w:rPr>
          <w:rFonts w:ascii="Trebuchet MS" w:eastAsia="Arial" w:hAnsi="Trebuchet MS" w:cs="Times New Roman"/>
          <w:b/>
          <w:bCs/>
        </w:rPr>
      </w:pPr>
      <w:r w:rsidRPr="00E60137">
        <w:rPr>
          <w:rFonts w:ascii="Trebuchet MS" w:eastAsia="Arial" w:hAnsi="Trebuchet MS" w:cs="Times New Roman"/>
          <w:b/>
          <w:bCs/>
        </w:rPr>
        <w:t>Provide a brief overview of the employee lifecycle</w:t>
      </w:r>
      <w:r w:rsidRPr="00E60137">
        <w:rPr>
          <w:rFonts w:ascii="Trebuchet MS" w:eastAsia="Arial" w:hAnsi="Trebuchet MS" w:cs="Times New Roman"/>
          <w:b/>
          <w:bCs/>
          <w:i/>
          <w:iCs/>
        </w:rPr>
        <w:t xml:space="preserve"> </w:t>
      </w:r>
      <w:r w:rsidRPr="00E60137">
        <w:rPr>
          <w:rFonts w:ascii="Trebuchet MS" w:eastAsia="Arial" w:hAnsi="Trebuchet MS" w:cs="Times New Roman"/>
          <w:b/>
          <w:bCs/>
        </w:rPr>
        <w:t>and discuss people practice roles at the recruitment, development and separation stages of the lifecycle. (AC 3.1)</w:t>
      </w:r>
    </w:p>
    <w:p w14:paraId="71E97387" w14:textId="77777777" w:rsidR="00E60137" w:rsidRPr="00E60137" w:rsidRDefault="00E60137" w:rsidP="00E60137">
      <w:pPr>
        <w:pStyle w:val="ListParagraph"/>
        <w:spacing w:after="0" w:line="256" w:lineRule="auto"/>
        <w:rPr>
          <w:rFonts w:ascii="Trebuchet MS" w:eastAsia="Arial" w:hAnsi="Trebuchet MS" w:cs="Times New Roman"/>
          <w:b/>
          <w:bCs/>
        </w:rPr>
      </w:pPr>
    </w:p>
    <w:p w14:paraId="66F9FA5C" w14:textId="27E3F78A" w:rsidR="00E60137" w:rsidRPr="00BA3A60" w:rsidRDefault="00E60137" w:rsidP="00E60137">
      <w:pPr>
        <w:ind w:left="360"/>
      </w:pPr>
      <w:r w:rsidRPr="00BA3A60">
        <w:t>Employee lifecycle refers to how an organisation engages with employees at key stages throughout their employment. Taylor and Woodhams (2022) describe an employee lifecycle as having seven stages: attraction, recruitment, selection, onboarding, development, retention, and separation.</w:t>
      </w:r>
    </w:p>
    <w:p w14:paraId="1F06799D" w14:textId="77777777" w:rsidR="00E60137" w:rsidRPr="00BA3A60" w:rsidRDefault="00E60137" w:rsidP="00E60137">
      <w:pPr>
        <w:ind w:left="360"/>
      </w:pPr>
      <w:r w:rsidRPr="00BA3A60">
        <w:t xml:space="preserve">Attraction involves marketing the organisation to potential employees, often through its brand and employee benefits. </w:t>
      </w:r>
    </w:p>
    <w:p w14:paraId="56742C83" w14:textId="77777777" w:rsidR="00E60137" w:rsidRPr="00BA3A60" w:rsidRDefault="00E60137" w:rsidP="00E60137">
      <w:pPr>
        <w:ind w:left="360"/>
      </w:pPr>
      <w:r w:rsidRPr="00BA3A60">
        <w:t>Recruitment involves identifying available vacancies and determining how to fill them with suitable candidates. Organisations must consider how, where, and to whom they advertise the jobs, to have a suitable talent pool. People practice teams continually explore new methods to expand and target this pool effectively. The increase of social media has meant organisations have had to consider integrating it into their recruitment process. The recruitment team and relevant managers construct a job description and person specification, designed to attract candidates with the desired skills and qualities. From here, they must shortlist suitable candidates, interview them for further assessment, and provide feedback. Maintaining ongoing communication with candidates and hiring managers is essential for success in this stage and helps prevent candidates from withdrawing due to delays.</w:t>
      </w:r>
    </w:p>
    <w:p w14:paraId="41DC8B6F" w14:textId="77777777" w:rsidR="00E60137" w:rsidRPr="00BA3A60" w:rsidRDefault="00E60137" w:rsidP="00E60137">
      <w:pPr>
        <w:ind w:left="360"/>
      </w:pPr>
      <w:r>
        <w:t>S</w:t>
      </w:r>
      <w:r w:rsidRPr="00BA3A60">
        <w:t>election</w:t>
      </w:r>
      <w:r>
        <w:t xml:space="preserve"> is</w:t>
      </w:r>
      <w:r w:rsidRPr="00BA3A60">
        <w:t xml:space="preserve"> where the recruiting manager chooses the most suitable candidate. References, occupational health clearance, and background checks are also conducted before hiring.</w:t>
      </w:r>
    </w:p>
    <w:p w14:paraId="44DE061A" w14:textId="77777777" w:rsidR="00E60137" w:rsidRPr="00BA3A60" w:rsidRDefault="00E60137" w:rsidP="00E60137">
      <w:pPr>
        <w:ind w:left="360"/>
      </w:pPr>
      <w:r w:rsidRPr="00BA3A60">
        <w:t>Onboarding integrates new hires into the organisation, familiarising them with its values and providing support to reduce turnover.</w:t>
      </w:r>
    </w:p>
    <w:p w14:paraId="149CF90D" w14:textId="4B142B06" w:rsidR="00E60137" w:rsidRPr="00BA3A60" w:rsidRDefault="00E60137" w:rsidP="00E60137">
      <w:pPr>
        <w:ind w:left="360"/>
      </w:pPr>
      <w:r w:rsidRPr="00BA3A60">
        <w:t>Employee development is the continuous enhancement of employee skills and knowledge throughout employment. This improve</w:t>
      </w:r>
      <w:r w:rsidR="009B2310">
        <w:t>s</w:t>
      </w:r>
      <w:r w:rsidRPr="00BA3A60">
        <w:t xml:space="preserve"> employee career progression </w:t>
      </w:r>
      <w:proofErr w:type="gramStart"/>
      <w:r w:rsidRPr="00BA3A60">
        <w:t>and also</w:t>
      </w:r>
      <w:proofErr w:type="gramEnd"/>
      <w:r w:rsidRPr="00BA3A60">
        <w:t xml:space="preserve"> maintain</w:t>
      </w:r>
      <w:r w:rsidR="009B2310">
        <w:t>s</w:t>
      </w:r>
      <w:r w:rsidRPr="00BA3A60">
        <w:t xml:space="preserve"> organisational goals. Many organisations have dedicated learning and development teams that provide training sessions and courses to improve general workplace skills such as communication and IT. Additionally, senior members of the department can offer role specific training. To support organisational growth, succession planning is essential, requiring collaboration between managers and people practice teams to provide employees with the necessary training. This approach enables internal candidates to advance to higher positions within the organisation.</w:t>
      </w:r>
    </w:p>
    <w:p w14:paraId="650B26E3" w14:textId="77777777" w:rsidR="00E60137" w:rsidRPr="00BA3A60" w:rsidRDefault="00E60137" w:rsidP="00E60137">
      <w:pPr>
        <w:ind w:left="360"/>
      </w:pPr>
      <w:r w:rsidRPr="00BA3A60">
        <w:lastRenderedPageBreak/>
        <w:t>Retention aims to maintain a stable workforce by valuing employees and managing underperformance to allow fresh talent.</w:t>
      </w:r>
    </w:p>
    <w:p w14:paraId="77DFB105" w14:textId="77777777" w:rsidR="00E60137" w:rsidRPr="00BA3A60" w:rsidRDefault="00E60137" w:rsidP="00E60137">
      <w:pPr>
        <w:ind w:left="360"/>
      </w:pPr>
      <w:r w:rsidRPr="00BA3A60">
        <w:t>Separation is the last step in the employee lifecycle. Employees eventually leave an organisation, whether this be due to voluntary leaving, retirement, dismissal or redundancy. The offboarding process needs to be smooth for both parties as the employee often remains during a notice period. Organisations need to maintain a relationship, as it may allow for the employee’s return in the future.  Exit interviews are valuable for organisations as they provide insights into why an employee is leaving and help inform relevant retention strategies.</w:t>
      </w:r>
    </w:p>
    <w:p w14:paraId="6A788AC5" w14:textId="77777777" w:rsidR="00E60137" w:rsidRPr="00E60137" w:rsidRDefault="00E60137" w:rsidP="00E60137">
      <w:pPr>
        <w:numPr>
          <w:ilvl w:val="0"/>
          <w:numId w:val="1"/>
        </w:numPr>
        <w:spacing w:after="0" w:line="256" w:lineRule="auto"/>
        <w:rPr>
          <w:rFonts w:ascii="Trebuchet MS" w:eastAsia="Arial" w:hAnsi="Trebuchet MS" w:cs="Times New Roman"/>
          <w:b/>
          <w:bCs/>
        </w:rPr>
      </w:pPr>
      <w:r w:rsidRPr="00E60137">
        <w:rPr>
          <w:rFonts w:ascii="Trebuchet MS" w:eastAsia="Arial" w:hAnsi="Trebuchet MS" w:cs="Times New Roman"/>
          <w:b/>
          <w:bCs/>
        </w:rPr>
        <w:t>Analyse how people practice supports organisational strategy through vertical integration and how people practice supports wider people strategies through horizontal integration. (AC 3.2)</w:t>
      </w:r>
    </w:p>
    <w:p w14:paraId="301C22A6" w14:textId="77777777" w:rsidR="00E60137" w:rsidRDefault="00E60137" w:rsidP="00E60137"/>
    <w:p w14:paraId="12DEE6E3" w14:textId="2B50C2A5" w:rsidR="00E60137" w:rsidRPr="00FF69A5" w:rsidRDefault="009A4025" w:rsidP="00E60137">
      <w:r>
        <w:t>Christina, Dainty, Daniels, Tregaskis and Waterson (2017)</w:t>
      </w:r>
      <w:r w:rsidR="00E60137" w:rsidRPr="00FF69A5">
        <w:t xml:space="preserve"> acknowledge the impact of organisational strategy on HR strategy. One way this can occur is vertical integration. This is ensuring there is an alignment between HR strategy and the organisational strategy. It ensures the individual HR policies and procedures support the overall company goals</w:t>
      </w:r>
      <w:r>
        <w:t>.</w:t>
      </w:r>
    </w:p>
    <w:p w14:paraId="0C4C3BE7" w14:textId="77777777" w:rsidR="00E60137" w:rsidRPr="00FF69A5" w:rsidRDefault="00E60137" w:rsidP="00E60137">
      <w:r w:rsidRPr="00FF69A5">
        <w:t>Workforce planning is the process of understanding the demand for people and skills (CIPD, 2024). The people practice need to understand the demand of the organisational goals to ensure they have the correct people and skills in the correct teams. This can be achieved by analysing data of new recruits, leavers and internal moves.</w:t>
      </w:r>
    </w:p>
    <w:p w14:paraId="63A2D18D" w14:textId="77777777" w:rsidR="00E60137" w:rsidRPr="00FF69A5" w:rsidRDefault="00E60137" w:rsidP="00E60137">
      <w:r w:rsidRPr="00FF69A5">
        <w:t>This can be put into practice during the recruitment process, whereby they can tailor the process to attract candidates with the right skills. They can also assist with an increased number of recruits, should this be what the organisation requires.</w:t>
      </w:r>
    </w:p>
    <w:p w14:paraId="784DF6BF" w14:textId="77777777" w:rsidR="00E60137" w:rsidRPr="00FF69A5" w:rsidRDefault="00E60137" w:rsidP="00E60137">
      <w:r w:rsidRPr="00FF69A5">
        <w:t>This can also include deployment to reorganise teams based on the skills needed. People practice may be able to analyse the skills already sat in the organisation and reallocate them to areas they are better suited.</w:t>
      </w:r>
    </w:p>
    <w:p w14:paraId="61FFE622" w14:textId="77777777" w:rsidR="00E60137" w:rsidRPr="00FF69A5" w:rsidRDefault="00E60137" w:rsidP="00E60137">
      <w:r w:rsidRPr="00FF69A5">
        <w:t>People practice can support managers to understand the skills they require for their teams and how they acquire or best use them.</w:t>
      </w:r>
    </w:p>
    <w:p w14:paraId="312CA428" w14:textId="77777777" w:rsidR="00E60137" w:rsidRPr="00FF69A5" w:rsidRDefault="00E60137" w:rsidP="00E60137">
      <w:r w:rsidRPr="00FF69A5">
        <w:t>Performance management is another way in which people practice employs vertical integration. Employees need to understand what is expected of them and how to achieve this. This will support the organisational objectives. People practice can support in discussions between managers and employees for them to understand how to work towards progression in their own work to ultimately support organisational objectives. They can also support managers to have good management practices, which can aid in continued support for employees.</w:t>
      </w:r>
    </w:p>
    <w:p w14:paraId="18A26B66" w14:textId="77777777" w:rsidR="00E60137" w:rsidRPr="00FF69A5" w:rsidRDefault="00E60137" w:rsidP="00E60137">
      <w:r w:rsidRPr="00FF69A5">
        <w:t>Another way this can occur is horizontal integration, whereby people practice ensures the individual HR policies and procedures align with each other. Continual reviews of HR policies ensure there is clear alignment with the organisation’s goals.</w:t>
      </w:r>
    </w:p>
    <w:p w14:paraId="29FEEBDE" w14:textId="47B57DD5" w:rsidR="00E60137" w:rsidRPr="00FF69A5" w:rsidRDefault="00E60137" w:rsidP="00E60137">
      <w:r w:rsidRPr="00FF69A5">
        <w:t xml:space="preserve">An organisation </w:t>
      </w:r>
      <w:r w:rsidR="009B2310">
        <w:t>has</w:t>
      </w:r>
      <w:r w:rsidRPr="00FF69A5">
        <w:t xml:space="preserve"> clear values and competencies </w:t>
      </w:r>
      <w:r w:rsidR="009B2310">
        <w:t>it</w:t>
      </w:r>
      <w:r w:rsidRPr="00FF69A5">
        <w:t xml:space="preserve"> want</w:t>
      </w:r>
      <w:r w:rsidR="009B2310">
        <w:t>s</w:t>
      </w:r>
      <w:r w:rsidRPr="00FF69A5">
        <w:t xml:space="preserve"> to instil in employees. This </w:t>
      </w:r>
      <w:r w:rsidR="009B2310">
        <w:t>is</w:t>
      </w:r>
      <w:r w:rsidRPr="00FF69A5">
        <w:t xml:space="preserve"> reflected by people practice in the recruitment process. They emphasise the importance of these competencies and ensure candidates fulfil them. For existing employees, the training team within people practice strengthen</w:t>
      </w:r>
      <w:r w:rsidR="009B2310">
        <w:t>s</w:t>
      </w:r>
      <w:r w:rsidRPr="00FF69A5">
        <w:t xml:space="preserve"> these competencies with their training. This can then </w:t>
      </w:r>
      <w:r w:rsidRPr="00FF69A5">
        <w:lastRenderedPageBreak/>
        <w:t>be integrated into their work. It can also strengthen individual skills, which can be utilised to support the organisation. Additionally, any reward systems used by companies emphasise</w:t>
      </w:r>
      <w:r w:rsidR="009B2310">
        <w:t>s</w:t>
      </w:r>
      <w:r w:rsidRPr="00FF69A5">
        <w:t xml:space="preserve"> the importance of these skills to encourage employees to utilise them.</w:t>
      </w:r>
    </w:p>
    <w:p w14:paraId="5307E54E" w14:textId="6E4A4661" w:rsidR="001E7C8C" w:rsidRPr="006D7813" w:rsidRDefault="00E60137" w:rsidP="00E60137">
      <w:pPr>
        <w:pStyle w:val="ListParagraph"/>
        <w:numPr>
          <w:ilvl w:val="0"/>
          <w:numId w:val="1"/>
        </w:numPr>
        <w:spacing w:after="0" w:line="256" w:lineRule="auto"/>
        <w:rPr>
          <w:rFonts w:ascii="Trebuchet MS" w:eastAsia="Arial" w:hAnsi="Trebuchet MS" w:cs="Times New Roman"/>
          <w:b/>
          <w:bCs/>
        </w:rPr>
      </w:pPr>
      <w:r w:rsidRPr="006D7813">
        <w:rPr>
          <w:rFonts w:ascii="Trebuchet MS" w:eastAsia="Arial" w:hAnsi="Trebuchet MS" w:cs="Times New Roman"/>
          <w:b/>
          <w:bCs/>
        </w:rPr>
        <w:t>An organisation is planning to introduce a four-day working week. Discuss the processes the people function could use to consult and engage with managers and employees to understand their needs when moving from a five-day to four-day working week. (AC 3.3)</w:t>
      </w:r>
    </w:p>
    <w:p w14:paraId="3228BF29" w14:textId="77777777" w:rsidR="00E60137" w:rsidRPr="006D7813" w:rsidRDefault="00E60137" w:rsidP="00E60137">
      <w:pPr>
        <w:pStyle w:val="ListParagraph"/>
        <w:spacing w:after="0" w:line="256" w:lineRule="auto"/>
        <w:rPr>
          <w:rFonts w:ascii="Trebuchet MS" w:eastAsia="Arial" w:hAnsi="Trebuchet MS" w:cs="Times New Roman"/>
        </w:rPr>
      </w:pPr>
    </w:p>
    <w:p w14:paraId="3DC45818" w14:textId="77777777" w:rsidR="00E60137" w:rsidRDefault="00E60137" w:rsidP="00E60137">
      <w:r>
        <w:t>Introducing a four-day working week will involve collaboration between managers and employees. Information will need to be gathered to understand any needs, concerns, and how a change will impact employees and the organisation. People function can also use these methods to offer continued support throughout the introduction of the change.</w:t>
      </w:r>
    </w:p>
    <w:p w14:paraId="30745415" w14:textId="0BC58D46" w:rsidR="00E60137" w:rsidRDefault="00E60137" w:rsidP="00E60137">
      <w:r>
        <w:t xml:space="preserve">Surveys can reveal initial thoughts around an idea. An employee engagement survey can gather answers from every or most employees in the organisation, therefore uncovering opinions which will give an accurate overall opinion of an idea. </w:t>
      </w:r>
      <w:r w:rsidR="00274CB7">
        <w:t xml:space="preserve">Additionally, data can be further analysed to investigate the viewpoint of different demographics, and whether certain groups have different concerns. </w:t>
      </w:r>
      <w:r>
        <w:t>It can reveal any initial concerns which can be addressed by managers before they implement a change. Additionally, surveys can be used throughout the process of introducing a change, to reveal any ongoing concerns which may only come to light after the change has occurred.</w:t>
      </w:r>
      <w:r w:rsidR="00B01CF4">
        <w:t xml:space="preserve"> </w:t>
      </w:r>
      <w:r w:rsidR="00B01CF4" w:rsidRPr="00B01CF4">
        <w:rPr>
          <w:color w:val="FF0000"/>
        </w:rPr>
        <w:t>For example, the CIPD (2023) conducted a survey enquiring about the introduction of a four-day working week. Whilst 55% supported the changes, only 31% believed it to be a feasible change.</w:t>
      </w:r>
    </w:p>
    <w:p w14:paraId="79CA686A" w14:textId="1C64E71C" w:rsidR="00E60137" w:rsidRDefault="00E60137" w:rsidP="00E60137">
      <w:r>
        <w:t xml:space="preserve">A focus group is a semi-structured discussion. This is suitable </w:t>
      </w:r>
      <w:r w:rsidR="009B2310">
        <w:t>when</w:t>
      </w:r>
      <w:r>
        <w:t xml:space="preserve"> there is a specific topic being discussed, in this case a four-day working week. Focus groups allow individuals to discuss a particular topic, which may organically reveal pros and cons of an organisational change. Additionally, the people function hosting the focus group can probe for further information from participants, to gain a deeper understanding of concerns. This method will improve engagement amongst employees, as they feel their opinions and feelings are being valued.</w:t>
      </w:r>
    </w:p>
    <w:p w14:paraId="6514B2F3" w14:textId="7E5ECA94" w:rsidR="00E60137" w:rsidRDefault="00E60137" w:rsidP="00E60137">
      <w:r>
        <w:t>A pilot study may help understand the impact and how well a change will work. An organisation can implement the change to a small selection of people to trial how the change of a four-day working week would work. The study would need a timeline and a means of measuring success.</w:t>
      </w:r>
      <w:r w:rsidR="00FB4572">
        <w:t xml:space="preserve"> For example, whether the same standard of work is being produced in a shorter timeframe.</w:t>
      </w:r>
    </w:p>
    <w:p w14:paraId="66220BA3" w14:textId="77777777" w:rsidR="00E60137" w:rsidRDefault="00E60137" w:rsidP="00E60137">
      <w:r>
        <w:t>Pilot studies are important when implementing a significant change, such as a four-day working week, as it can uncover potential problems which may not have occurred to the people function team, therefore they can address these problems before they are widespread.</w:t>
      </w:r>
    </w:p>
    <w:p w14:paraId="210FABB0" w14:textId="2B0C1538" w:rsidR="000E3279" w:rsidRPr="000E3279" w:rsidRDefault="000E3279" w:rsidP="00E60137">
      <w:pPr>
        <w:rPr>
          <w:color w:val="FF0000"/>
        </w:rPr>
      </w:pPr>
      <w:r w:rsidRPr="000E3279">
        <w:rPr>
          <w:color w:val="FF0000"/>
        </w:rPr>
        <w:t xml:space="preserve">Autonomy (2023) conducted a </w:t>
      </w:r>
      <w:r w:rsidR="00F16B6F">
        <w:rPr>
          <w:color w:val="FF0000"/>
        </w:rPr>
        <w:t>study using focus groups and a pilot study</w:t>
      </w:r>
      <w:r w:rsidRPr="000E3279">
        <w:rPr>
          <w:color w:val="FF0000"/>
        </w:rPr>
        <w:t xml:space="preserve"> of a four-day working week within 61 companies. The trial proved to be a success, with 56 companies continuing the shorter week. The </w:t>
      </w:r>
      <w:r w:rsidR="00910956">
        <w:rPr>
          <w:color w:val="FF0000"/>
        </w:rPr>
        <w:t>feedback from focus groups</w:t>
      </w:r>
      <w:r w:rsidRPr="000E3279">
        <w:rPr>
          <w:color w:val="FF0000"/>
        </w:rPr>
        <w:t xml:space="preserve"> highlighted that a four-day working week could not be a one-size-fits-all, with individual companies designing a policy which was tailored to their </w:t>
      </w:r>
      <w:proofErr w:type="gramStart"/>
      <w:r w:rsidRPr="000E3279">
        <w:rPr>
          <w:color w:val="FF0000"/>
        </w:rPr>
        <w:t>particular industry</w:t>
      </w:r>
      <w:proofErr w:type="gramEnd"/>
      <w:r w:rsidRPr="000E3279">
        <w:rPr>
          <w:color w:val="FF0000"/>
        </w:rPr>
        <w:t xml:space="preserve">, work culture and organisational challenges. </w:t>
      </w:r>
    </w:p>
    <w:p w14:paraId="72C86588" w14:textId="77777777" w:rsidR="006854BE" w:rsidRDefault="006854BE" w:rsidP="006854BE"/>
    <w:p w14:paraId="29AFCADE" w14:textId="77777777" w:rsidR="00676DE4" w:rsidRDefault="00676DE4" w:rsidP="006854BE"/>
    <w:p w14:paraId="09B32D29" w14:textId="77777777" w:rsidR="00676DE4" w:rsidRDefault="00676DE4" w:rsidP="006854BE"/>
    <w:p w14:paraId="2E647BE2" w14:textId="77777777" w:rsidR="00240550" w:rsidRDefault="00240550" w:rsidP="006854BE"/>
    <w:p w14:paraId="4A9CA202" w14:textId="77777777" w:rsidR="00240550" w:rsidRDefault="00240550" w:rsidP="006854BE"/>
    <w:p w14:paraId="78EBEECD" w14:textId="77777777" w:rsidR="00240550" w:rsidRDefault="00240550" w:rsidP="006854BE"/>
    <w:p w14:paraId="297A7287" w14:textId="77777777" w:rsidR="00240550" w:rsidRDefault="00240550" w:rsidP="006854BE"/>
    <w:p w14:paraId="6150BA1D" w14:textId="77777777" w:rsidR="00240550" w:rsidRDefault="00240550" w:rsidP="006854BE"/>
    <w:p w14:paraId="467A3D09" w14:textId="77777777" w:rsidR="00240550" w:rsidRDefault="00240550" w:rsidP="006854BE"/>
    <w:p w14:paraId="2546D365" w14:textId="77777777" w:rsidR="00240550" w:rsidRDefault="00240550" w:rsidP="006854BE"/>
    <w:p w14:paraId="1361D4C2" w14:textId="77777777" w:rsidR="00240550" w:rsidRDefault="00240550" w:rsidP="006854BE"/>
    <w:p w14:paraId="4C734A58" w14:textId="77777777" w:rsidR="00240550" w:rsidRDefault="00240550" w:rsidP="006854BE"/>
    <w:p w14:paraId="2AB0FAC9" w14:textId="77777777" w:rsidR="00240550" w:rsidRDefault="00240550" w:rsidP="006854BE"/>
    <w:p w14:paraId="0E87A6F1" w14:textId="77777777" w:rsidR="00240550" w:rsidRDefault="00240550" w:rsidP="006854BE"/>
    <w:p w14:paraId="23915933" w14:textId="77777777" w:rsidR="00240550" w:rsidRDefault="00240550" w:rsidP="006854BE"/>
    <w:p w14:paraId="1B37BB50" w14:textId="77777777" w:rsidR="00240550" w:rsidRDefault="00240550" w:rsidP="006854BE"/>
    <w:p w14:paraId="25B406B0" w14:textId="77777777" w:rsidR="00240550" w:rsidRDefault="00240550" w:rsidP="006854BE"/>
    <w:p w14:paraId="431DC336" w14:textId="77777777" w:rsidR="00240550" w:rsidRDefault="00240550" w:rsidP="006854BE"/>
    <w:p w14:paraId="6B6F9608" w14:textId="77777777" w:rsidR="00240550" w:rsidRDefault="00240550" w:rsidP="006854BE"/>
    <w:p w14:paraId="04DD438D" w14:textId="77777777" w:rsidR="00240550" w:rsidRDefault="00240550" w:rsidP="006854BE"/>
    <w:p w14:paraId="33C8B3C2" w14:textId="77777777" w:rsidR="00676DE4" w:rsidRDefault="00676DE4" w:rsidP="006854BE"/>
    <w:p w14:paraId="10A1E3EF" w14:textId="77777777" w:rsidR="00676DE4" w:rsidRDefault="00676DE4" w:rsidP="006854BE"/>
    <w:p w14:paraId="206FC5BB" w14:textId="77777777" w:rsidR="00676DE4" w:rsidRDefault="00676DE4" w:rsidP="006854BE"/>
    <w:p w14:paraId="00C633D0" w14:textId="77777777" w:rsidR="00676DE4" w:rsidRDefault="00676DE4" w:rsidP="006854BE"/>
    <w:p w14:paraId="7A37D579" w14:textId="77777777" w:rsidR="00676DE4" w:rsidRDefault="00676DE4" w:rsidP="006854BE"/>
    <w:p w14:paraId="2E3AA592" w14:textId="77777777" w:rsidR="00676DE4" w:rsidRDefault="00676DE4" w:rsidP="006854BE"/>
    <w:p w14:paraId="4EE063F5" w14:textId="77777777" w:rsidR="00676DE4" w:rsidRDefault="00676DE4" w:rsidP="006854BE"/>
    <w:p w14:paraId="4B12A3CE" w14:textId="77777777" w:rsidR="00676DE4" w:rsidRDefault="00676DE4" w:rsidP="006854BE"/>
    <w:p w14:paraId="4962A53C" w14:textId="77777777" w:rsidR="00676DE4" w:rsidRDefault="00676DE4" w:rsidP="006854BE"/>
    <w:p w14:paraId="3C03D53E" w14:textId="77777777" w:rsidR="00676DE4" w:rsidRDefault="00676DE4" w:rsidP="006854BE"/>
    <w:p w14:paraId="7B0BB845" w14:textId="77777777" w:rsidR="00676DE4" w:rsidRDefault="00676DE4" w:rsidP="006854BE"/>
    <w:p w14:paraId="728A72C7" w14:textId="50657BC6" w:rsidR="00676DE4" w:rsidRPr="00D36769" w:rsidRDefault="00676DE4" w:rsidP="006854BE">
      <w:pPr>
        <w:rPr>
          <w:b/>
          <w:bCs/>
        </w:rPr>
      </w:pPr>
      <w:r w:rsidRPr="00D36769">
        <w:rPr>
          <w:b/>
          <w:bCs/>
        </w:rPr>
        <w:t>References</w:t>
      </w:r>
    </w:p>
    <w:p w14:paraId="2369E9D3" w14:textId="77777777" w:rsidR="005C43FA" w:rsidRDefault="005C43FA" w:rsidP="005C43FA">
      <w:pPr>
        <w:rPr>
          <w:rFonts w:cs="Times New Roman"/>
        </w:rPr>
      </w:pPr>
      <w:r w:rsidRPr="00431A78">
        <w:rPr>
          <w:rFonts w:cs="Times New Roman"/>
        </w:rPr>
        <w:lastRenderedPageBreak/>
        <w:t>Autonomy (2023). The Results are in: The UK’s Four-Day Week Pilot.  Available at: https://static1.squarespace.com/static/60b956cbe7bf6f2efd86b04e/t/63f3df56276b3e6d7870207e/1676926845047/UK-4-Day-Week-Pilot-Results-Report-2023.pdf. (Accessed 29 July 2025)</w:t>
      </w:r>
    </w:p>
    <w:p w14:paraId="6CA1A09A" w14:textId="77777777" w:rsidR="00D36769" w:rsidRDefault="00D36769" w:rsidP="00D36769">
      <w:r>
        <w:t xml:space="preserve">Bank of England (2025) Why Are Interest Rates High and How Quickly Might They </w:t>
      </w:r>
      <w:proofErr w:type="gramStart"/>
      <w:r>
        <w:t>Fall?.</w:t>
      </w:r>
      <w:proofErr w:type="gramEnd"/>
      <w:r>
        <w:t xml:space="preserve"> Available at: </w:t>
      </w:r>
      <w:r w:rsidRPr="003C2136">
        <w:t>https://www.bankofengland.co.uk/explainers/current-interest-rate</w:t>
      </w:r>
      <w:r>
        <w:t xml:space="preserve"> (Accessed: 19 May 2025)</w:t>
      </w:r>
    </w:p>
    <w:p w14:paraId="0F9B28FD" w14:textId="77777777" w:rsidR="00D36769" w:rsidRDefault="00D36769" w:rsidP="00D36769">
      <w:r>
        <w:t xml:space="preserve">BBC (2025) UK Inflation Rate: How Quickly Are Prices </w:t>
      </w:r>
      <w:proofErr w:type="gramStart"/>
      <w:r>
        <w:t>Rising?.</w:t>
      </w:r>
      <w:proofErr w:type="gramEnd"/>
      <w:r>
        <w:t xml:space="preserve"> Available at: </w:t>
      </w:r>
      <w:r w:rsidRPr="003C2136">
        <w:t>https://www.bbc.co.uk/news/articles/c17rgd8e9gjo</w:t>
      </w:r>
      <w:r>
        <w:t xml:space="preserve"> (Accessed: 20 May 2025)</w:t>
      </w:r>
    </w:p>
    <w:p w14:paraId="1426A5EB" w14:textId="77777777" w:rsidR="00D36769" w:rsidRDefault="00D36769" w:rsidP="00D36769">
      <w:r w:rsidRPr="00E8378E">
        <w:t>Bogale, A.</w:t>
      </w:r>
      <w:r>
        <w:t xml:space="preserve"> T.</w:t>
      </w:r>
      <w:r w:rsidRPr="00E8378E">
        <w:t xml:space="preserve"> and Debela, K. L. (2024) ‘Organizational culture: a systematic review’, Cogent Business &amp; Management, 11(1). </w:t>
      </w:r>
      <w:r>
        <w:t xml:space="preserve">Available at: </w:t>
      </w:r>
      <w:proofErr w:type="spellStart"/>
      <w:r w:rsidRPr="00E8378E">
        <w:t>doi</w:t>
      </w:r>
      <w:proofErr w:type="spellEnd"/>
      <w:r w:rsidRPr="00E8378E">
        <w:t>: 10.1080/23311975.2024.2340129.</w:t>
      </w:r>
    </w:p>
    <w:p w14:paraId="1FA33549" w14:textId="77777777" w:rsidR="00D36769" w:rsidRPr="00F03F3E" w:rsidRDefault="00D36769" w:rsidP="00D36769">
      <w:r>
        <w:t xml:space="preserve">Christina, S., Dainty, A., Daniels, K., </w:t>
      </w:r>
      <w:proofErr w:type="gramStart"/>
      <w:r>
        <w:t>Tregaskis,.</w:t>
      </w:r>
      <w:proofErr w:type="gramEnd"/>
      <w:r>
        <w:t xml:space="preserve"> &amp; Waterson, P. (2017) ‘Shut the Fridge Door! HRM Alignment, Job Redesign and Energy Performance’, Human Resource Management Journal. 27</w:t>
      </w:r>
      <w:r w:rsidRPr="00011877">
        <w:t>(</w:t>
      </w:r>
      <w:r>
        <w:t>3</w:t>
      </w:r>
      <w:r w:rsidRPr="00011877">
        <w:t>), pp.</w:t>
      </w:r>
      <w:r>
        <w:t>382</w:t>
      </w:r>
      <w:r w:rsidRPr="00011877">
        <w:t>-</w:t>
      </w:r>
      <w:r>
        <w:t>402</w:t>
      </w:r>
      <w:r w:rsidRPr="00011877">
        <w:t>.</w:t>
      </w:r>
      <w:r>
        <w:t xml:space="preserve"> Available at: </w:t>
      </w:r>
      <w:r w:rsidRPr="00F03F3E">
        <w:t>https://doi.org/10.1111/1748-8583.12144</w:t>
      </w:r>
      <w:r>
        <w:t xml:space="preserve"> </w:t>
      </w:r>
    </w:p>
    <w:p w14:paraId="17E9D63E" w14:textId="77777777" w:rsidR="005C43FA" w:rsidRPr="00431A78" w:rsidRDefault="005C43FA" w:rsidP="005C43FA">
      <w:r w:rsidRPr="00431A78">
        <w:t>CIPD. (2022) The Four-Day Week, Employer Perspectives on Moving to a Shorter Working Week. Available at: https://www.cipd.org/globalassets/media/knowledge/knowledge-hub/reports/four-day-week-report-uk-oct22_tcm18-111257.pdf (Accessed: 29 July 2025)</w:t>
      </w:r>
    </w:p>
    <w:p w14:paraId="534000DE" w14:textId="77777777" w:rsidR="00D36769" w:rsidRDefault="00D36769" w:rsidP="00D36769">
      <w:r>
        <w:t xml:space="preserve">CIPD (2023) Health and Wellbeing at Work. Available at: </w:t>
      </w:r>
      <w:r w:rsidRPr="003C2136">
        <w:t>https://www.cipd.org/globalassets/media/knowledge/knowledge-hub/reports/2023-pdfs/8436-health-and-wellbeing-report-2023.pdf</w:t>
      </w:r>
      <w:r>
        <w:t xml:space="preserve"> (Accessed: 1 June 2025)</w:t>
      </w:r>
    </w:p>
    <w:p w14:paraId="596E2C33" w14:textId="77777777" w:rsidR="00D36769" w:rsidRDefault="00D36769" w:rsidP="00D36769">
      <w:r>
        <w:t>CIPD (2024) Wellbeing at Work. Available at:</w:t>
      </w:r>
      <w:r w:rsidRPr="00C91FBE">
        <w:t xml:space="preserve"> https://www.cipd.org/uk/knowledge/factsheets/well-being-factsheet/</w:t>
      </w:r>
      <w:r>
        <w:t xml:space="preserve"> (Accessed: 1 June 2025)</w:t>
      </w:r>
    </w:p>
    <w:p w14:paraId="72A27B6A" w14:textId="77777777" w:rsidR="00D36769" w:rsidRDefault="00D36769" w:rsidP="00D36769">
      <w:r>
        <w:t xml:space="preserve">CIPD (2024) Workforce Planning. Available at: </w:t>
      </w:r>
      <w:r w:rsidRPr="00E83858">
        <w:t>https://www.cipd.org/uk/knowledge/factsheets/workforce-planning-factsheet/</w:t>
      </w:r>
      <w:r>
        <w:t xml:space="preserve"> (Accessed: 1 June 2025)</w:t>
      </w:r>
    </w:p>
    <w:p w14:paraId="23BF7E92" w14:textId="77777777" w:rsidR="00D36769" w:rsidRPr="00E8378E" w:rsidRDefault="00D36769" w:rsidP="00D36769">
      <w:r w:rsidRPr="00E8378E">
        <w:t>Craig, T. and Campbell, D. (2005) Organisations and the Business Environment. 2</w:t>
      </w:r>
      <w:r w:rsidRPr="00E8378E">
        <w:rPr>
          <w:vertAlign w:val="superscript"/>
        </w:rPr>
        <w:t>nd</w:t>
      </w:r>
      <w:r w:rsidRPr="00E8378E">
        <w:t xml:space="preserve"> </w:t>
      </w:r>
      <w:proofErr w:type="spellStart"/>
      <w:r w:rsidRPr="00E8378E">
        <w:t>edn</w:t>
      </w:r>
      <w:proofErr w:type="spellEnd"/>
      <w:r w:rsidRPr="00E8378E">
        <w:t>. Amsterdam: Routledge.</w:t>
      </w:r>
    </w:p>
    <w:p w14:paraId="168099A6" w14:textId="77777777" w:rsidR="00D36769" w:rsidRDefault="00D36769" w:rsidP="00D36769">
      <w:r>
        <w:t xml:space="preserve">Department of Health (2014) The Relationship Between Wellbeing and Health. Available at: </w:t>
      </w:r>
      <w:proofErr w:type="gramStart"/>
      <w:r w:rsidRPr="003C2136">
        <w:t>https://assets.publishing.service.gov.uk/government/uploads/system/uploads/attachment_data/file/295474/The_relationship_between_wellbeing_and_health.pdf</w:t>
      </w:r>
      <w:r>
        <w:t xml:space="preserve">  (</w:t>
      </w:r>
      <w:proofErr w:type="gramEnd"/>
      <w:r>
        <w:t>Accessed: 1 June 2025)</w:t>
      </w:r>
    </w:p>
    <w:p w14:paraId="35A69FA2" w14:textId="77777777" w:rsidR="005C43FA" w:rsidRPr="00431A78" w:rsidRDefault="005C43FA" w:rsidP="005C43FA">
      <w:pPr>
        <w:rPr>
          <w:b/>
          <w:bCs/>
        </w:rPr>
      </w:pPr>
      <w:r w:rsidRPr="00431A78">
        <w:t xml:space="preserve">Erwin, D. G. and Garman, A. N. (2010) ‘Resistance to Organizational Change: Linking Research and Practice’, </w:t>
      </w:r>
      <w:r w:rsidRPr="00431A78">
        <w:rPr>
          <w:i/>
          <w:iCs/>
        </w:rPr>
        <w:t xml:space="preserve">Leadership &amp; organization Development Journal, </w:t>
      </w:r>
      <w:r w:rsidRPr="00431A78">
        <w:t>31(1). Available at: https://doi.org/10.1108/01437731011010371</w:t>
      </w:r>
    </w:p>
    <w:p w14:paraId="26C80808" w14:textId="77777777" w:rsidR="00D36769" w:rsidRDefault="00D36769" w:rsidP="00D36769">
      <w:r>
        <w:t>Elisabeth Kubler-Ross Foundation (2025) Kubler-Ross Change Curve. Available at:</w:t>
      </w:r>
      <w:r w:rsidRPr="005907A8">
        <w:t xml:space="preserve"> </w:t>
      </w:r>
      <w:proofErr w:type="gramStart"/>
      <w:r w:rsidRPr="005907A8">
        <w:t>https://www.ekrfoundation.org/5-stages-of-grief/change-curve/</w:t>
      </w:r>
      <w:r>
        <w:t xml:space="preserve">  (</w:t>
      </w:r>
      <w:proofErr w:type="gramEnd"/>
      <w:r>
        <w:t>Accessed: 16 May 2025)</w:t>
      </w:r>
    </w:p>
    <w:p w14:paraId="332D93DD" w14:textId="4AA37BE0" w:rsidR="00C963F4" w:rsidRPr="00E8378E" w:rsidRDefault="00C963F4" w:rsidP="00D36769">
      <w:proofErr w:type="gramStart"/>
      <w:r w:rsidRPr="00E8378E">
        <w:t>Ellis ,</w:t>
      </w:r>
      <w:proofErr w:type="gramEnd"/>
      <w:r w:rsidRPr="00E8378E">
        <w:t xml:space="preserve"> C. (2023). </w:t>
      </w:r>
      <w:r w:rsidR="004D60D6" w:rsidRPr="00E8378E">
        <w:t xml:space="preserve">What are Divisional Organizational </w:t>
      </w:r>
      <w:proofErr w:type="gramStart"/>
      <w:r w:rsidR="004D60D6" w:rsidRPr="00E8378E">
        <w:t>Structures?.</w:t>
      </w:r>
      <w:proofErr w:type="gramEnd"/>
      <w:r w:rsidR="004D60D6" w:rsidRPr="00E8378E">
        <w:t xml:space="preserve"> Available at:</w:t>
      </w:r>
      <w:r w:rsidR="00C32438" w:rsidRPr="00E8378E">
        <w:t xml:space="preserve"> https://theorg.com/iterate/divisional-organizational-structures (</w:t>
      </w:r>
      <w:r w:rsidR="004D60D6" w:rsidRPr="00E8378E">
        <w:t>Accessed: 5 May 2025).</w:t>
      </w:r>
    </w:p>
    <w:p w14:paraId="79A498E1" w14:textId="17FBC82F" w:rsidR="00E8378E" w:rsidRDefault="00E8378E" w:rsidP="00D36769">
      <w:r>
        <w:t xml:space="preserve">Forbes (2025) UK Artificial Intelligence (AI) Statistics and Trends in 2025. Available at: </w:t>
      </w:r>
      <w:r w:rsidRPr="00E8378E">
        <w:t>https://www.forbes.com/uk/advisor/business/software/uk-artificial-intelligence-ai-statistics/</w:t>
      </w:r>
      <w:r>
        <w:t xml:space="preserve"> (Accessed: 8 May 2025).</w:t>
      </w:r>
    </w:p>
    <w:p w14:paraId="50598A05" w14:textId="77777777" w:rsidR="005C43FA" w:rsidRPr="00590F2B" w:rsidRDefault="005C43FA" w:rsidP="005C43FA">
      <w:pPr>
        <w:rPr>
          <w:rFonts w:cs="Times New Roman"/>
        </w:rPr>
      </w:pPr>
      <w:r>
        <w:rPr>
          <w:rFonts w:cs="Times New Roman"/>
        </w:rPr>
        <w:lastRenderedPageBreak/>
        <w:t xml:space="preserve">Golembiewski, R, T. (2000) </w:t>
      </w:r>
      <w:r>
        <w:rPr>
          <w:rFonts w:cs="Times New Roman"/>
          <w:i/>
          <w:iCs/>
        </w:rPr>
        <w:t xml:space="preserve">Handbook of Organizational </w:t>
      </w:r>
      <w:proofErr w:type="spellStart"/>
      <w:r>
        <w:rPr>
          <w:rFonts w:cs="Times New Roman"/>
          <w:i/>
          <w:iCs/>
        </w:rPr>
        <w:t>Behavior</w:t>
      </w:r>
      <w:proofErr w:type="spellEnd"/>
      <w:r>
        <w:rPr>
          <w:rFonts w:cs="Times New Roman"/>
          <w:i/>
          <w:iCs/>
        </w:rPr>
        <w:t xml:space="preserve">, Revised and Expanded. </w:t>
      </w:r>
      <w:r>
        <w:rPr>
          <w:rFonts w:cs="Times New Roman"/>
        </w:rPr>
        <w:t xml:space="preserve">Available at: </w:t>
      </w:r>
      <w:r w:rsidRPr="00590F2B">
        <w:rPr>
          <w:rFonts w:cs="Times New Roman"/>
        </w:rPr>
        <w:t>https://doi.org/10.4324/9781482290011</w:t>
      </w:r>
      <w:r>
        <w:rPr>
          <w:rFonts w:cs="Times New Roman"/>
        </w:rPr>
        <w:t xml:space="preserve"> (Accessed: 29 July 2025)</w:t>
      </w:r>
    </w:p>
    <w:p w14:paraId="3DC6CE16" w14:textId="77777777" w:rsidR="005C43FA" w:rsidRDefault="005C43FA" w:rsidP="005C43FA">
      <w:pPr>
        <w:rPr>
          <w:rFonts w:cs="Times New Roman"/>
        </w:rPr>
      </w:pPr>
      <w:r>
        <w:rPr>
          <w:rFonts w:cs="Times New Roman"/>
        </w:rPr>
        <w:t xml:space="preserve">Hoffman, B. J &amp; Woehr, D. J. (2006). ‘A Quantitative Review of the Relationship Between Person-Organization Fit and Behavioural Outcomes’ </w:t>
      </w:r>
      <w:r>
        <w:rPr>
          <w:rFonts w:cs="Times New Roman"/>
          <w:i/>
          <w:iCs/>
        </w:rPr>
        <w:t xml:space="preserve">Journal of Vocational </w:t>
      </w:r>
      <w:proofErr w:type="spellStart"/>
      <w:r>
        <w:rPr>
          <w:rFonts w:cs="Times New Roman"/>
          <w:i/>
          <w:iCs/>
        </w:rPr>
        <w:t>Behavior</w:t>
      </w:r>
      <w:proofErr w:type="spellEnd"/>
      <w:r>
        <w:rPr>
          <w:rFonts w:cs="Times New Roman"/>
        </w:rPr>
        <w:t xml:space="preserve">, 68(3) pp.389-399. Available at: </w:t>
      </w:r>
      <w:r w:rsidRPr="008301D7">
        <w:rPr>
          <w:rFonts w:cs="Times New Roman"/>
        </w:rPr>
        <w:t>https://doi.org/10.1016/j.jvb.2005.08.003</w:t>
      </w:r>
      <w:r>
        <w:rPr>
          <w:rFonts w:cs="Times New Roman"/>
        </w:rPr>
        <w:t xml:space="preserve"> (Accessed: 29 July 2025)</w:t>
      </w:r>
    </w:p>
    <w:p w14:paraId="6B8146BE" w14:textId="795964DE" w:rsidR="00362507" w:rsidRPr="00E8378E" w:rsidRDefault="00362507" w:rsidP="00D36769">
      <w:proofErr w:type="spellStart"/>
      <w:r w:rsidRPr="00362507">
        <w:t>Kermally</w:t>
      </w:r>
      <w:proofErr w:type="spellEnd"/>
      <w:r w:rsidRPr="00362507">
        <w:t xml:space="preserve">, S. (2005) ‘CHAPTER FIFTEEN: Charles Handy (1932-)’, Gurus on People Management. Thorogood Publishing Ltd., pp. 111–117. Available at: https://research-ebsco-com.ezproxy.uwtsd.ac.uk/linkprocessor/plink?id=46adef9b-add9-3eb3-9208-34ff904e97ac (Accessed: </w:t>
      </w:r>
      <w:r w:rsidR="009E0E26">
        <w:t>13 May</w:t>
      </w:r>
      <w:r w:rsidRPr="00362507">
        <w:t xml:space="preserve"> 2025).</w:t>
      </w:r>
    </w:p>
    <w:p w14:paraId="300872ED" w14:textId="77777777" w:rsidR="00D36769" w:rsidRDefault="00D36769" w:rsidP="00D36769">
      <w:r>
        <w:t>Kotter, J. P. (2012) Leading Change. Boston: Harvard Business Review Press.</w:t>
      </w:r>
    </w:p>
    <w:p w14:paraId="28740535" w14:textId="77777777" w:rsidR="005C43FA" w:rsidRPr="00431A78" w:rsidRDefault="005C43FA" w:rsidP="005C43FA">
      <w:r w:rsidRPr="00431A78">
        <w:t xml:space="preserve">Malik, P. (2025) ‘The Kübler Ross Change Curve in the Workplace (2025)’ </w:t>
      </w:r>
      <w:proofErr w:type="spellStart"/>
      <w:r w:rsidRPr="00431A78">
        <w:t>Whatfix</w:t>
      </w:r>
      <w:proofErr w:type="spellEnd"/>
      <w:r w:rsidRPr="00431A78">
        <w:t xml:space="preserve"> blog, 27 February. Available at: https://whatfix.com/blog/kubler-ross-change-curve/ (Accessed 29 July 2025).</w:t>
      </w:r>
    </w:p>
    <w:p w14:paraId="26C1546F" w14:textId="77777777" w:rsidR="00D36769" w:rsidRDefault="00D36769" w:rsidP="00D36769">
      <w:r w:rsidRPr="00E8378E">
        <w:t xml:space="preserve">National Aeronautics and Space Administration [NASA] (2024) What is Artificial </w:t>
      </w:r>
      <w:proofErr w:type="gramStart"/>
      <w:r w:rsidRPr="00E8378E">
        <w:t>Intelligence?.</w:t>
      </w:r>
      <w:proofErr w:type="gramEnd"/>
      <w:r w:rsidRPr="00E8378E">
        <w:t xml:space="preserve"> Available at: https://www.nasa.gov/what-is-artificial-intelligence/ (Accessed: 8 May 2025)</w:t>
      </w:r>
      <w:r>
        <w:t>.</w:t>
      </w:r>
    </w:p>
    <w:p w14:paraId="41DE1ABA" w14:textId="54BEB731" w:rsidR="00782347" w:rsidRDefault="00B466DC" w:rsidP="00D36769">
      <w:r>
        <w:t>Rock, D. (2008)</w:t>
      </w:r>
      <w:r w:rsidR="00BB55D4">
        <w:t xml:space="preserve"> ‘SCARF: A Brain-Based Model </w:t>
      </w:r>
      <w:proofErr w:type="gramStart"/>
      <w:r w:rsidR="00BB55D4">
        <w:t>For</w:t>
      </w:r>
      <w:proofErr w:type="gramEnd"/>
      <w:r w:rsidR="00BB55D4">
        <w:t xml:space="preserve"> Collaborating </w:t>
      </w:r>
      <w:proofErr w:type="gramStart"/>
      <w:r w:rsidR="00BB55D4">
        <w:t>With</w:t>
      </w:r>
      <w:proofErr w:type="gramEnd"/>
      <w:r w:rsidR="00BB55D4">
        <w:t xml:space="preserve"> </w:t>
      </w:r>
      <w:proofErr w:type="gramStart"/>
      <w:r w:rsidR="00BB55D4">
        <w:t>And</w:t>
      </w:r>
      <w:proofErr w:type="gramEnd"/>
      <w:r w:rsidR="00BB55D4">
        <w:t xml:space="preserve"> Influencing Others’, </w:t>
      </w:r>
      <w:proofErr w:type="spellStart"/>
      <w:r w:rsidR="00BB55D4">
        <w:t>NeuroLeadership</w:t>
      </w:r>
      <w:proofErr w:type="spellEnd"/>
      <w:r w:rsidR="00BB55D4">
        <w:t xml:space="preserve"> Journal.</w:t>
      </w:r>
      <w:r w:rsidR="00011877" w:rsidRPr="00011877">
        <w:rPr>
          <w:rFonts w:ascii="Arial" w:hAnsi="Arial" w:cs="Arial"/>
          <w:color w:val="222222"/>
          <w:shd w:val="clear" w:color="auto" w:fill="FFFFFF"/>
        </w:rPr>
        <w:t xml:space="preserve"> </w:t>
      </w:r>
      <w:r w:rsidR="00011877" w:rsidRPr="00011877">
        <w:t>1(1), pp.44-52.</w:t>
      </w:r>
      <w:r w:rsidR="00BB55D4" w:rsidRPr="00011877">
        <w:t xml:space="preserve"> </w:t>
      </w:r>
      <w:r w:rsidR="00BB55D4">
        <w:t>Available at:</w:t>
      </w:r>
      <w:r w:rsidR="00BB55D4" w:rsidRPr="00BB55D4">
        <w:t xml:space="preserve"> https://schoolguide.casel.org/uploads/sites/2/2018/12/SCARF-NeuroleadershipArticle.pdf</w:t>
      </w:r>
      <w:r w:rsidR="00BB55D4">
        <w:t xml:space="preserve"> (Accessed:13 May 2025)</w:t>
      </w:r>
    </w:p>
    <w:p w14:paraId="4BBE82A2" w14:textId="77777777" w:rsidR="005C43FA" w:rsidRPr="00431A78" w:rsidRDefault="005C43FA" w:rsidP="005C43FA">
      <w:r w:rsidRPr="00431A78">
        <w:t>Society for Human Resource Management (2024) The State of Global Workplace Culture. Available at: https://www.shrm.org/content/dam/en/shrm/research/the-state-of-global-workplace-culture-2024.pdf</w:t>
      </w:r>
    </w:p>
    <w:p w14:paraId="0E0E0589" w14:textId="77777777" w:rsidR="00D36769" w:rsidRPr="00E8378E" w:rsidRDefault="00D36769" w:rsidP="00D36769">
      <w:r w:rsidRPr="00E8378E">
        <w:t>‌Taylor, S. and Woodhams, C. (2022) Studying Human Resource Management a Guide to the Study, Context and Practice of HR. 3</w:t>
      </w:r>
      <w:r w:rsidRPr="00E8378E">
        <w:rPr>
          <w:vertAlign w:val="superscript"/>
        </w:rPr>
        <w:t>rd</w:t>
      </w:r>
      <w:r w:rsidRPr="00E8378E">
        <w:t xml:space="preserve"> </w:t>
      </w:r>
      <w:proofErr w:type="spellStart"/>
      <w:r w:rsidRPr="00E8378E">
        <w:t>edn</w:t>
      </w:r>
      <w:proofErr w:type="spellEnd"/>
      <w:r w:rsidRPr="00E8378E">
        <w:t>. London: Kogan Page.</w:t>
      </w:r>
    </w:p>
    <w:p w14:paraId="7DD4B472" w14:textId="77777777" w:rsidR="005C43FA" w:rsidRPr="00431A78" w:rsidRDefault="005C43FA" w:rsidP="005C43FA">
      <w:r w:rsidRPr="00431A78">
        <w:t>Tholen, G. (2023). Matching Candidates to Culture: How Assessments of Organisational Fit Shape the Hiring Process. </w:t>
      </w:r>
      <w:r w:rsidRPr="00431A78">
        <w:rPr>
          <w:i/>
          <w:iCs/>
        </w:rPr>
        <w:t>Work, Employment and Society</w:t>
      </w:r>
      <w:r w:rsidRPr="00431A78">
        <w:t>, </w:t>
      </w:r>
      <w:r w:rsidRPr="00431A78">
        <w:rPr>
          <w:i/>
          <w:iCs/>
        </w:rPr>
        <w:t>38</w:t>
      </w:r>
      <w:r w:rsidRPr="00431A78">
        <w:t>(3). Available at: https://doi.org/10.1177/09500170231155294</w:t>
      </w:r>
    </w:p>
    <w:p w14:paraId="0AB943EB" w14:textId="5CF34ECE" w:rsidR="000B4052" w:rsidRDefault="000B4052" w:rsidP="00D36769">
      <w:r>
        <w:t xml:space="preserve">Vale of Glamorgan Council (2025) Vale 2030 Strong Communities with a Bright Future. </w:t>
      </w:r>
      <w:r w:rsidR="00003414">
        <w:t xml:space="preserve">Available at: </w:t>
      </w:r>
      <w:r w:rsidR="00003414" w:rsidRPr="00003414">
        <w:t xml:space="preserve">https://www.valeofglamorgan.gov.uk/Documents/Our%20Council/Achieving%20our%20vision/Corporate-Plan/Corporate-Plan-2025-2030/Vale-2030-English-Interactive.pdf </w:t>
      </w:r>
      <w:r w:rsidR="00003414">
        <w:t>(Accessed: 19 May 2025)</w:t>
      </w:r>
    </w:p>
    <w:p w14:paraId="78409929" w14:textId="77777777" w:rsidR="00FF6EFE" w:rsidRDefault="00FF6EFE" w:rsidP="00D36769"/>
    <w:p w14:paraId="0B0DA462" w14:textId="77777777" w:rsidR="00FF6EFE" w:rsidRDefault="00FF6EFE" w:rsidP="00D36769"/>
    <w:p w14:paraId="12951AF7" w14:textId="77777777" w:rsidR="0010218A" w:rsidRPr="00F03F3E" w:rsidRDefault="0010218A" w:rsidP="00DF3065"/>
    <w:sectPr w:rsidR="0010218A" w:rsidRPr="00F03F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12F77"/>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087A5D35"/>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 w15:restartNumberingAfterBreak="0">
    <w:nsid w:val="0E370146"/>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10E00717"/>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B85B22"/>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F2B6A8C"/>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5483821"/>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BE43143"/>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52F12B8"/>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7B27329"/>
    <w:multiLevelType w:val="hybridMultilevel"/>
    <w:tmpl w:val="512ED68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368036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1108108">
    <w:abstractNumId w:val="8"/>
  </w:num>
  <w:num w:numId="3" w16cid:durableId="111755412">
    <w:abstractNumId w:val="7"/>
  </w:num>
  <w:num w:numId="4" w16cid:durableId="1166936632">
    <w:abstractNumId w:val="9"/>
  </w:num>
  <w:num w:numId="5" w16cid:durableId="375275166">
    <w:abstractNumId w:val="6"/>
  </w:num>
  <w:num w:numId="6" w16cid:durableId="1967661289">
    <w:abstractNumId w:val="4"/>
  </w:num>
  <w:num w:numId="7" w16cid:durableId="1040322892">
    <w:abstractNumId w:val="5"/>
  </w:num>
  <w:num w:numId="8" w16cid:durableId="788088465">
    <w:abstractNumId w:val="10"/>
  </w:num>
  <w:num w:numId="9" w16cid:durableId="276723699">
    <w:abstractNumId w:val="2"/>
  </w:num>
  <w:num w:numId="10" w16cid:durableId="369651415">
    <w:abstractNumId w:val="0"/>
  </w:num>
  <w:num w:numId="11" w16cid:durableId="1000154785">
    <w:abstractNumId w:val="3"/>
  </w:num>
  <w:num w:numId="12" w16cid:durableId="19552832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4BE"/>
    <w:rsid w:val="00003414"/>
    <w:rsid w:val="00011877"/>
    <w:rsid w:val="00050686"/>
    <w:rsid w:val="0008056E"/>
    <w:rsid w:val="000B3645"/>
    <w:rsid w:val="000B4052"/>
    <w:rsid w:val="000C7181"/>
    <w:rsid w:val="000E3279"/>
    <w:rsid w:val="000F018D"/>
    <w:rsid w:val="0010218A"/>
    <w:rsid w:val="00113CC9"/>
    <w:rsid w:val="00121533"/>
    <w:rsid w:val="00147ABF"/>
    <w:rsid w:val="00161710"/>
    <w:rsid w:val="001E50BE"/>
    <w:rsid w:val="001E7C8C"/>
    <w:rsid w:val="00240550"/>
    <w:rsid w:val="002550E5"/>
    <w:rsid w:val="00255B08"/>
    <w:rsid w:val="00272A48"/>
    <w:rsid w:val="00274CB7"/>
    <w:rsid w:val="00282939"/>
    <w:rsid w:val="002A3669"/>
    <w:rsid w:val="00362507"/>
    <w:rsid w:val="003719E7"/>
    <w:rsid w:val="003C2136"/>
    <w:rsid w:val="003C4AE6"/>
    <w:rsid w:val="003C74EF"/>
    <w:rsid w:val="004119FE"/>
    <w:rsid w:val="00423730"/>
    <w:rsid w:val="00431A78"/>
    <w:rsid w:val="00462CB8"/>
    <w:rsid w:val="004659C4"/>
    <w:rsid w:val="004B5B22"/>
    <w:rsid w:val="004D60D6"/>
    <w:rsid w:val="00513D5F"/>
    <w:rsid w:val="005541AD"/>
    <w:rsid w:val="005907A8"/>
    <w:rsid w:val="00590F2B"/>
    <w:rsid w:val="005C43FA"/>
    <w:rsid w:val="005E39A4"/>
    <w:rsid w:val="006719E0"/>
    <w:rsid w:val="00676DE4"/>
    <w:rsid w:val="006854BE"/>
    <w:rsid w:val="006D7813"/>
    <w:rsid w:val="006E5432"/>
    <w:rsid w:val="0071666F"/>
    <w:rsid w:val="00724A5B"/>
    <w:rsid w:val="00782347"/>
    <w:rsid w:val="00796600"/>
    <w:rsid w:val="007A2728"/>
    <w:rsid w:val="007A6590"/>
    <w:rsid w:val="00800704"/>
    <w:rsid w:val="008065A1"/>
    <w:rsid w:val="008301D7"/>
    <w:rsid w:val="00840F77"/>
    <w:rsid w:val="0084325C"/>
    <w:rsid w:val="008B4BAE"/>
    <w:rsid w:val="00910956"/>
    <w:rsid w:val="00936C81"/>
    <w:rsid w:val="00954916"/>
    <w:rsid w:val="009A4025"/>
    <w:rsid w:val="009B2310"/>
    <w:rsid w:val="009B409C"/>
    <w:rsid w:val="009C16C4"/>
    <w:rsid w:val="009E0E26"/>
    <w:rsid w:val="009E792A"/>
    <w:rsid w:val="00A11A9A"/>
    <w:rsid w:val="00A2354B"/>
    <w:rsid w:val="00A566F2"/>
    <w:rsid w:val="00A831DE"/>
    <w:rsid w:val="00B01CF4"/>
    <w:rsid w:val="00B466DC"/>
    <w:rsid w:val="00B717F8"/>
    <w:rsid w:val="00BB55D4"/>
    <w:rsid w:val="00BF2336"/>
    <w:rsid w:val="00C32438"/>
    <w:rsid w:val="00C32D91"/>
    <w:rsid w:val="00C74CD1"/>
    <w:rsid w:val="00C91FBE"/>
    <w:rsid w:val="00C963F4"/>
    <w:rsid w:val="00CB7810"/>
    <w:rsid w:val="00D138EE"/>
    <w:rsid w:val="00D17F11"/>
    <w:rsid w:val="00D36769"/>
    <w:rsid w:val="00D54BB3"/>
    <w:rsid w:val="00D62525"/>
    <w:rsid w:val="00D6316D"/>
    <w:rsid w:val="00DD21A1"/>
    <w:rsid w:val="00DE621E"/>
    <w:rsid w:val="00DF3065"/>
    <w:rsid w:val="00E60137"/>
    <w:rsid w:val="00E8378E"/>
    <w:rsid w:val="00E83858"/>
    <w:rsid w:val="00E93A82"/>
    <w:rsid w:val="00ED3EB0"/>
    <w:rsid w:val="00ED7148"/>
    <w:rsid w:val="00F03F3E"/>
    <w:rsid w:val="00F16B6F"/>
    <w:rsid w:val="00F704BA"/>
    <w:rsid w:val="00FB4572"/>
    <w:rsid w:val="00FF4D2C"/>
    <w:rsid w:val="00FF6E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CA757"/>
  <w15:chartTrackingRefBased/>
  <w15:docId w15:val="{A6191C62-EB92-49D2-978F-73EC75F9B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54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54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54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54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54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54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54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54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54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4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54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54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54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54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54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54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54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54BE"/>
    <w:rPr>
      <w:rFonts w:eastAsiaTheme="majorEastAsia" w:cstheme="majorBidi"/>
      <w:color w:val="272727" w:themeColor="text1" w:themeTint="D8"/>
    </w:rPr>
  </w:style>
  <w:style w:type="paragraph" w:styleId="Title">
    <w:name w:val="Title"/>
    <w:basedOn w:val="Normal"/>
    <w:next w:val="Normal"/>
    <w:link w:val="TitleChar"/>
    <w:uiPriority w:val="10"/>
    <w:qFormat/>
    <w:rsid w:val="00685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54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54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54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54BE"/>
    <w:pPr>
      <w:spacing w:before="160"/>
      <w:jc w:val="center"/>
    </w:pPr>
    <w:rPr>
      <w:i/>
      <w:iCs/>
      <w:color w:val="404040" w:themeColor="text1" w:themeTint="BF"/>
    </w:rPr>
  </w:style>
  <w:style w:type="character" w:customStyle="1" w:styleId="QuoteChar">
    <w:name w:val="Quote Char"/>
    <w:basedOn w:val="DefaultParagraphFont"/>
    <w:link w:val="Quote"/>
    <w:uiPriority w:val="29"/>
    <w:rsid w:val="006854BE"/>
    <w:rPr>
      <w:i/>
      <w:iCs/>
      <w:color w:val="404040" w:themeColor="text1" w:themeTint="BF"/>
    </w:rPr>
  </w:style>
  <w:style w:type="paragraph" w:styleId="ListParagraph">
    <w:name w:val="List Paragraph"/>
    <w:basedOn w:val="Normal"/>
    <w:link w:val="ListParagraphChar"/>
    <w:uiPriority w:val="34"/>
    <w:qFormat/>
    <w:rsid w:val="006854BE"/>
    <w:pPr>
      <w:ind w:left="720"/>
      <w:contextualSpacing/>
    </w:pPr>
  </w:style>
  <w:style w:type="character" w:styleId="IntenseEmphasis">
    <w:name w:val="Intense Emphasis"/>
    <w:basedOn w:val="DefaultParagraphFont"/>
    <w:uiPriority w:val="21"/>
    <w:qFormat/>
    <w:rsid w:val="006854BE"/>
    <w:rPr>
      <w:i/>
      <w:iCs/>
      <w:color w:val="0F4761" w:themeColor="accent1" w:themeShade="BF"/>
    </w:rPr>
  </w:style>
  <w:style w:type="paragraph" w:styleId="IntenseQuote">
    <w:name w:val="Intense Quote"/>
    <w:basedOn w:val="Normal"/>
    <w:next w:val="Normal"/>
    <w:link w:val="IntenseQuoteChar"/>
    <w:uiPriority w:val="30"/>
    <w:qFormat/>
    <w:rsid w:val="006854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54BE"/>
    <w:rPr>
      <w:i/>
      <w:iCs/>
      <w:color w:val="0F4761" w:themeColor="accent1" w:themeShade="BF"/>
    </w:rPr>
  </w:style>
  <w:style w:type="character" w:styleId="IntenseReference">
    <w:name w:val="Intense Reference"/>
    <w:basedOn w:val="DefaultParagraphFont"/>
    <w:uiPriority w:val="32"/>
    <w:qFormat/>
    <w:rsid w:val="006854BE"/>
    <w:rPr>
      <w:b/>
      <w:bCs/>
      <w:smallCaps/>
      <w:color w:val="0F4761" w:themeColor="accent1" w:themeShade="BF"/>
      <w:spacing w:val="5"/>
    </w:rPr>
  </w:style>
  <w:style w:type="table" w:customStyle="1" w:styleId="TableGrid">
    <w:name w:val="TableGrid"/>
    <w:rsid w:val="006854BE"/>
    <w:pPr>
      <w:spacing w:after="0" w:line="240" w:lineRule="auto"/>
    </w:pPr>
    <w:rPr>
      <w:rFonts w:eastAsiaTheme="minorEastAsia"/>
      <w:kern w:val="0"/>
      <w:sz w:val="24"/>
      <w:szCs w:val="24"/>
      <w:lang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34"/>
    <w:locked/>
    <w:rsid w:val="001E7C8C"/>
  </w:style>
  <w:style w:type="paragraph" w:styleId="NormalWeb">
    <w:name w:val="Normal (Web)"/>
    <w:basedOn w:val="Normal"/>
    <w:uiPriority w:val="99"/>
    <w:unhideWhenUsed/>
    <w:rsid w:val="00676DE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Hyperlink">
    <w:name w:val="Hyperlink"/>
    <w:basedOn w:val="DefaultParagraphFont"/>
    <w:uiPriority w:val="99"/>
    <w:unhideWhenUsed/>
    <w:rsid w:val="004D60D6"/>
    <w:rPr>
      <w:color w:val="467886" w:themeColor="hyperlink"/>
      <w:u w:val="single"/>
    </w:rPr>
  </w:style>
  <w:style w:type="character" w:styleId="UnresolvedMention">
    <w:name w:val="Unresolved Mention"/>
    <w:basedOn w:val="DefaultParagraphFont"/>
    <w:uiPriority w:val="99"/>
    <w:semiHidden/>
    <w:unhideWhenUsed/>
    <w:rsid w:val="004D60D6"/>
    <w:rPr>
      <w:color w:val="605E5C"/>
      <w:shd w:val="clear" w:color="auto" w:fill="E1DFDD"/>
    </w:rPr>
  </w:style>
  <w:style w:type="character" w:styleId="FollowedHyperlink">
    <w:name w:val="FollowedHyperlink"/>
    <w:basedOn w:val="DefaultParagraphFont"/>
    <w:uiPriority w:val="99"/>
    <w:semiHidden/>
    <w:unhideWhenUsed/>
    <w:rsid w:val="00C3243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94674">
      <w:bodyDiv w:val="1"/>
      <w:marLeft w:val="0"/>
      <w:marRight w:val="0"/>
      <w:marTop w:val="0"/>
      <w:marBottom w:val="0"/>
      <w:divBdr>
        <w:top w:val="none" w:sz="0" w:space="0" w:color="auto"/>
        <w:left w:val="none" w:sz="0" w:space="0" w:color="auto"/>
        <w:bottom w:val="none" w:sz="0" w:space="0" w:color="auto"/>
        <w:right w:val="none" w:sz="0" w:space="0" w:color="auto"/>
      </w:divBdr>
    </w:div>
    <w:div w:id="106511602">
      <w:bodyDiv w:val="1"/>
      <w:marLeft w:val="0"/>
      <w:marRight w:val="0"/>
      <w:marTop w:val="0"/>
      <w:marBottom w:val="0"/>
      <w:divBdr>
        <w:top w:val="none" w:sz="0" w:space="0" w:color="auto"/>
        <w:left w:val="none" w:sz="0" w:space="0" w:color="auto"/>
        <w:bottom w:val="none" w:sz="0" w:space="0" w:color="auto"/>
        <w:right w:val="none" w:sz="0" w:space="0" w:color="auto"/>
      </w:divBdr>
    </w:div>
    <w:div w:id="159858355">
      <w:bodyDiv w:val="1"/>
      <w:marLeft w:val="0"/>
      <w:marRight w:val="0"/>
      <w:marTop w:val="0"/>
      <w:marBottom w:val="0"/>
      <w:divBdr>
        <w:top w:val="none" w:sz="0" w:space="0" w:color="auto"/>
        <w:left w:val="none" w:sz="0" w:space="0" w:color="auto"/>
        <w:bottom w:val="none" w:sz="0" w:space="0" w:color="auto"/>
        <w:right w:val="none" w:sz="0" w:space="0" w:color="auto"/>
      </w:divBdr>
    </w:div>
    <w:div w:id="445856835">
      <w:bodyDiv w:val="1"/>
      <w:marLeft w:val="0"/>
      <w:marRight w:val="0"/>
      <w:marTop w:val="0"/>
      <w:marBottom w:val="0"/>
      <w:divBdr>
        <w:top w:val="none" w:sz="0" w:space="0" w:color="auto"/>
        <w:left w:val="none" w:sz="0" w:space="0" w:color="auto"/>
        <w:bottom w:val="none" w:sz="0" w:space="0" w:color="auto"/>
        <w:right w:val="none" w:sz="0" w:space="0" w:color="auto"/>
      </w:divBdr>
    </w:div>
    <w:div w:id="484131102">
      <w:bodyDiv w:val="1"/>
      <w:marLeft w:val="0"/>
      <w:marRight w:val="0"/>
      <w:marTop w:val="0"/>
      <w:marBottom w:val="0"/>
      <w:divBdr>
        <w:top w:val="none" w:sz="0" w:space="0" w:color="auto"/>
        <w:left w:val="none" w:sz="0" w:space="0" w:color="auto"/>
        <w:bottom w:val="none" w:sz="0" w:space="0" w:color="auto"/>
        <w:right w:val="none" w:sz="0" w:space="0" w:color="auto"/>
      </w:divBdr>
    </w:div>
    <w:div w:id="653486016">
      <w:bodyDiv w:val="1"/>
      <w:marLeft w:val="0"/>
      <w:marRight w:val="0"/>
      <w:marTop w:val="0"/>
      <w:marBottom w:val="0"/>
      <w:divBdr>
        <w:top w:val="none" w:sz="0" w:space="0" w:color="auto"/>
        <w:left w:val="none" w:sz="0" w:space="0" w:color="auto"/>
        <w:bottom w:val="none" w:sz="0" w:space="0" w:color="auto"/>
        <w:right w:val="none" w:sz="0" w:space="0" w:color="auto"/>
      </w:divBdr>
    </w:div>
    <w:div w:id="710955597">
      <w:bodyDiv w:val="1"/>
      <w:marLeft w:val="0"/>
      <w:marRight w:val="0"/>
      <w:marTop w:val="0"/>
      <w:marBottom w:val="0"/>
      <w:divBdr>
        <w:top w:val="none" w:sz="0" w:space="0" w:color="auto"/>
        <w:left w:val="none" w:sz="0" w:space="0" w:color="auto"/>
        <w:bottom w:val="none" w:sz="0" w:space="0" w:color="auto"/>
        <w:right w:val="none" w:sz="0" w:space="0" w:color="auto"/>
      </w:divBdr>
    </w:div>
    <w:div w:id="976182360">
      <w:bodyDiv w:val="1"/>
      <w:marLeft w:val="0"/>
      <w:marRight w:val="0"/>
      <w:marTop w:val="0"/>
      <w:marBottom w:val="0"/>
      <w:divBdr>
        <w:top w:val="none" w:sz="0" w:space="0" w:color="auto"/>
        <w:left w:val="none" w:sz="0" w:space="0" w:color="auto"/>
        <w:bottom w:val="none" w:sz="0" w:space="0" w:color="auto"/>
        <w:right w:val="none" w:sz="0" w:space="0" w:color="auto"/>
      </w:divBdr>
    </w:div>
    <w:div w:id="1250231560">
      <w:bodyDiv w:val="1"/>
      <w:marLeft w:val="0"/>
      <w:marRight w:val="0"/>
      <w:marTop w:val="0"/>
      <w:marBottom w:val="0"/>
      <w:divBdr>
        <w:top w:val="none" w:sz="0" w:space="0" w:color="auto"/>
        <w:left w:val="none" w:sz="0" w:space="0" w:color="auto"/>
        <w:bottom w:val="none" w:sz="0" w:space="0" w:color="auto"/>
        <w:right w:val="none" w:sz="0" w:space="0" w:color="auto"/>
      </w:divBdr>
    </w:div>
    <w:div w:id="1299532990">
      <w:bodyDiv w:val="1"/>
      <w:marLeft w:val="0"/>
      <w:marRight w:val="0"/>
      <w:marTop w:val="0"/>
      <w:marBottom w:val="0"/>
      <w:divBdr>
        <w:top w:val="none" w:sz="0" w:space="0" w:color="auto"/>
        <w:left w:val="none" w:sz="0" w:space="0" w:color="auto"/>
        <w:bottom w:val="none" w:sz="0" w:space="0" w:color="auto"/>
        <w:right w:val="none" w:sz="0" w:space="0" w:color="auto"/>
      </w:divBdr>
    </w:div>
    <w:div w:id="1308362999">
      <w:bodyDiv w:val="1"/>
      <w:marLeft w:val="0"/>
      <w:marRight w:val="0"/>
      <w:marTop w:val="0"/>
      <w:marBottom w:val="0"/>
      <w:divBdr>
        <w:top w:val="none" w:sz="0" w:space="0" w:color="auto"/>
        <w:left w:val="none" w:sz="0" w:space="0" w:color="auto"/>
        <w:bottom w:val="none" w:sz="0" w:space="0" w:color="auto"/>
        <w:right w:val="none" w:sz="0" w:space="0" w:color="auto"/>
      </w:divBdr>
    </w:div>
    <w:div w:id="1308365093">
      <w:bodyDiv w:val="1"/>
      <w:marLeft w:val="0"/>
      <w:marRight w:val="0"/>
      <w:marTop w:val="0"/>
      <w:marBottom w:val="0"/>
      <w:divBdr>
        <w:top w:val="none" w:sz="0" w:space="0" w:color="auto"/>
        <w:left w:val="none" w:sz="0" w:space="0" w:color="auto"/>
        <w:bottom w:val="none" w:sz="0" w:space="0" w:color="auto"/>
        <w:right w:val="none" w:sz="0" w:space="0" w:color="auto"/>
      </w:divBdr>
    </w:div>
    <w:div w:id="1420560346">
      <w:bodyDiv w:val="1"/>
      <w:marLeft w:val="0"/>
      <w:marRight w:val="0"/>
      <w:marTop w:val="0"/>
      <w:marBottom w:val="0"/>
      <w:divBdr>
        <w:top w:val="none" w:sz="0" w:space="0" w:color="auto"/>
        <w:left w:val="none" w:sz="0" w:space="0" w:color="auto"/>
        <w:bottom w:val="none" w:sz="0" w:space="0" w:color="auto"/>
        <w:right w:val="none" w:sz="0" w:space="0" w:color="auto"/>
      </w:divBdr>
    </w:div>
    <w:div w:id="1423644031">
      <w:bodyDiv w:val="1"/>
      <w:marLeft w:val="0"/>
      <w:marRight w:val="0"/>
      <w:marTop w:val="0"/>
      <w:marBottom w:val="0"/>
      <w:divBdr>
        <w:top w:val="none" w:sz="0" w:space="0" w:color="auto"/>
        <w:left w:val="none" w:sz="0" w:space="0" w:color="auto"/>
        <w:bottom w:val="none" w:sz="0" w:space="0" w:color="auto"/>
        <w:right w:val="none" w:sz="0" w:space="0" w:color="auto"/>
      </w:divBdr>
    </w:div>
    <w:div w:id="1596358229">
      <w:bodyDiv w:val="1"/>
      <w:marLeft w:val="0"/>
      <w:marRight w:val="0"/>
      <w:marTop w:val="0"/>
      <w:marBottom w:val="0"/>
      <w:divBdr>
        <w:top w:val="none" w:sz="0" w:space="0" w:color="auto"/>
        <w:left w:val="none" w:sz="0" w:space="0" w:color="auto"/>
        <w:bottom w:val="none" w:sz="0" w:space="0" w:color="auto"/>
        <w:right w:val="none" w:sz="0" w:space="0" w:color="auto"/>
      </w:divBdr>
    </w:div>
    <w:div w:id="1699887806">
      <w:bodyDiv w:val="1"/>
      <w:marLeft w:val="0"/>
      <w:marRight w:val="0"/>
      <w:marTop w:val="0"/>
      <w:marBottom w:val="0"/>
      <w:divBdr>
        <w:top w:val="none" w:sz="0" w:space="0" w:color="auto"/>
        <w:left w:val="none" w:sz="0" w:space="0" w:color="auto"/>
        <w:bottom w:val="none" w:sz="0" w:space="0" w:color="auto"/>
        <w:right w:val="none" w:sz="0" w:space="0" w:color="auto"/>
      </w:divBdr>
    </w:div>
    <w:div w:id="1872919700">
      <w:bodyDiv w:val="1"/>
      <w:marLeft w:val="0"/>
      <w:marRight w:val="0"/>
      <w:marTop w:val="0"/>
      <w:marBottom w:val="0"/>
      <w:divBdr>
        <w:top w:val="none" w:sz="0" w:space="0" w:color="auto"/>
        <w:left w:val="none" w:sz="0" w:space="0" w:color="auto"/>
        <w:bottom w:val="none" w:sz="0" w:space="0" w:color="auto"/>
        <w:right w:val="none" w:sz="0" w:space="0" w:color="auto"/>
      </w:divBdr>
    </w:div>
    <w:div w:id="2059233671">
      <w:bodyDiv w:val="1"/>
      <w:marLeft w:val="0"/>
      <w:marRight w:val="0"/>
      <w:marTop w:val="0"/>
      <w:marBottom w:val="0"/>
      <w:divBdr>
        <w:top w:val="none" w:sz="0" w:space="0" w:color="auto"/>
        <w:left w:val="none" w:sz="0" w:space="0" w:color="auto"/>
        <w:bottom w:val="none" w:sz="0" w:space="0" w:color="auto"/>
        <w:right w:val="none" w:sz="0" w:space="0" w:color="auto"/>
      </w:divBdr>
    </w:div>
    <w:div w:id="2128422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20A72-964A-4974-AAE0-F8D99AC34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15</Pages>
  <Words>6279</Words>
  <Characters>35796</Characters>
  <Application>Microsoft Office Word</Application>
  <DocSecurity>0</DocSecurity>
  <Lines>298</Lines>
  <Paragraphs>83</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41992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Sanderson, Lydia (HR)</dc:creator>
  <cp:keywords/>
  <dc:description/>
  <cp:lastModifiedBy>Sanderson, Lydia (HR)</cp:lastModifiedBy>
  <cp:revision>24</cp:revision>
  <dcterms:created xsi:type="dcterms:W3CDTF">2025-07-22T15:55:00Z</dcterms:created>
  <dcterms:modified xsi:type="dcterms:W3CDTF">2025-07-29T10:48:00Z</dcterms:modified>
</cp:coreProperties>
</file>