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6E0E71D0" w14:textId="77777777" w:rsidR="000F08B0" w:rsidRDefault="000F08B0"/>
    <w:p w14:paraId="6667B678" w14:textId="77777777" w:rsidR="000F08B0" w:rsidRPr="003A7573" w:rsidRDefault="000F08B0" w:rsidP="003A7573">
      <w:pPr>
        <w:jc w:val="center"/>
        <w:rPr>
          <w:sz w:val="36"/>
          <w:szCs w:val="36"/>
        </w:rPr>
      </w:pPr>
    </w:p>
    <w:p w14:paraId="32393A78" w14:textId="313D28D0" w:rsidR="00CA14C0" w:rsidRPr="00567E10" w:rsidRDefault="006833D5" w:rsidP="007208E3">
      <w:pPr>
        <w:jc w:val="center"/>
        <w:rPr>
          <w:rFonts w:ascii="Arial" w:hAnsi="Arial" w:cs="Arial"/>
          <w:b/>
          <w:bCs/>
          <w:sz w:val="36"/>
          <w:szCs w:val="36"/>
        </w:rPr>
      </w:pPr>
      <w:bookmarkStart w:id="0" w:name="OLE_LINK1"/>
      <w:r w:rsidRPr="00567E10">
        <w:rPr>
          <w:rFonts w:ascii="Arial" w:hAnsi="Arial" w:cs="Arial"/>
          <w:b/>
          <w:bCs/>
          <w:sz w:val="36"/>
          <w:szCs w:val="36"/>
        </w:rPr>
        <w:t>BA (Hons) Leadership and Management</w:t>
      </w:r>
    </w:p>
    <w:p w14:paraId="0571DAC9" w14:textId="0FAD231B" w:rsidR="007208E3" w:rsidRPr="00567E10" w:rsidRDefault="00502F3E" w:rsidP="007208E3">
      <w:pPr>
        <w:spacing w:line="600" w:lineRule="auto"/>
        <w:jc w:val="center"/>
        <w:rPr>
          <w:rFonts w:ascii="Arial" w:hAnsi="Arial" w:cs="Arial"/>
          <w:i/>
          <w:iCs/>
          <w:sz w:val="32"/>
          <w:szCs w:val="32"/>
        </w:rPr>
      </w:pPr>
      <w:r w:rsidRPr="00567E10">
        <w:rPr>
          <w:rFonts w:ascii="Arial" w:hAnsi="Arial" w:cs="Arial"/>
          <w:i/>
          <w:iCs/>
          <w:sz w:val="32"/>
          <w:szCs w:val="32"/>
        </w:rPr>
        <w:t>Understanding and Engaging stakeholders LCLM5001</w:t>
      </w:r>
    </w:p>
    <w:p w14:paraId="49A40497" w14:textId="77777777" w:rsidR="007208E3" w:rsidRPr="00502F3E" w:rsidRDefault="007208E3" w:rsidP="007208E3">
      <w:pPr>
        <w:spacing w:line="600" w:lineRule="auto"/>
        <w:jc w:val="center"/>
        <w:rPr>
          <w:rFonts w:ascii="Arial" w:hAnsi="Arial" w:cs="Arial"/>
          <w:i/>
          <w:iCs/>
          <w:sz w:val="32"/>
          <w:szCs w:val="32"/>
        </w:rPr>
      </w:pPr>
    </w:p>
    <w:p w14:paraId="0DBF74BD" w14:textId="77777777" w:rsidR="007208E3" w:rsidRPr="00567E10" w:rsidRDefault="007208E3" w:rsidP="007208E3">
      <w:pPr>
        <w:pStyle w:val="Heading3"/>
        <w:jc w:val="center"/>
        <w:rPr>
          <w:rStyle w:val="s1"/>
          <w:rFonts w:ascii="Arial" w:hAnsi="Arial" w:cs="Arial"/>
          <w:b/>
          <w:bCs/>
          <w:i/>
          <w:iCs/>
          <w:color w:val="000000" w:themeColor="text1"/>
          <w:sz w:val="32"/>
          <w:szCs w:val="32"/>
        </w:rPr>
      </w:pPr>
      <w:r w:rsidRPr="00567E10">
        <w:rPr>
          <w:rStyle w:val="s1"/>
          <w:rFonts w:ascii="Arial" w:hAnsi="Arial" w:cs="Arial"/>
          <w:b/>
          <w:bCs/>
          <w:i/>
          <w:iCs/>
          <w:color w:val="000000" w:themeColor="text1"/>
          <w:sz w:val="32"/>
          <w:szCs w:val="32"/>
        </w:rPr>
        <w:t>Individual Report:</w:t>
      </w:r>
    </w:p>
    <w:p w14:paraId="4E5A9437" w14:textId="778FD722" w:rsidR="00CA14C0" w:rsidRPr="00567E10" w:rsidRDefault="007208E3" w:rsidP="007208E3">
      <w:pPr>
        <w:spacing w:line="600" w:lineRule="auto"/>
        <w:jc w:val="center"/>
        <w:rPr>
          <w:rFonts w:ascii="Arial" w:hAnsi="Arial" w:cs="Arial"/>
          <w:i/>
          <w:iCs/>
          <w:sz w:val="32"/>
          <w:szCs w:val="32"/>
        </w:rPr>
      </w:pPr>
      <w:r w:rsidRPr="00567E10">
        <w:rPr>
          <w:rStyle w:val="s1"/>
          <w:rFonts w:ascii="Arial" w:hAnsi="Arial" w:cs="Arial"/>
          <w:b/>
          <w:bCs/>
          <w:i/>
          <w:iCs/>
          <w:color w:val="1F3864" w:themeColor="accent1" w:themeShade="80"/>
          <w:sz w:val="32"/>
          <w:szCs w:val="32"/>
        </w:rPr>
        <w:t>Stakeholder Engagement Plan for Owen Mumford Ltd</w:t>
      </w:r>
    </w:p>
    <w:p w14:paraId="6F1FFB47" w14:textId="77777777" w:rsidR="000A3CF0" w:rsidRDefault="000A3CF0" w:rsidP="007208E3">
      <w:pPr>
        <w:spacing w:line="600" w:lineRule="auto"/>
        <w:jc w:val="right"/>
        <w:rPr>
          <w:rFonts w:ascii="Arial" w:hAnsi="Arial" w:cs="Arial"/>
          <w:b/>
          <w:bCs/>
          <w:i/>
          <w:iCs/>
          <w:sz w:val="28"/>
          <w:szCs w:val="28"/>
        </w:rPr>
      </w:pPr>
    </w:p>
    <w:p w14:paraId="71DCC86F" w14:textId="4592AB1C" w:rsidR="00502F3E" w:rsidRPr="00567E10" w:rsidRDefault="00F37B62" w:rsidP="007208E3">
      <w:pPr>
        <w:spacing w:line="600" w:lineRule="auto"/>
        <w:jc w:val="right"/>
        <w:rPr>
          <w:rFonts w:ascii="Arial" w:hAnsi="Arial" w:cs="Arial"/>
          <w:b/>
          <w:bCs/>
          <w:i/>
          <w:iCs/>
          <w:sz w:val="28"/>
          <w:szCs w:val="28"/>
        </w:rPr>
      </w:pPr>
      <w:r w:rsidRPr="00567E10">
        <w:rPr>
          <w:rFonts w:ascii="Arial" w:hAnsi="Arial" w:cs="Arial"/>
          <w:b/>
          <w:bCs/>
          <w:i/>
          <w:iCs/>
          <w:sz w:val="28"/>
          <w:szCs w:val="28"/>
        </w:rPr>
        <w:t>Student Name:</w:t>
      </w:r>
      <w:r w:rsidR="00376C3F" w:rsidRPr="00567E10">
        <w:rPr>
          <w:rFonts w:ascii="Arial" w:hAnsi="Arial" w:cs="Arial"/>
          <w:b/>
          <w:bCs/>
          <w:i/>
          <w:iCs/>
          <w:sz w:val="28"/>
          <w:szCs w:val="28"/>
        </w:rPr>
        <w:t xml:space="preserve"> </w:t>
      </w:r>
      <w:r w:rsidR="007341D1" w:rsidRPr="00567E10">
        <w:rPr>
          <w:rFonts w:ascii="Arial" w:hAnsi="Arial" w:cs="Arial"/>
          <w:i/>
          <w:iCs/>
          <w:sz w:val="28"/>
          <w:szCs w:val="28"/>
        </w:rPr>
        <w:t>Khrystyna</w:t>
      </w:r>
      <w:r w:rsidR="00376C3F" w:rsidRPr="00567E10">
        <w:rPr>
          <w:rFonts w:ascii="Arial" w:hAnsi="Arial" w:cs="Arial"/>
          <w:i/>
          <w:iCs/>
          <w:sz w:val="28"/>
          <w:szCs w:val="28"/>
        </w:rPr>
        <w:t xml:space="preserve"> Havrysh</w:t>
      </w:r>
    </w:p>
    <w:p w14:paraId="0AB87265" w14:textId="685722BE" w:rsidR="00CA14C0" w:rsidRPr="00567E10" w:rsidRDefault="00F37B62" w:rsidP="007208E3">
      <w:pPr>
        <w:spacing w:line="600" w:lineRule="auto"/>
        <w:jc w:val="right"/>
        <w:rPr>
          <w:rFonts w:ascii="Arial" w:hAnsi="Arial" w:cs="Arial"/>
          <w:b/>
          <w:bCs/>
          <w:i/>
          <w:iCs/>
          <w:sz w:val="28"/>
          <w:szCs w:val="28"/>
        </w:rPr>
      </w:pPr>
      <w:r w:rsidRPr="00567E10">
        <w:rPr>
          <w:rFonts w:ascii="Arial" w:hAnsi="Arial" w:cs="Arial"/>
          <w:b/>
          <w:bCs/>
          <w:i/>
          <w:iCs/>
          <w:sz w:val="28"/>
          <w:szCs w:val="28"/>
        </w:rPr>
        <w:t>Student Number:</w:t>
      </w:r>
      <w:r w:rsidR="00376C3F" w:rsidRPr="00567E10">
        <w:rPr>
          <w:rFonts w:ascii="Arial" w:hAnsi="Arial" w:cs="Arial"/>
          <w:b/>
          <w:bCs/>
          <w:i/>
          <w:iCs/>
          <w:sz w:val="28"/>
          <w:szCs w:val="28"/>
        </w:rPr>
        <w:t xml:space="preserve"> </w:t>
      </w:r>
      <w:r w:rsidR="00376C3F" w:rsidRPr="00567E10">
        <w:rPr>
          <w:rFonts w:ascii="Arial" w:hAnsi="Arial" w:cs="Arial"/>
          <w:i/>
          <w:iCs/>
          <w:sz w:val="28"/>
          <w:szCs w:val="28"/>
        </w:rPr>
        <w:t>2417459</w:t>
      </w:r>
    </w:p>
    <w:p w14:paraId="556C6252" w14:textId="3237F81C" w:rsidR="00F37B62" w:rsidRPr="00567E10" w:rsidRDefault="00F37B62" w:rsidP="007208E3">
      <w:pPr>
        <w:spacing w:line="600" w:lineRule="auto"/>
        <w:jc w:val="right"/>
        <w:rPr>
          <w:rFonts w:ascii="Arial" w:hAnsi="Arial" w:cs="Arial"/>
          <w:i/>
          <w:iCs/>
          <w:sz w:val="28"/>
          <w:szCs w:val="28"/>
        </w:rPr>
      </w:pPr>
      <w:r w:rsidRPr="00567E10">
        <w:rPr>
          <w:rFonts w:ascii="Arial" w:hAnsi="Arial" w:cs="Arial"/>
          <w:b/>
          <w:bCs/>
          <w:i/>
          <w:iCs/>
          <w:sz w:val="28"/>
          <w:szCs w:val="28"/>
        </w:rPr>
        <w:t xml:space="preserve">Lecturer Name: </w:t>
      </w:r>
      <w:r w:rsidR="006833D5" w:rsidRPr="00567E10">
        <w:rPr>
          <w:rFonts w:ascii="Arial" w:hAnsi="Arial" w:cs="Arial"/>
          <w:i/>
          <w:iCs/>
          <w:sz w:val="28"/>
          <w:szCs w:val="28"/>
        </w:rPr>
        <w:t>Kazeem Oseni</w:t>
      </w:r>
    </w:p>
    <w:p w14:paraId="390047F9" w14:textId="2B7DB744" w:rsidR="19DF5ED4" w:rsidRPr="00567E10" w:rsidRDefault="00F37B62" w:rsidP="007208E3">
      <w:pPr>
        <w:spacing w:line="600" w:lineRule="auto"/>
        <w:jc w:val="right"/>
        <w:rPr>
          <w:rFonts w:ascii="Arial" w:hAnsi="Arial" w:cs="Arial"/>
          <w:b/>
          <w:bCs/>
          <w:i/>
          <w:iCs/>
          <w:sz w:val="28"/>
          <w:szCs w:val="28"/>
        </w:rPr>
      </w:pPr>
      <w:r w:rsidRPr="00567E10">
        <w:rPr>
          <w:rFonts w:ascii="Arial" w:hAnsi="Arial" w:cs="Arial"/>
          <w:b/>
          <w:bCs/>
          <w:i/>
          <w:iCs/>
          <w:sz w:val="28"/>
          <w:szCs w:val="28"/>
        </w:rPr>
        <w:t>Session</w:t>
      </w:r>
      <w:r w:rsidRPr="00567E10">
        <w:rPr>
          <w:rFonts w:ascii="Arial" w:hAnsi="Arial" w:cs="Arial"/>
          <w:i/>
          <w:iCs/>
          <w:sz w:val="28"/>
          <w:szCs w:val="28"/>
        </w:rPr>
        <w:t>:</w:t>
      </w:r>
      <w:r w:rsidR="008D1598" w:rsidRPr="00567E10">
        <w:rPr>
          <w:rFonts w:ascii="Arial" w:hAnsi="Arial" w:cs="Arial"/>
          <w:i/>
          <w:iCs/>
          <w:sz w:val="28"/>
          <w:szCs w:val="28"/>
        </w:rPr>
        <w:t xml:space="preserve"> Fe</w:t>
      </w:r>
      <w:r w:rsidR="006833D5" w:rsidRPr="00567E10">
        <w:rPr>
          <w:rFonts w:ascii="Arial" w:hAnsi="Arial" w:cs="Arial"/>
          <w:i/>
          <w:iCs/>
          <w:sz w:val="28"/>
          <w:szCs w:val="28"/>
        </w:rPr>
        <w:t>bruary</w:t>
      </w:r>
      <w:r w:rsidR="008D1598" w:rsidRPr="00567E10">
        <w:rPr>
          <w:rFonts w:ascii="Arial" w:hAnsi="Arial" w:cs="Arial"/>
          <w:i/>
          <w:iCs/>
          <w:sz w:val="28"/>
          <w:szCs w:val="28"/>
        </w:rPr>
        <w:t xml:space="preserve"> </w:t>
      </w:r>
      <w:r w:rsidRPr="00567E10">
        <w:rPr>
          <w:rFonts w:ascii="Arial" w:hAnsi="Arial" w:cs="Arial"/>
          <w:i/>
          <w:iCs/>
          <w:sz w:val="28"/>
          <w:szCs w:val="28"/>
        </w:rPr>
        <w:t>202</w:t>
      </w:r>
      <w:r w:rsidR="008D1598" w:rsidRPr="00567E10">
        <w:rPr>
          <w:rFonts w:ascii="Arial" w:hAnsi="Arial" w:cs="Arial"/>
          <w:i/>
          <w:iCs/>
          <w:sz w:val="28"/>
          <w:szCs w:val="28"/>
        </w:rPr>
        <w:t>5</w:t>
      </w:r>
      <w:r w:rsidRPr="00567E10">
        <w:rPr>
          <w:rFonts w:ascii="Arial" w:hAnsi="Arial" w:cs="Arial"/>
          <w:i/>
          <w:iCs/>
          <w:sz w:val="28"/>
          <w:szCs w:val="28"/>
        </w:rPr>
        <w:t xml:space="preserve"> Term</w:t>
      </w:r>
      <w:bookmarkEnd w:id="0"/>
    </w:p>
    <w:bookmarkStart w:id="1" w:name="OLE_LINK2" w:displacedByCustomXml="next"/>
    <w:bookmarkStart w:id="2" w:name="OLE_LINK3" w:displacedByCustomXml="next"/>
    <w:sdt>
      <w:sdtPr>
        <w:rPr>
          <w:rFonts w:ascii="Arial" w:eastAsiaTheme="minorEastAsia" w:hAnsi="Arial" w:cs="Arial"/>
          <w:b w:val="0"/>
          <w:bCs w:val="0"/>
          <w:color w:val="auto"/>
          <w:sz w:val="24"/>
          <w:szCs w:val="24"/>
          <w:lang w:val="en-GB" w:eastAsia="zh-CN"/>
        </w:rPr>
        <w:id w:val="-306698637"/>
        <w:docPartObj>
          <w:docPartGallery w:val="Table of Contents"/>
          <w:docPartUnique/>
        </w:docPartObj>
      </w:sdtPr>
      <w:sdtEndPr>
        <w:rPr>
          <w:noProof/>
        </w:rPr>
      </w:sdtEndPr>
      <w:sdtContent>
        <w:p w14:paraId="07D2B24F" w14:textId="77777777" w:rsidR="00B827B3" w:rsidRPr="00CB60BE" w:rsidRDefault="00B827B3" w:rsidP="00B827B3">
          <w:pPr>
            <w:pStyle w:val="TOCHeading"/>
            <w:rPr>
              <w:rFonts w:ascii="Arial" w:hAnsi="Arial" w:cs="Arial"/>
              <w:sz w:val="32"/>
              <w:szCs w:val="32"/>
            </w:rPr>
          </w:pPr>
          <w:r w:rsidRPr="00CB60BE">
            <w:rPr>
              <w:rFonts w:ascii="Arial" w:hAnsi="Arial" w:cs="Arial"/>
              <w:sz w:val="32"/>
              <w:szCs w:val="32"/>
            </w:rPr>
            <w:t>Table of Contents</w:t>
          </w:r>
        </w:p>
        <w:p w14:paraId="390F28C9" w14:textId="1A4241BC" w:rsidR="00B827B3" w:rsidRPr="00CB60BE"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r w:rsidRPr="00CB60BE">
            <w:rPr>
              <w:rFonts w:ascii="Arial" w:hAnsi="Arial" w:cs="Arial"/>
              <w:sz w:val="24"/>
              <w:szCs w:val="24"/>
            </w:rPr>
            <w:fldChar w:fldCharType="begin"/>
          </w:r>
          <w:r w:rsidRPr="00CB60BE">
            <w:rPr>
              <w:rFonts w:ascii="Arial" w:hAnsi="Arial" w:cs="Arial"/>
              <w:sz w:val="24"/>
              <w:szCs w:val="24"/>
            </w:rPr>
            <w:instrText xml:space="preserve"> TOC \o "1-3" \h \z \u </w:instrText>
          </w:r>
          <w:r w:rsidRPr="00CB60BE">
            <w:rPr>
              <w:rFonts w:ascii="Arial" w:hAnsi="Arial" w:cs="Arial"/>
              <w:sz w:val="24"/>
              <w:szCs w:val="24"/>
            </w:rPr>
            <w:fldChar w:fldCharType="separate"/>
          </w:r>
          <w:hyperlink w:anchor="_Toc213403108" w:history="1">
            <w:r w:rsidRPr="00CB60BE">
              <w:rPr>
                <w:rStyle w:val="Hyperlink"/>
                <w:rFonts w:ascii="Arial" w:hAnsi="Arial" w:cs="Arial"/>
                <w:noProof/>
                <w:sz w:val="24"/>
                <w:szCs w:val="24"/>
              </w:rPr>
              <w:t>1.0 Introduction to the Organisation</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_Toc213403108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4</w:t>
            </w:r>
            <w:r w:rsidRPr="00CB60BE">
              <w:rPr>
                <w:rFonts w:ascii="Arial" w:hAnsi="Arial" w:cs="Arial"/>
                <w:noProof/>
                <w:webHidden/>
                <w:sz w:val="24"/>
                <w:szCs w:val="24"/>
              </w:rPr>
              <w:fldChar w:fldCharType="end"/>
            </w:r>
          </w:hyperlink>
        </w:p>
        <w:p w14:paraId="159C87AE" w14:textId="1408081C"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09" w:history="1">
            <w:r w:rsidRPr="00CB60BE">
              <w:rPr>
                <w:rStyle w:val="Hyperlink"/>
                <w:rFonts w:ascii="Arial" w:hAnsi="Arial" w:cs="Arial"/>
                <w:i/>
                <w:iCs/>
                <w:noProof/>
                <w:sz w:val="24"/>
                <w:szCs w:val="24"/>
              </w:rPr>
              <w:t>1.1 Overview of Owen Mumford Ltd</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_Toc213403109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4</w:t>
            </w:r>
            <w:r w:rsidRPr="00CB60BE">
              <w:rPr>
                <w:rFonts w:ascii="Arial" w:hAnsi="Arial" w:cs="Arial"/>
                <w:noProof/>
                <w:webHidden/>
                <w:sz w:val="24"/>
                <w:szCs w:val="24"/>
              </w:rPr>
              <w:fldChar w:fldCharType="end"/>
            </w:r>
          </w:hyperlink>
        </w:p>
        <w:p w14:paraId="310DDDD4" w14:textId="13745FDC"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0" w:history="1">
            <w:r w:rsidRPr="00CB60BE">
              <w:rPr>
                <w:rStyle w:val="Hyperlink"/>
                <w:rFonts w:ascii="Arial" w:hAnsi="Arial" w:cs="Arial"/>
                <w:i/>
                <w:iCs/>
                <w:noProof/>
                <w:sz w:val="24"/>
                <w:szCs w:val="24"/>
              </w:rPr>
              <w:t>1.3 Rationale for the Project</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_Toc213403110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5</w:t>
            </w:r>
            <w:r w:rsidRPr="00CB60BE">
              <w:rPr>
                <w:rFonts w:ascii="Arial" w:hAnsi="Arial" w:cs="Arial"/>
                <w:noProof/>
                <w:webHidden/>
                <w:sz w:val="24"/>
                <w:szCs w:val="24"/>
              </w:rPr>
              <w:fldChar w:fldCharType="end"/>
            </w:r>
          </w:hyperlink>
        </w:p>
        <w:p w14:paraId="7C03C9A8" w14:textId="5226E148" w:rsidR="00B827B3" w:rsidRPr="00CB60BE"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11" w:history="1">
            <w:r w:rsidRPr="00CB60BE">
              <w:rPr>
                <w:rStyle w:val="Hyperlink"/>
                <w:rFonts w:ascii="Arial" w:hAnsi="Arial" w:cs="Arial"/>
                <w:noProof/>
                <w:sz w:val="24"/>
                <w:szCs w:val="24"/>
              </w:rPr>
              <w:t>2.0 Project Objectives (SMART Framework)</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_Toc213403111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6</w:t>
            </w:r>
            <w:r w:rsidRPr="00CB60BE">
              <w:rPr>
                <w:rFonts w:ascii="Arial" w:hAnsi="Arial" w:cs="Arial"/>
                <w:noProof/>
                <w:webHidden/>
                <w:sz w:val="24"/>
                <w:szCs w:val="24"/>
              </w:rPr>
              <w:fldChar w:fldCharType="end"/>
            </w:r>
          </w:hyperlink>
        </w:p>
        <w:p w14:paraId="385C2259" w14:textId="071DB9A4" w:rsidR="00B827B3" w:rsidRPr="00723C16"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12" w:history="1">
            <w:r w:rsidRPr="00723C16">
              <w:rPr>
                <w:rStyle w:val="Hyperlink"/>
                <w:rFonts w:ascii="Arial" w:hAnsi="Arial" w:cs="Arial"/>
                <w:noProof/>
                <w:sz w:val="24"/>
                <w:szCs w:val="24"/>
              </w:rPr>
              <w:t>This section presents the project objectives through the SMART framework — Specific, Measurable, Achievable, Relevant and Time-bound. Applying this model helps ensure that stakeholder engagement and the product launch for Owen Mumford Ltd are clearly defined, realistic and aligned with the company’s overall strategic goals.</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_Toc213403112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6</w:t>
            </w:r>
            <w:r w:rsidRPr="00723C16">
              <w:rPr>
                <w:rFonts w:ascii="Arial" w:hAnsi="Arial" w:cs="Arial"/>
                <w:noProof/>
                <w:webHidden/>
                <w:sz w:val="24"/>
                <w:szCs w:val="24"/>
              </w:rPr>
              <w:fldChar w:fldCharType="end"/>
            </w:r>
          </w:hyperlink>
        </w:p>
        <w:p w14:paraId="419E94F6" w14:textId="11425D6A"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3" w:history="1">
            <w:r w:rsidRPr="00723C16">
              <w:rPr>
                <w:rStyle w:val="Hyperlink"/>
                <w:rFonts w:ascii="Arial" w:hAnsi="Arial" w:cs="Arial"/>
                <w:i/>
                <w:iCs/>
                <w:noProof/>
                <w:sz w:val="24"/>
                <w:szCs w:val="24"/>
              </w:rPr>
              <w:t>2.1 Project Purpose</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_Toc213403113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6</w:t>
            </w:r>
            <w:r w:rsidRPr="00723C16">
              <w:rPr>
                <w:rFonts w:ascii="Arial" w:hAnsi="Arial" w:cs="Arial"/>
                <w:noProof/>
                <w:webHidden/>
                <w:sz w:val="24"/>
                <w:szCs w:val="24"/>
              </w:rPr>
              <w:fldChar w:fldCharType="end"/>
            </w:r>
          </w:hyperlink>
        </w:p>
        <w:p w14:paraId="7BC57908" w14:textId="2114FF9E"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4" w:history="1">
            <w:r w:rsidRPr="00723C16">
              <w:rPr>
                <w:rStyle w:val="Hyperlink"/>
                <w:rFonts w:ascii="Arial" w:hAnsi="Arial" w:cs="Arial"/>
                <w:noProof/>
                <w:sz w:val="24"/>
                <w:szCs w:val="24"/>
              </w:rPr>
              <w:t>The main purpose of this initiative is to successfully launch a new wearable health device capable of monitoring heart rate, oxygen saturation and sleep patterns within a six-month timeframe. The project seeks to reinforce Owen Mumford Ltd’s pos</w:t>
            </w:r>
            <w:r w:rsidRPr="00723C16">
              <w:rPr>
                <w:rStyle w:val="Hyperlink"/>
                <w:rFonts w:ascii="Arial" w:hAnsi="Arial" w:cs="Arial"/>
                <w:noProof/>
                <w:sz w:val="24"/>
                <w:szCs w:val="24"/>
              </w:rPr>
              <w:t>i</w:t>
            </w:r>
            <w:r w:rsidRPr="00723C16">
              <w:rPr>
                <w:rStyle w:val="Hyperlink"/>
                <w:rFonts w:ascii="Arial" w:hAnsi="Arial" w:cs="Arial"/>
                <w:noProof/>
                <w:sz w:val="24"/>
                <w:szCs w:val="24"/>
              </w:rPr>
              <w:t>tion in the medical technology market by emphasising innovation, collaboration and sustainable practices. As the project manager, the key responsibility is to design and implement an effective stakeholder engagement plan that promotes communication, trust and accountability among all involved parties — including R&amp;D, marketing, sales, suppliers, healthcare professionals and end users.</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_Toc213403114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6</w:t>
            </w:r>
            <w:r w:rsidRPr="00723C16">
              <w:rPr>
                <w:rFonts w:ascii="Arial" w:hAnsi="Arial" w:cs="Arial"/>
                <w:noProof/>
                <w:webHidden/>
                <w:sz w:val="24"/>
                <w:szCs w:val="24"/>
              </w:rPr>
              <w:fldChar w:fldCharType="end"/>
            </w:r>
          </w:hyperlink>
        </w:p>
        <w:p w14:paraId="61C115AD" w14:textId="1C134FA1"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5" w:history="1">
            <w:r w:rsidRPr="00723C16">
              <w:rPr>
                <w:rStyle w:val="Hyperlink"/>
                <w:rFonts w:ascii="Arial" w:hAnsi="Arial" w:cs="Arial"/>
                <w:noProof/>
                <w:sz w:val="24"/>
                <w:szCs w:val="24"/>
              </w:rPr>
              <w:t>Strong engagement will enable the project team to understand stakeholder expectations, reduce potential conflicts and ensure that all departments work cohesively towards the common goal of delivering a safe, high-quality and user-friendly health-monitoring product.</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_Toc213403115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6</w:t>
            </w:r>
            <w:r w:rsidRPr="00723C16">
              <w:rPr>
                <w:rFonts w:ascii="Arial" w:hAnsi="Arial" w:cs="Arial"/>
                <w:noProof/>
                <w:webHidden/>
                <w:sz w:val="24"/>
                <w:szCs w:val="24"/>
              </w:rPr>
              <w:fldChar w:fldCharType="end"/>
            </w:r>
          </w:hyperlink>
        </w:p>
        <w:p w14:paraId="47696BBC" w14:textId="30B6117C"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6" w:history="1">
            <w:r w:rsidRPr="00723C16">
              <w:rPr>
                <w:rStyle w:val="Hyperlink"/>
                <w:rFonts w:ascii="Arial" w:hAnsi="Arial" w:cs="Arial"/>
                <w:i/>
                <w:iCs/>
                <w:noProof/>
                <w:sz w:val="24"/>
                <w:szCs w:val="24"/>
              </w:rPr>
              <w:t>2.2 SMART O</w:t>
            </w:r>
            <w:r w:rsidRPr="00723C16">
              <w:rPr>
                <w:rStyle w:val="Hyperlink"/>
                <w:rFonts w:ascii="Arial" w:hAnsi="Arial" w:cs="Arial"/>
                <w:i/>
                <w:iCs/>
                <w:noProof/>
                <w:sz w:val="24"/>
                <w:szCs w:val="24"/>
              </w:rPr>
              <w:t>b</w:t>
            </w:r>
            <w:r w:rsidRPr="00723C16">
              <w:rPr>
                <w:rStyle w:val="Hyperlink"/>
                <w:rFonts w:ascii="Arial" w:hAnsi="Arial" w:cs="Arial"/>
                <w:i/>
                <w:iCs/>
                <w:noProof/>
                <w:sz w:val="24"/>
                <w:szCs w:val="24"/>
              </w:rPr>
              <w:t>jectives Table</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_Toc213403116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7</w:t>
            </w:r>
            <w:r w:rsidRPr="00723C16">
              <w:rPr>
                <w:rFonts w:ascii="Arial" w:hAnsi="Arial" w:cs="Arial"/>
                <w:noProof/>
                <w:webHidden/>
                <w:sz w:val="24"/>
                <w:szCs w:val="24"/>
              </w:rPr>
              <w:fldChar w:fldCharType="end"/>
            </w:r>
          </w:hyperlink>
        </w:p>
        <w:p w14:paraId="484E3C28" w14:textId="75B0C4B0" w:rsidR="00B827B3" w:rsidRPr="00723C16" w:rsidRDefault="00B827B3" w:rsidP="00C03258">
          <w:pPr>
            <w:pStyle w:val="TOC3"/>
            <w:tabs>
              <w:tab w:val="right" w:leader="dot" w:pos="9016"/>
            </w:tabs>
            <w:rPr>
              <w:rFonts w:ascii="Arial" w:hAnsi="Arial" w:cs="Arial"/>
              <w:noProof/>
              <w:sz w:val="24"/>
              <w:szCs w:val="24"/>
            </w:rPr>
          </w:pPr>
          <w:hyperlink w:anchor="_Toc213403117" w:history="1">
            <w:r w:rsidRPr="00723C16">
              <w:rPr>
                <w:rStyle w:val="Hyperlink"/>
                <w:rFonts w:ascii="Arial" w:hAnsi="Arial" w:cs="Arial"/>
                <w:i/>
                <w:iCs/>
                <w:noProof/>
                <w:sz w:val="24"/>
                <w:szCs w:val="24"/>
              </w:rPr>
              <w:t>2.3 Key Performance Indicators (KPIs)</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_Toc213403117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8</w:t>
            </w:r>
            <w:r w:rsidRPr="00723C16">
              <w:rPr>
                <w:rFonts w:ascii="Arial" w:hAnsi="Arial" w:cs="Arial"/>
                <w:noProof/>
                <w:webHidden/>
                <w:sz w:val="24"/>
                <w:szCs w:val="24"/>
              </w:rPr>
              <w:fldChar w:fldCharType="end"/>
            </w:r>
          </w:hyperlink>
        </w:p>
        <w:p w14:paraId="7C66ACFC" w14:textId="76432DA1"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8" w:history="1">
            <w:r w:rsidRPr="00723C16">
              <w:rPr>
                <w:rStyle w:val="Hyperlink"/>
                <w:rFonts w:ascii="Arial" w:hAnsi="Arial" w:cs="Arial"/>
                <w:i/>
                <w:iCs/>
                <w:noProof/>
                <w:sz w:val="24"/>
                <w:szCs w:val="24"/>
              </w:rPr>
              <w:t>3.2 Stakeholder</w:t>
            </w:r>
            <w:r w:rsidRPr="00723C16">
              <w:rPr>
                <w:rStyle w:val="Hyperlink"/>
                <w:rFonts w:ascii="Arial" w:hAnsi="Arial" w:cs="Arial"/>
                <w:i/>
                <w:iCs/>
                <w:noProof/>
                <w:sz w:val="24"/>
                <w:szCs w:val="24"/>
              </w:rPr>
              <w:t xml:space="preserve"> </w:t>
            </w:r>
            <w:r w:rsidRPr="00723C16">
              <w:rPr>
                <w:rStyle w:val="Hyperlink"/>
                <w:rFonts w:ascii="Arial" w:hAnsi="Arial" w:cs="Arial"/>
                <w:i/>
                <w:iCs/>
                <w:noProof/>
                <w:sz w:val="24"/>
                <w:szCs w:val="24"/>
              </w:rPr>
              <w:t>Roles, Benefits, and Challenges</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_Toc213403118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9</w:t>
            </w:r>
            <w:r w:rsidRPr="00723C16">
              <w:rPr>
                <w:rFonts w:ascii="Arial" w:hAnsi="Arial" w:cs="Arial"/>
                <w:noProof/>
                <w:webHidden/>
                <w:sz w:val="24"/>
                <w:szCs w:val="24"/>
              </w:rPr>
              <w:fldChar w:fldCharType="end"/>
            </w:r>
          </w:hyperlink>
        </w:p>
        <w:p w14:paraId="0A073351" w14:textId="01949EE1"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19" w:history="1">
            <w:r w:rsidRPr="00723C16">
              <w:rPr>
                <w:rStyle w:val="Hyperlink"/>
                <w:rFonts w:ascii="Arial" w:hAnsi="Arial" w:cs="Arial"/>
                <w:i/>
                <w:iCs/>
                <w:noProof/>
                <w:sz w:val="24"/>
                <w:szCs w:val="24"/>
              </w:rPr>
              <w:t>3.3 Stakeholder Mapping and Assessment (Mendelow’s Matrix)</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_Toc213403119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11</w:t>
            </w:r>
            <w:r w:rsidRPr="00723C16">
              <w:rPr>
                <w:rFonts w:ascii="Arial" w:hAnsi="Arial" w:cs="Arial"/>
                <w:noProof/>
                <w:webHidden/>
                <w:sz w:val="24"/>
                <w:szCs w:val="24"/>
              </w:rPr>
              <w:fldChar w:fldCharType="end"/>
            </w:r>
          </w:hyperlink>
        </w:p>
        <w:p w14:paraId="51484FF7" w14:textId="38C50A29" w:rsidR="00B827B3" w:rsidRPr="00723C16"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20" w:history="1">
            <w:r w:rsidRPr="00723C16">
              <w:rPr>
                <w:rStyle w:val="Hyperlink"/>
                <w:rFonts w:ascii="Arial" w:hAnsi="Arial" w:cs="Arial"/>
                <w:noProof/>
                <w:sz w:val="24"/>
                <w:szCs w:val="24"/>
              </w:rPr>
              <w:t>4.0 Managerial Roles in Stakeholder Engagement</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_Toc213403120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13</w:t>
            </w:r>
            <w:r w:rsidRPr="00723C16">
              <w:rPr>
                <w:rFonts w:ascii="Arial" w:hAnsi="Arial" w:cs="Arial"/>
                <w:noProof/>
                <w:webHidden/>
                <w:sz w:val="24"/>
                <w:szCs w:val="24"/>
              </w:rPr>
              <w:fldChar w:fldCharType="end"/>
            </w:r>
          </w:hyperlink>
        </w:p>
        <w:p w14:paraId="5E3090A5" w14:textId="436CE2E2"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1" w:history="1">
            <w:r w:rsidRPr="00723C16">
              <w:rPr>
                <w:rStyle w:val="Hyperlink"/>
                <w:rFonts w:ascii="Arial" w:hAnsi="Arial" w:cs="Arial"/>
                <w:i/>
                <w:iCs/>
                <w:noProof/>
                <w:sz w:val="24"/>
                <w:szCs w:val="24"/>
              </w:rPr>
              <w:t>4.1 Communication and Collaboration Plan</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_Toc213403121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13</w:t>
            </w:r>
            <w:r w:rsidRPr="00723C16">
              <w:rPr>
                <w:rFonts w:ascii="Arial" w:hAnsi="Arial" w:cs="Arial"/>
                <w:noProof/>
                <w:webHidden/>
                <w:sz w:val="24"/>
                <w:szCs w:val="24"/>
              </w:rPr>
              <w:fldChar w:fldCharType="end"/>
            </w:r>
          </w:hyperlink>
        </w:p>
        <w:p w14:paraId="0829E296" w14:textId="5C125791"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2" w:history="1">
            <w:r w:rsidRPr="00723C16">
              <w:rPr>
                <w:rStyle w:val="Hyperlink"/>
                <w:rFonts w:ascii="Arial" w:hAnsi="Arial" w:cs="Arial"/>
                <w:i/>
                <w:iCs/>
                <w:noProof/>
                <w:sz w:val="24"/>
                <w:szCs w:val="24"/>
              </w:rPr>
              <w:t>4.2 Engagement Levels and Participation</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_Toc213403122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14</w:t>
            </w:r>
            <w:r w:rsidRPr="00723C16">
              <w:rPr>
                <w:rFonts w:ascii="Arial" w:hAnsi="Arial" w:cs="Arial"/>
                <w:noProof/>
                <w:webHidden/>
                <w:sz w:val="24"/>
                <w:szCs w:val="24"/>
              </w:rPr>
              <w:fldChar w:fldCharType="end"/>
            </w:r>
          </w:hyperlink>
        </w:p>
        <w:p w14:paraId="49E64366" w14:textId="56FBE49B"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3" w:history="1">
            <w:r w:rsidRPr="00723C16">
              <w:rPr>
                <w:rStyle w:val="Hyperlink"/>
                <w:rFonts w:ascii="Arial" w:hAnsi="Arial" w:cs="Arial"/>
                <w:i/>
                <w:iCs/>
                <w:noProof/>
                <w:sz w:val="24"/>
                <w:szCs w:val="24"/>
              </w:rPr>
              <w:t>4.3 RACI Responsibility Matrix</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_Toc213403123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16</w:t>
            </w:r>
            <w:r w:rsidRPr="00723C16">
              <w:rPr>
                <w:rFonts w:ascii="Arial" w:hAnsi="Arial" w:cs="Arial"/>
                <w:noProof/>
                <w:webHidden/>
                <w:sz w:val="24"/>
                <w:szCs w:val="24"/>
              </w:rPr>
              <w:fldChar w:fldCharType="end"/>
            </w:r>
          </w:hyperlink>
        </w:p>
        <w:p w14:paraId="21B46EA8" w14:textId="3322B5C0" w:rsidR="00B827B3" w:rsidRPr="00723C16"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24" w:history="1">
            <w:r w:rsidRPr="00723C16">
              <w:rPr>
                <w:rStyle w:val="Hyperlink"/>
                <w:rFonts w:ascii="Arial" w:hAnsi="Arial" w:cs="Arial"/>
                <w:noProof/>
                <w:sz w:val="24"/>
                <w:szCs w:val="24"/>
              </w:rPr>
              <w:t>5.0 The Value of Stakeholder Engagement for Organisational Success</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_Toc213403124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18</w:t>
            </w:r>
            <w:r w:rsidRPr="00723C16">
              <w:rPr>
                <w:rFonts w:ascii="Arial" w:hAnsi="Arial" w:cs="Arial"/>
                <w:noProof/>
                <w:webHidden/>
                <w:sz w:val="24"/>
                <w:szCs w:val="24"/>
              </w:rPr>
              <w:fldChar w:fldCharType="end"/>
            </w:r>
          </w:hyperlink>
        </w:p>
        <w:p w14:paraId="2205EB44" w14:textId="77671667"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5" w:history="1">
            <w:r w:rsidRPr="00723C16">
              <w:rPr>
                <w:rStyle w:val="Hyperlink"/>
                <w:rFonts w:ascii="Arial" w:hAnsi="Arial" w:cs="Arial"/>
                <w:i/>
                <w:iCs/>
                <w:noProof/>
                <w:sz w:val="24"/>
                <w:szCs w:val="24"/>
              </w:rPr>
              <w:t>5.1 Importance and Theoretical Justification</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_Toc213403125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18</w:t>
            </w:r>
            <w:r w:rsidRPr="00723C16">
              <w:rPr>
                <w:rFonts w:ascii="Arial" w:hAnsi="Arial" w:cs="Arial"/>
                <w:noProof/>
                <w:webHidden/>
                <w:sz w:val="24"/>
                <w:szCs w:val="24"/>
              </w:rPr>
              <w:fldChar w:fldCharType="end"/>
            </w:r>
          </w:hyperlink>
        </w:p>
        <w:p w14:paraId="581F4713" w14:textId="7357B08A" w:rsidR="00B827B3" w:rsidRPr="00723C16"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6" w:history="1">
            <w:r w:rsidRPr="00723C16">
              <w:rPr>
                <w:rStyle w:val="Hyperlink"/>
                <w:rFonts w:ascii="Arial" w:hAnsi="Arial" w:cs="Arial"/>
                <w:i/>
                <w:iCs/>
                <w:noProof/>
                <w:sz w:val="24"/>
                <w:szCs w:val="24"/>
              </w:rPr>
              <w:t>5.2 Impact on Performance and Sustainability</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_Toc213403126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18</w:t>
            </w:r>
            <w:r w:rsidRPr="00723C16">
              <w:rPr>
                <w:rFonts w:ascii="Arial" w:hAnsi="Arial" w:cs="Arial"/>
                <w:noProof/>
                <w:webHidden/>
                <w:sz w:val="24"/>
                <w:szCs w:val="24"/>
              </w:rPr>
              <w:fldChar w:fldCharType="end"/>
            </w:r>
          </w:hyperlink>
        </w:p>
        <w:p w14:paraId="42F686A8" w14:textId="1077D780" w:rsidR="00B827B3" w:rsidRPr="00723C16"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27" w:history="1">
            <w:r w:rsidRPr="00723C16">
              <w:rPr>
                <w:rStyle w:val="Hyperlink"/>
                <w:rFonts w:ascii="Arial" w:hAnsi="Arial" w:cs="Arial"/>
                <w:noProof/>
                <w:sz w:val="24"/>
                <w:szCs w:val="24"/>
              </w:rPr>
              <w:t>6.0 Strategic Recommendations for Enhanced Engagement</w:t>
            </w:r>
            <w:r w:rsidRPr="00723C16">
              <w:rPr>
                <w:rFonts w:ascii="Arial" w:hAnsi="Arial" w:cs="Arial"/>
                <w:noProof/>
                <w:webHidden/>
                <w:sz w:val="24"/>
                <w:szCs w:val="24"/>
              </w:rPr>
              <w:tab/>
            </w:r>
            <w:r w:rsidRPr="00723C16">
              <w:rPr>
                <w:rFonts w:ascii="Arial" w:hAnsi="Arial" w:cs="Arial"/>
                <w:noProof/>
                <w:webHidden/>
                <w:sz w:val="24"/>
                <w:szCs w:val="24"/>
              </w:rPr>
              <w:fldChar w:fldCharType="begin"/>
            </w:r>
            <w:r w:rsidRPr="00723C16">
              <w:rPr>
                <w:rFonts w:ascii="Arial" w:hAnsi="Arial" w:cs="Arial"/>
                <w:noProof/>
                <w:webHidden/>
                <w:sz w:val="24"/>
                <w:szCs w:val="24"/>
              </w:rPr>
              <w:instrText xml:space="preserve"> PAGEREF _Toc213403127 \h </w:instrText>
            </w:r>
            <w:r w:rsidRPr="00723C16">
              <w:rPr>
                <w:rFonts w:ascii="Arial" w:hAnsi="Arial" w:cs="Arial"/>
                <w:noProof/>
                <w:webHidden/>
                <w:sz w:val="24"/>
                <w:szCs w:val="24"/>
              </w:rPr>
            </w:r>
            <w:r w:rsidRPr="00723C16">
              <w:rPr>
                <w:rFonts w:ascii="Arial" w:hAnsi="Arial" w:cs="Arial"/>
                <w:noProof/>
                <w:webHidden/>
                <w:sz w:val="24"/>
                <w:szCs w:val="24"/>
              </w:rPr>
              <w:fldChar w:fldCharType="separate"/>
            </w:r>
            <w:r w:rsidR="00C03258">
              <w:rPr>
                <w:rFonts w:ascii="Arial" w:hAnsi="Arial" w:cs="Arial"/>
                <w:noProof/>
                <w:webHidden/>
                <w:sz w:val="24"/>
                <w:szCs w:val="24"/>
              </w:rPr>
              <w:t>19</w:t>
            </w:r>
            <w:r w:rsidRPr="00723C16">
              <w:rPr>
                <w:rFonts w:ascii="Arial" w:hAnsi="Arial" w:cs="Arial"/>
                <w:noProof/>
                <w:webHidden/>
                <w:sz w:val="24"/>
                <w:szCs w:val="24"/>
              </w:rPr>
              <w:fldChar w:fldCharType="end"/>
            </w:r>
          </w:hyperlink>
        </w:p>
        <w:p w14:paraId="0698C44F" w14:textId="00704679"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28" w:history="1">
            <w:r w:rsidRPr="00CB60BE">
              <w:rPr>
                <w:rStyle w:val="Hyperlink"/>
                <w:rFonts w:ascii="Arial" w:hAnsi="Arial" w:cs="Arial"/>
                <w:i/>
                <w:iCs/>
                <w:noProof/>
                <w:sz w:val="24"/>
                <w:szCs w:val="24"/>
              </w:rPr>
              <w:t>6.1 Internal Strategies</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_Toc213403128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19</w:t>
            </w:r>
            <w:r w:rsidRPr="00CB60BE">
              <w:rPr>
                <w:rFonts w:ascii="Arial" w:hAnsi="Arial" w:cs="Arial"/>
                <w:noProof/>
                <w:webHidden/>
                <w:sz w:val="24"/>
                <w:szCs w:val="24"/>
              </w:rPr>
              <w:fldChar w:fldCharType="end"/>
            </w:r>
          </w:hyperlink>
        </w:p>
        <w:p w14:paraId="2DAFC60B" w14:textId="7E4DF04C" w:rsidR="00B827B3" w:rsidRPr="00CB60BE" w:rsidRDefault="00B827B3" w:rsidP="00B827B3">
          <w:pPr>
            <w:pStyle w:val="TOC3"/>
            <w:tabs>
              <w:tab w:val="left" w:pos="660"/>
              <w:tab w:val="right" w:leader="dot" w:pos="9016"/>
            </w:tabs>
            <w:rPr>
              <w:rFonts w:ascii="Arial" w:hAnsi="Arial" w:cs="Arial"/>
              <w:noProof/>
              <w:kern w:val="2"/>
              <w:sz w:val="24"/>
              <w:szCs w:val="24"/>
              <w:lang w:eastAsia="en-GB"/>
              <w14:ligatures w14:val="standardContextual"/>
            </w:rPr>
          </w:pPr>
          <w:hyperlink w:anchor="_Toc213403129" w:history="1">
            <w:r w:rsidRPr="00CB60BE">
              <w:rPr>
                <w:rStyle w:val="Hyperlink"/>
                <w:rFonts w:ascii="Arial" w:hAnsi="Arial" w:cs="Arial"/>
                <w:i/>
                <w:iCs/>
                <w:noProof/>
                <w:sz w:val="24"/>
                <w:szCs w:val="24"/>
              </w:rPr>
              <w:t>5.</w:t>
            </w:r>
            <w:r w:rsidRPr="00CB60BE">
              <w:rPr>
                <w:rFonts w:ascii="Arial" w:hAnsi="Arial" w:cs="Arial"/>
                <w:noProof/>
                <w:kern w:val="2"/>
                <w:sz w:val="24"/>
                <w:szCs w:val="24"/>
                <w:lang w:eastAsia="en-GB"/>
                <w14:ligatures w14:val="standardContextual"/>
              </w:rPr>
              <w:tab/>
            </w:r>
            <w:r w:rsidRPr="00CB60BE">
              <w:rPr>
                <w:rStyle w:val="Hyperlink"/>
                <w:rFonts w:ascii="Arial" w:hAnsi="Arial" w:cs="Arial"/>
                <w:i/>
                <w:iCs/>
                <w:noProof/>
                <w:sz w:val="24"/>
                <w:szCs w:val="24"/>
              </w:rPr>
              <w:t>Maintaining Transparent Investor and Shareholder Communication</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_Toc213403129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21</w:t>
            </w:r>
            <w:r w:rsidRPr="00CB60BE">
              <w:rPr>
                <w:rFonts w:ascii="Arial" w:hAnsi="Arial" w:cs="Arial"/>
                <w:noProof/>
                <w:webHidden/>
                <w:sz w:val="24"/>
                <w:szCs w:val="24"/>
              </w:rPr>
              <w:fldChar w:fldCharType="end"/>
            </w:r>
          </w:hyperlink>
        </w:p>
        <w:p w14:paraId="4B4D6871" w14:textId="555538BE"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30" w:history="1">
            <w:r w:rsidRPr="00CB60BE">
              <w:rPr>
                <w:rStyle w:val="Hyperlink"/>
                <w:rFonts w:ascii="Arial" w:hAnsi="Arial" w:cs="Arial"/>
                <w:noProof/>
                <w:sz w:val="24"/>
                <w:szCs w:val="24"/>
              </w:rPr>
              <w:t>Investors require consistent and accurate reporting on project progress, financial outcomes and market potential. Quarterly stakeholder reports and presentations can strengthen investor confidence and attract additional funding. Public transparency also enhances brand reputation and demonstrates corporate accountability.</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_Toc213403130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21</w:t>
            </w:r>
            <w:r w:rsidRPr="00CB60BE">
              <w:rPr>
                <w:rFonts w:ascii="Arial" w:hAnsi="Arial" w:cs="Arial"/>
                <w:noProof/>
                <w:webHidden/>
                <w:sz w:val="24"/>
                <w:szCs w:val="24"/>
              </w:rPr>
              <w:fldChar w:fldCharType="end"/>
            </w:r>
          </w:hyperlink>
        </w:p>
        <w:p w14:paraId="73AC85B9" w14:textId="4E6F8884" w:rsidR="00B827B3" w:rsidRPr="00CB60BE" w:rsidRDefault="00B827B3" w:rsidP="00B827B3">
          <w:pPr>
            <w:pStyle w:val="TOC3"/>
            <w:tabs>
              <w:tab w:val="left" w:pos="660"/>
              <w:tab w:val="right" w:leader="dot" w:pos="9016"/>
            </w:tabs>
            <w:rPr>
              <w:rFonts w:ascii="Arial" w:hAnsi="Arial" w:cs="Arial"/>
              <w:noProof/>
              <w:kern w:val="2"/>
              <w:sz w:val="24"/>
              <w:szCs w:val="24"/>
              <w:lang w:eastAsia="en-GB"/>
              <w14:ligatures w14:val="standardContextual"/>
            </w:rPr>
          </w:pPr>
          <w:hyperlink w:anchor="_Toc213403131" w:history="1">
            <w:r w:rsidRPr="00CB60BE">
              <w:rPr>
                <w:rStyle w:val="Hyperlink"/>
                <w:rFonts w:ascii="Arial" w:hAnsi="Arial" w:cs="Arial"/>
                <w:i/>
                <w:iCs/>
                <w:noProof/>
                <w:sz w:val="24"/>
                <w:szCs w:val="24"/>
              </w:rPr>
              <w:t>6.</w:t>
            </w:r>
            <w:r w:rsidRPr="00CB60BE">
              <w:rPr>
                <w:rFonts w:ascii="Arial" w:hAnsi="Arial" w:cs="Arial"/>
                <w:noProof/>
                <w:kern w:val="2"/>
                <w:sz w:val="24"/>
                <w:szCs w:val="24"/>
                <w:lang w:eastAsia="en-GB"/>
                <w14:ligatures w14:val="standardContextual"/>
              </w:rPr>
              <w:tab/>
            </w:r>
            <w:r w:rsidRPr="00CB60BE">
              <w:rPr>
                <w:rStyle w:val="Hyperlink"/>
                <w:rFonts w:ascii="Arial" w:hAnsi="Arial" w:cs="Arial"/>
                <w:i/>
                <w:iCs/>
                <w:noProof/>
                <w:sz w:val="24"/>
                <w:szCs w:val="24"/>
              </w:rPr>
              <w:t>Promoting Corporate Social Responsibility (CSR) Initiatives</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_Toc213403131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21</w:t>
            </w:r>
            <w:r w:rsidRPr="00CB60BE">
              <w:rPr>
                <w:rFonts w:ascii="Arial" w:hAnsi="Arial" w:cs="Arial"/>
                <w:noProof/>
                <w:webHidden/>
                <w:sz w:val="24"/>
                <w:szCs w:val="24"/>
              </w:rPr>
              <w:fldChar w:fldCharType="end"/>
            </w:r>
          </w:hyperlink>
        </w:p>
        <w:p w14:paraId="3C92FFC5" w14:textId="33BD18B8"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32" w:history="1">
            <w:r w:rsidRPr="00CB60BE">
              <w:rPr>
                <w:rStyle w:val="Hyperlink"/>
                <w:rFonts w:ascii="Arial" w:hAnsi="Arial" w:cs="Arial"/>
                <w:noProof/>
                <w:sz w:val="24"/>
                <w:szCs w:val="24"/>
              </w:rPr>
              <w:t>Participating in CSR programmes — such as donating devices to healthcare charities or supporting public wellness campaigns — can reinforce Owen Mumford’s ethical image. CSR initiatives foster goodwill, strengthen brand identity and align with the company’s sustainability mission of “Making a World of Difference.”</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_Toc213403132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21</w:t>
            </w:r>
            <w:r w:rsidRPr="00CB60BE">
              <w:rPr>
                <w:rFonts w:ascii="Arial" w:hAnsi="Arial" w:cs="Arial"/>
                <w:noProof/>
                <w:webHidden/>
                <w:sz w:val="24"/>
                <w:szCs w:val="24"/>
              </w:rPr>
              <w:fldChar w:fldCharType="end"/>
            </w:r>
          </w:hyperlink>
        </w:p>
        <w:p w14:paraId="6E6B0241" w14:textId="1AA983C6"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33" w:history="1">
            <w:r w:rsidRPr="00CB60BE">
              <w:rPr>
                <w:rStyle w:val="Hyperlink"/>
                <w:rFonts w:ascii="Arial" w:hAnsi="Arial" w:cs="Arial"/>
                <w:noProof/>
                <w:sz w:val="24"/>
                <w:szCs w:val="24"/>
              </w:rPr>
              <w:t>By applying these external strategies, Owen Mumford Ltd can build sustainable partnerships, ensure ethical compliance and create long-term stakeholder value. This collaborative ecosystem not only supports the successful launch of the wearable health device but also consolidates the company’s position as a global leader in responsible and innovative healthcare solutions.</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_Toc213403133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21</w:t>
            </w:r>
            <w:r w:rsidRPr="00CB60BE">
              <w:rPr>
                <w:rFonts w:ascii="Arial" w:hAnsi="Arial" w:cs="Arial"/>
                <w:noProof/>
                <w:webHidden/>
                <w:sz w:val="24"/>
                <w:szCs w:val="24"/>
              </w:rPr>
              <w:fldChar w:fldCharType="end"/>
            </w:r>
          </w:hyperlink>
        </w:p>
        <w:p w14:paraId="1A4261B7" w14:textId="19B993CB" w:rsidR="00B827B3" w:rsidRPr="00CB60BE" w:rsidRDefault="00B827B3" w:rsidP="00B827B3">
          <w:pPr>
            <w:pStyle w:val="TOC2"/>
            <w:tabs>
              <w:tab w:val="right" w:leader="dot" w:pos="9016"/>
            </w:tabs>
            <w:rPr>
              <w:rFonts w:ascii="Arial" w:hAnsi="Arial" w:cs="Arial"/>
              <w:i w:val="0"/>
              <w:iCs w:val="0"/>
              <w:noProof/>
              <w:kern w:val="2"/>
              <w:sz w:val="24"/>
              <w:szCs w:val="24"/>
              <w:lang w:eastAsia="en-GB"/>
              <w14:ligatures w14:val="standardContextual"/>
            </w:rPr>
          </w:pPr>
          <w:hyperlink w:anchor="_Toc213403134" w:history="1">
            <w:r w:rsidRPr="00CB60BE">
              <w:rPr>
                <w:rStyle w:val="Hyperlink"/>
                <w:rFonts w:ascii="Arial" w:hAnsi="Arial" w:cs="Arial"/>
                <w:noProof/>
                <w:sz w:val="24"/>
                <w:szCs w:val="24"/>
              </w:rPr>
              <w:t>7.0 Conclusion</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_Toc213403134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22</w:t>
            </w:r>
            <w:r w:rsidRPr="00CB60BE">
              <w:rPr>
                <w:rFonts w:ascii="Arial" w:hAnsi="Arial" w:cs="Arial"/>
                <w:noProof/>
                <w:webHidden/>
                <w:sz w:val="24"/>
                <w:szCs w:val="24"/>
              </w:rPr>
              <w:fldChar w:fldCharType="end"/>
            </w:r>
          </w:hyperlink>
        </w:p>
        <w:p w14:paraId="7FAB64BF" w14:textId="45D3997E" w:rsidR="00B827B3" w:rsidRPr="00CB60BE" w:rsidRDefault="00B827B3" w:rsidP="00B827B3">
          <w:pPr>
            <w:pStyle w:val="TOC3"/>
            <w:tabs>
              <w:tab w:val="right" w:leader="dot" w:pos="9016"/>
            </w:tabs>
            <w:rPr>
              <w:rFonts w:ascii="Arial" w:hAnsi="Arial" w:cs="Arial"/>
              <w:noProof/>
              <w:kern w:val="2"/>
              <w:sz w:val="24"/>
              <w:szCs w:val="24"/>
              <w:lang w:eastAsia="en-GB"/>
              <w14:ligatures w14:val="standardContextual"/>
            </w:rPr>
          </w:pPr>
          <w:hyperlink w:anchor="_Toc213403135" w:history="1">
            <w:r w:rsidRPr="00CB60BE">
              <w:rPr>
                <w:rStyle w:val="Hyperlink"/>
                <w:rFonts w:ascii="Arial" w:hAnsi="Arial" w:cs="Arial"/>
                <w:b/>
                <w:bCs/>
                <w:i/>
                <w:iCs/>
                <w:noProof/>
                <w:sz w:val="24"/>
                <w:szCs w:val="24"/>
              </w:rPr>
              <w:t>References</w:t>
            </w:r>
            <w:r w:rsidRPr="00CB60BE">
              <w:rPr>
                <w:rFonts w:ascii="Arial" w:hAnsi="Arial" w:cs="Arial"/>
                <w:noProof/>
                <w:webHidden/>
                <w:sz w:val="24"/>
                <w:szCs w:val="24"/>
              </w:rPr>
              <w:tab/>
            </w:r>
            <w:r w:rsidRPr="00CB60BE">
              <w:rPr>
                <w:rFonts w:ascii="Arial" w:hAnsi="Arial" w:cs="Arial"/>
                <w:noProof/>
                <w:webHidden/>
                <w:sz w:val="24"/>
                <w:szCs w:val="24"/>
              </w:rPr>
              <w:fldChar w:fldCharType="begin"/>
            </w:r>
            <w:r w:rsidRPr="00CB60BE">
              <w:rPr>
                <w:rFonts w:ascii="Arial" w:hAnsi="Arial" w:cs="Arial"/>
                <w:noProof/>
                <w:webHidden/>
                <w:sz w:val="24"/>
                <w:szCs w:val="24"/>
              </w:rPr>
              <w:instrText xml:space="preserve"> PAGEREF _Toc213403135 \h </w:instrText>
            </w:r>
            <w:r w:rsidRPr="00CB60BE">
              <w:rPr>
                <w:rFonts w:ascii="Arial" w:hAnsi="Arial" w:cs="Arial"/>
                <w:noProof/>
                <w:webHidden/>
                <w:sz w:val="24"/>
                <w:szCs w:val="24"/>
              </w:rPr>
            </w:r>
            <w:r w:rsidRPr="00CB60BE">
              <w:rPr>
                <w:rFonts w:ascii="Arial" w:hAnsi="Arial" w:cs="Arial"/>
                <w:noProof/>
                <w:webHidden/>
                <w:sz w:val="24"/>
                <w:szCs w:val="24"/>
              </w:rPr>
              <w:fldChar w:fldCharType="separate"/>
            </w:r>
            <w:r w:rsidR="00C03258">
              <w:rPr>
                <w:rFonts w:ascii="Arial" w:hAnsi="Arial" w:cs="Arial"/>
                <w:noProof/>
                <w:webHidden/>
                <w:sz w:val="24"/>
                <w:szCs w:val="24"/>
              </w:rPr>
              <w:t>23</w:t>
            </w:r>
            <w:r w:rsidRPr="00CB60BE">
              <w:rPr>
                <w:rFonts w:ascii="Arial" w:hAnsi="Arial" w:cs="Arial"/>
                <w:noProof/>
                <w:webHidden/>
                <w:sz w:val="24"/>
                <w:szCs w:val="24"/>
              </w:rPr>
              <w:fldChar w:fldCharType="end"/>
            </w:r>
          </w:hyperlink>
        </w:p>
        <w:p w14:paraId="6D44E739" w14:textId="77777777" w:rsidR="00B827B3" w:rsidRDefault="00B827B3" w:rsidP="00B827B3">
          <w:pPr>
            <w:rPr>
              <w:rFonts w:ascii="Arial" w:hAnsi="Arial" w:cs="Arial"/>
              <w:noProof/>
              <w:sz w:val="24"/>
              <w:szCs w:val="24"/>
            </w:rPr>
          </w:pPr>
          <w:r w:rsidRPr="00CB60BE">
            <w:rPr>
              <w:rFonts w:ascii="Arial" w:hAnsi="Arial" w:cs="Arial"/>
              <w:b/>
              <w:bCs/>
              <w:noProof/>
              <w:sz w:val="24"/>
              <w:szCs w:val="24"/>
            </w:rPr>
            <w:fldChar w:fldCharType="end"/>
          </w:r>
        </w:p>
      </w:sdtContent>
    </w:sdt>
    <w:p w14:paraId="677B3529" w14:textId="77777777" w:rsidR="00393113" w:rsidRPr="000B5DE4" w:rsidRDefault="00393113" w:rsidP="19DF5ED4">
      <w:pPr>
        <w:spacing w:line="600" w:lineRule="auto"/>
        <w:rPr>
          <w:rFonts w:ascii="Arial" w:hAnsi="Arial" w:cs="Arial"/>
          <w:i/>
          <w:iCs/>
          <w:sz w:val="24"/>
          <w:szCs w:val="24"/>
        </w:rPr>
      </w:pPr>
    </w:p>
    <w:bookmarkEnd w:id="1"/>
    <w:p w14:paraId="419814AD" w14:textId="77777777" w:rsidR="00393113" w:rsidRPr="000B5DE4" w:rsidRDefault="00393113" w:rsidP="19DF5ED4">
      <w:pPr>
        <w:spacing w:line="600" w:lineRule="auto"/>
        <w:rPr>
          <w:rFonts w:ascii="Arial" w:hAnsi="Arial" w:cs="Arial"/>
          <w:i/>
          <w:iCs/>
          <w:sz w:val="24"/>
          <w:szCs w:val="24"/>
        </w:rPr>
      </w:pPr>
    </w:p>
    <w:p w14:paraId="6E1A449B" w14:textId="77777777" w:rsidR="00393113" w:rsidRPr="000B5DE4" w:rsidRDefault="00393113" w:rsidP="19DF5ED4">
      <w:pPr>
        <w:spacing w:line="600" w:lineRule="auto"/>
        <w:rPr>
          <w:rFonts w:ascii="Arial" w:hAnsi="Arial" w:cs="Arial"/>
          <w:i/>
          <w:iCs/>
          <w:sz w:val="24"/>
          <w:szCs w:val="24"/>
        </w:rPr>
      </w:pPr>
    </w:p>
    <w:p w14:paraId="48A12DF4" w14:textId="3BDA537D" w:rsidR="19DF5ED4" w:rsidRPr="000B5DE4" w:rsidRDefault="19DF5ED4" w:rsidP="19DF5ED4">
      <w:pPr>
        <w:spacing w:line="600" w:lineRule="auto"/>
        <w:rPr>
          <w:rFonts w:ascii="Arial" w:hAnsi="Arial" w:cs="Arial"/>
          <w:b/>
          <w:bCs/>
          <w:i/>
          <w:iCs/>
          <w:sz w:val="24"/>
          <w:szCs w:val="24"/>
        </w:rPr>
      </w:pPr>
    </w:p>
    <w:bookmarkEnd w:id="2"/>
    <w:p w14:paraId="370220B7" w14:textId="77777777" w:rsidR="00D35718" w:rsidRDefault="00D35718" w:rsidP="7BE34210">
      <w:pPr>
        <w:pStyle w:val="Heading2"/>
        <w:spacing w:line="600" w:lineRule="auto"/>
        <w:rPr>
          <w:rFonts w:ascii="Arial" w:hAnsi="Arial" w:cs="Arial"/>
          <w:i/>
          <w:sz w:val="24"/>
          <w:szCs w:val="24"/>
        </w:rPr>
      </w:pPr>
    </w:p>
    <w:p w14:paraId="7B61F898" w14:textId="77777777" w:rsidR="00772398" w:rsidRDefault="00772398" w:rsidP="7BE34210">
      <w:pPr>
        <w:pStyle w:val="Heading2"/>
        <w:spacing w:line="600" w:lineRule="auto"/>
        <w:rPr>
          <w:rFonts w:ascii="Arial" w:hAnsi="Arial" w:cs="Arial"/>
          <w:i/>
          <w:sz w:val="24"/>
          <w:szCs w:val="24"/>
        </w:rPr>
      </w:pPr>
    </w:p>
    <w:p w14:paraId="3874DCF7" w14:textId="77777777" w:rsidR="00751BCD" w:rsidRDefault="00751BCD" w:rsidP="007E346C">
      <w:pPr>
        <w:pStyle w:val="Heading2"/>
        <w:rPr>
          <w:rStyle w:val="s1"/>
          <w:rFonts w:ascii="Arial" w:hAnsi="Arial" w:cs="Arial"/>
          <w:sz w:val="24"/>
          <w:szCs w:val="24"/>
        </w:rPr>
      </w:pPr>
    </w:p>
    <w:p w14:paraId="4F33CEB3" w14:textId="77777777" w:rsidR="00EB3FB4" w:rsidRDefault="00EB3FB4" w:rsidP="00D35718">
      <w:pPr>
        <w:pStyle w:val="Heading2"/>
        <w:rPr>
          <w:rStyle w:val="s1"/>
          <w:rFonts w:ascii="Arial" w:hAnsi="Arial" w:cs="Arial"/>
          <w:sz w:val="24"/>
          <w:szCs w:val="24"/>
        </w:rPr>
      </w:pPr>
      <w:bookmarkStart w:id="3" w:name="_Toc213403108"/>
    </w:p>
    <w:p w14:paraId="681E97D3" w14:textId="7EC7B9E7" w:rsidR="007E346C" w:rsidRPr="000A2400" w:rsidRDefault="007E346C" w:rsidP="00D35718">
      <w:pPr>
        <w:pStyle w:val="Heading2"/>
        <w:rPr>
          <w:rFonts w:ascii="Arial" w:hAnsi="Arial" w:cs="Arial"/>
          <w:i/>
          <w:iCs/>
          <w:sz w:val="32"/>
          <w:szCs w:val="32"/>
        </w:rPr>
      </w:pPr>
      <w:r w:rsidRPr="000A2400">
        <w:rPr>
          <w:rStyle w:val="s1"/>
          <w:rFonts w:ascii="Arial" w:hAnsi="Arial" w:cs="Arial"/>
          <w:i/>
          <w:iCs/>
          <w:sz w:val="32"/>
          <w:szCs w:val="32"/>
        </w:rPr>
        <w:lastRenderedPageBreak/>
        <w:t>1.0 Introduction to the Organisation</w:t>
      </w:r>
      <w:bookmarkEnd w:id="3"/>
    </w:p>
    <w:p w14:paraId="3E35F308" w14:textId="77777777" w:rsidR="007B2776" w:rsidRPr="000A2400" w:rsidRDefault="007B2776" w:rsidP="007B2776">
      <w:pPr>
        <w:pStyle w:val="Heading3"/>
        <w:rPr>
          <w:rFonts w:ascii="Arial" w:hAnsi="Arial" w:cs="Arial"/>
          <w:i/>
          <w:iCs/>
          <w:color w:val="4472C4" w:themeColor="accent1"/>
          <w:sz w:val="28"/>
          <w:szCs w:val="28"/>
        </w:rPr>
      </w:pPr>
      <w:bookmarkStart w:id="4" w:name="_Toc213403109"/>
      <w:r w:rsidRPr="000A2400">
        <w:rPr>
          <w:rStyle w:val="s1"/>
          <w:rFonts w:ascii="Arial" w:hAnsi="Arial" w:cs="Arial"/>
          <w:i/>
          <w:iCs/>
          <w:color w:val="4472C4" w:themeColor="accent1"/>
          <w:sz w:val="28"/>
          <w:szCs w:val="28"/>
        </w:rPr>
        <w:t>1.1 Overview of Owen Mumford Ltd</w:t>
      </w:r>
      <w:bookmarkEnd w:id="4"/>
    </w:p>
    <w:p w14:paraId="7FE9B269" w14:textId="77777777" w:rsidR="000A2400" w:rsidRDefault="006034B1" w:rsidP="006034B1">
      <w:pPr>
        <w:pStyle w:val="p1"/>
        <w:rPr>
          <w:rFonts w:ascii="Arial" w:hAnsi="Arial" w:cs="Arial"/>
        </w:rPr>
      </w:pPr>
      <w:r w:rsidRPr="000B5DE4">
        <w:rPr>
          <w:rStyle w:val="s1"/>
          <w:rFonts w:ascii="Arial" w:hAnsi="Arial" w:cs="Arial"/>
        </w:rPr>
        <w:t>Owen Mumford Ltd is a family-owned British manufacturer of medical devices based in Oxfordshire, UK. Founded in 1952, the company has earned a strong global reputation for its innovative approach to designing and producing high-quality healthcare solutions. Today, it employs over 800 people and supplies its products to more than 60 countries across Europe, North America and Asia (Owen Mumford, 2024).</w:t>
      </w:r>
    </w:p>
    <w:p w14:paraId="10368FF6" w14:textId="77777777" w:rsidR="000A2400" w:rsidRDefault="006034B1" w:rsidP="006034B1">
      <w:pPr>
        <w:pStyle w:val="p1"/>
        <w:rPr>
          <w:rFonts w:ascii="Arial" w:hAnsi="Arial" w:cs="Arial"/>
        </w:rPr>
      </w:pPr>
      <w:r w:rsidRPr="000B5DE4">
        <w:rPr>
          <w:rStyle w:val="s1"/>
          <w:rFonts w:ascii="Arial" w:hAnsi="Arial" w:cs="Arial"/>
        </w:rPr>
        <w:t xml:space="preserve">The organisation focuses on developing advanced medical technologies that enhance patient comfort, safety and treatment outcomes. Its main product range includes auto-injectors, pen needles, blood-sampling systems and diagnostic devices used daily by both patients and healthcare professionals. Guided by its mission of </w:t>
      </w:r>
      <w:r w:rsidRPr="000B5DE4">
        <w:rPr>
          <w:rStyle w:val="s2"/>
          <w:rFonts w:ascii="Arial" w:hAnsi="Arial" w:cs="Arial"/>
        </w:rPr>
        <w:t>“Making a World of Difference,”</w:t>
      </w:r>
      <w:r w:rsidRPr="000B5DE4">
        <w:rPr>
          <w:rStyle w:val="s1"/>
          <w:rFonts w:ascii="Arial" w:hAnsi="Arial" w:cs="Arial"/>
        </w:rPr>
        <w:t xml:space="preserve"> the company is committed to creating sustainable innovations that improve quality of life.</w:t>
      </w:r>
    </w:p>
    <w:p w14:paraId="40657267" w14:textId="74482EC1" w:rsidR="006034B1" w:rsidRPr="000B5DE4" w:rsidRDefault="006034B1" w:rsidP="006034B1">
      <w:pPr>
        <w:pStyle w:val="p1"/>
        <w:rPr>
          <w:rFonts w:ascii="Arial" w:hAnsi="Arial" w:cs="Arial"/>
        </w:rPr>
      </w:pPr>
      <w:r w:rsidRPr="000B5DE4">
        <w:rPr>
          <w:rStyle w:val="s1"/>
          <w:rFonts w:ascii="Arial" w:hAnsi="Arial" w:cs="Arial"/>
        </w:rPr>
        <w:t>In recent years, Owen Mumford has placed strong emphasis on digital transformation and sustainable manufacturing. It has introduced smart technologies and eco-friendly materials into its production processes to support its strategic goal of combining clinical expertise with data-driven health solutions. Through its consistent commitment to innovation, quality and ethical standards, the company has become one of the UK’s most respected medical device producers and a trusted partner in the global healthcare industry.</w:t>
      </w:r>
    </w:p>
    <w:p w14:paraId="61AAAD8F" w14:textId="391E4D6D" w:rsidR="007B2776" w:rsidRPr="000A2400" w:rsidRDefault="007B2776" w:rsidP="000A2400">
      <w:pPr>
        <w:rPr>
          <w:rFonts w:ascii="Arial" w:hAnsi="Arial" w:cs="Arial"/>
          <w:i/>
          <w:iCs/>
          <w:color w:val="4472C4" w:themeColor="accent1"/>
          <w:sz w:val="28"/>
          <w:szCs w:val="28"/>
        </w:rPr>
      </w:pPr>
      <w:r w:rsidRPr="000A2400">
        <w:rPr>
          <w:rStyle w:val="s1"/>
          <w:rFonts w:ascii="Arial" w:hAnsi="Arial" w:cs="Arial"/>
          <w:i/>
          <w:iCs/>
          <w:color w:val="4472C4" w:themeColor="accent1"/>
          <w:sz w:val="28"/>
          <w:szCs w:val="28"/>
        </w:rPr>
        <w:t>1.2 Project Background and Scope</w:t>
      </w:r>
    </w:p>
    <w:p w14:paraId="38200668" w14:textId="7DCAD8D2" w:rsidR="00321337" w:rsidRPr="000B5DE4" w:rsidRDefault="00321337" w:rsidP="000A2400">
      <w:pPr>
        <w:pStyle w:val="p1"/>
        <w:rPr>
          <w:rFonts w:ascii="Arial" w:hAnsi="Arial" w:cs="Arial"/>
        </w:rPr>
      </w:pPr>
      <w:r w:rsidRPr="000B5DE4">
        <w:rPr>
          <w:rStyle w:val="s1"/>
          <w:rFonts w:ascii="Arial" w:hAnsi="Arial" w:cs="Arial"/>
        </w:rPr>
        <w:t>To meet the rising global demand for digital healthcare solutions, Owen Mumford Ltd is currently developing a new wearable device designed to track key physiological indicators such as heart rate, oxygen saturation (SpO</w:t>
      </w:r>
      <w:r w:rsidRPr="000B5DE4">
        <w:rPr>
          <w:rStyle w:val="s1"/>
          <w:rFonts w:ascii="Cambria Math" w:hAnsi="Cambria Math" w:cs="Cambria Math"/>
        </w:rPr>
        <w:t>₂</w:t>
      </w:r>
      <w:r w:rsidRPr="000B5DE4">
        <w:rPr>
          <w:rStyle w:val="s1"/>
          <w:rFonts w:ascii="Arial" w:hAnsi="Arial" w:cs="Arial"/>
        </w:rPr>
        <w:t>) and sleep patterns. The purpose of this innovation is to enable individuals to monitor their health in real time while providing healthcare professionals with reliable data for informed clinical decisions. This development marks a strategic move for Owen Mumford, expanding its portfolio from traditional medical products toward connected and preventive healthcare technologies.</w:t>
      </w:r>
    </w:p>
    <w:p w14:paraId="01533EF9" w14:textId="3A7BAB47" w:rsidR="007B2776" w:rsidRPr="000B5DE4" w:rsidRDefault="00321337" w:rsidP="000A2400">
      <w:pPr>
        <w:pStyle w:val="p1"/>
        <w:rPr>
          <w:rStyle w:val="s1"/>
          <w:rFonts w:ascii="Arial" w:hAnsi="Arial" w:cs="Arial"/>
        </w:rPr>
      </w:pPr>
      <w:r w:rsidRPr="000B5DE4">
        <w:rPr>
          <w:rStyle w:val="s1"/>
          <w:rFonts w:ascii="Arial" w:hAnsi="Arial" w:cs="Arial"/>
        </w:rPr>
        <w:t>The project is planned for launch within the next six months and will progress through several key phases: product design and testing, regulatory approval, marketing preparation and commercial rollout. A cross-functional team representing research and development (R&amp;D), production, marketing, sales, finance and regulatory affairs will collaborate throughout the process. Each department will contribute to the product’s success, ensuring both technical validation and readiness for the market.</w:t>
      </w:r>
      <w:r w:rsidR="00021D08">
        <w:rPr>
          <w:rFonts w:ascii="Arial" w:hAnsi="Arial" w:cs="Arial"/>
        </w:rPr>
        <w:t xml:space="preserve"> </w:t>
      </w:r>
      <w:r w:rsidRPr="000B5DE4">
        <w:rPr>
          <w:rStyle w:val="s1"/>
          <w:rFonts w:ascii="Arial" w:hAnsi="Arial" w:cs="Arial"/>
        </w:rPr>
        <w:t>The project scope covers stakeholder engagement, risk management and quality assurance to ensure compliance with technical and ethical standards. As the appointed project manager, the main objective is to coordinate stakeholder activities effectively, maintain the project timeline and deliver an innovative product that reflects Owen Mumford’s mission to enhance patient outcomes through technology and collaboration.</w:t>
      </w:r>
    </w:p>
    <w:p w14:paraId="71A3844F" w14:textId="77777777" w:rsidR="007B2776" w:rsidRPr="000A2400" w:rsidRDefault="007B2776" w:rsidP="007B2776">
      <w:pPr>
        <w:pStyle w:val="Heading3"/>
        <w:rPr>
          <w:rFonts w:ascii="Arial" w:hAnsi="Arial" w:cs="Arial"/>
          <w:i/>
          <w:iCs/>
          <w:color w:val="4472C4" w:themeColor="accent1"/>
          <w:sz w:val="28"/>
          <w:szCs w:val="28"/>
        </w:rPr>
      </w:pPr>
      <w:bookmarkStart w:id="5" w:name="_Toc213403110"/>
      <w:r w:rsidRPr="000A2400">
        <w:rPr>
          <w:rStyle w:val="s1"/>
          <w:rFonts w:ascii="Arial" w:hAnsi="Arial" w:cs="Arial"/>
          <w:i/>
          <w:iCs/>
          <w:color w:val="4472C4" w:themeColor="accent1"/>
          <w:sz w:val="28"/>
          <w:szCs w:val="28"/>
        </w:rPr>
        <w:lastRenderedPageBreak/>
        <w:t>1.3 Rationale for the Project</w:t>
      </w:r>
      <w:bookmarkEnd w:id="5"/>
    </w:p>
    <w:p w14:paraId="7DBD36CB" w14:textId="5C554011" w:rsidR="00E7390D" w:rsidRPr="000B5DE4" w:rsidRDefault="00E7390D" w:rsidP="000A2400">
      <w:pPr>
        <w:pStyle w:val="p1"/>
        <w:rPr>
          <w:rFonts w:ascii="Arial" w:hAnsi="Arial" w:cs="Arial"/>
        </w:rPr>
      </w:pPr>
      <w:r w:rsidRPr="000B5DE4">
        <w:rPr>
          <w:rStyle w:val="s1"/>
          <w:rFonts w:ascii="Arial" w:hAnsi="Arial" w:cs="Arial"/>
        </w:rPr>
        <w:t>The development of this wearable health device is a strategic response to evolving trends in healthcare, shifting consumer expectations and rapid technological progress. The global market for wearable medical devices has expanded considerably, driven by greater awareness of preventive care and the growing need for remote health monitoring — a demand that intensified after the COVID-19 pandemic (Grand View Research, 2024). Both patients and healthcare professionals now seek tools that provide continuous data collection and support the early detection of potential health issues.</w:t>
      </w:r>
    </w:p>
    <w:p w14:paraId="1DDC7CC2" w14:textId="3787B133" w:rsidR="00E7390D" w:rsidRPr="000B5DE4" w:rsidRDefault="00E7390D" w:rsidP="000A2400">
      <w:pPr>
        <w:pStyle w:val="p1"/>
        <w:rPr>
          <w:rFonts w:ascii="Arial" w:hAnsi="Arial" w:cs="Arial"/>
        </w:rPr>
      </w:pPr>
      <w:r w:rsidRPr="000B5DE4">
        <w:rPr>
          <w:rStyle w:val="s1"/>
          <w:rFonts w:ascii="Arial" w:hAnsi="Arial" w:cs="Arial"/>
        </w:rPr>
        <w:t>For Owen Mumford Ltd, the initiative offers a significant opportunity to reinforce its position as a leading innovator in digital healthcare. By delivering a product that combines clinical-grade accuracy with an intuitive, user-friendly design, the company can appeal to both individual consumers and institutional clients such as hospitals, clinics and insurance providers. The integration of advanced sensors and smart connectivity also supports Owen Mumford’s broader sustainability and digital transformation goals, generating long-term value through operational efficiency and data-driven healthcare.</w:t>
      </w:r>
    </w:p>
    <w:p w14:paraId="153CB242" w14:textId="5A57C9B2" w:rsidR="004F7ED1" w:rsidRDefault="00E7390D" w:rsidP="000A2400">
      <w:pPr>
        <w:pStyle w:val="p1"/>
        <w:rPr>
          <w:rStyle w:val="s1"/>
          <w:rFonts w:ascii="Arial" w:hAnsi="Arial" w:cs="Arial"/>
        </w:rPr>
      </w:pPr>
      <w:r w:rsidRPr="000B5DE4">
        <w:rPr>
          <w:rStyle w:val="s1"/>
          <w:rFonts w:ascii="Arial" w:hAnsi="Arial" w:cs="Arial"/>
        </w:rPr>
        <w:t xml:space="preserve">The rationale behind the project also encompasses social and ethical dimensions. By encouraging proactive health management, Owen Mumford helps to ease pressure on healthcare systems while promoting public well-being. Ultimately, the initiative not only demonstrates the company’s commitment to innovation but also embodies its mission to </w:t>
      </w:r>
      <w:r w:rsidRPr="000B5DE4">
        <w:rPr>
          <w:rStyle w:val="s2"/>
          <w:rFonts w:ascii="Arial" w:hAnsi="Arial" w:cs="Arial"/>
        </w:rPr>
        <w:t>“make a world of difference”</w:t>
      </w:r>
      <w:r w:rsidRPr="000B5DE4">
        <w:rPr>
          <w:rStyle w:val="s1"/>
          <w:rFonts w:ascii="Arial" w:hAnsi="Arial" w:cs="Arial"/>
        </w:rPr>
        <w:t xml:space="preserve"> by supporting healthier lifestyles through accessible, intelligent technology.</w:t>
      </w:r>
    </w:p>
    <w:p w14:paraId="5B05B385" w14:textId="77777777" w:rsidR="000A2400" w:rsidRDefault="000A2400" w:rsidP="000A2400">
      <w:pPr>
        <w:pStyle w:val="p1"/>
        <w:rPr>
          <w:rStyle w:val="s1"/>
          <w:rFonts w:ascii="Arial" w:hAnsi="Arial" w:cs="Arial"/>
        </w:rPr>
      </w:pPr>
    </w:p>
    <w:p w14:paraId="61736384" w14:textId="77777777" w:rsidR="000A2400" w:rsidRDefault="000A2400" w:rsidP="000A2400">
      <w:pPr>
        <w:pStyle w:val="p1"/>
        <w:rPr>
          <w:rStyle w:val="s1"/>
          <w:rFonts w:ascii="Arial" w:hAnsi="Arial" w:cs="Arial"/>
        </w:rPr>
      </w:pPr>
    </w:p>
    <w:p w14:paraId="2519D8B3" w14:textId="77777777" w:rsidR="000A2400" w:rsidRDefault="000A2400" w:rsidP="000A2400">
      <w:pPr>
        <w:pStyle w:val="p1"/>
        <w:rPr>
          <w:rStyle w:val="s1"/>
          <w:rFonts w:ascii="Arial" w:hAnsi="Arial" w:cs="Arial"/>
        </w:rPr>
      </w:pPr>
    </w:p>
    <w:p w14:paraId="3A505AF3" w14:textId="77777777" w:rsidR="000A2400" w:rsidRDefault="000A2400" w:rsidP="000A2400">
      <w:pPr>
        <w:pStyle w:val="p1"/>
        <w:rPr>
          <w:rStyle w:val="s1"/>
          <w:rFonts w:ascii="Arial" w:hAnsi="Arial" w:cs="Arial"/>
        </w:rPr>
      </w:pPr>
    </w:p>
    <w:p w14:paraId="5F2D5678" w14:textId="77777777" w:rsidR="000A2400" w:rsidRDefault="000A2400" w:rsidP="000A2400">
      <w:pPr>
        <w:pStyle w:val="p1"/>
        <w:rPr>
          <w:rStyle w:val="s1"/>
          <w:rFonts w:ascii="Arial" w:hAnsi="Arial" w:cs="Arial"/>
        </w:rPr>
      </w:pPr>
    </w:p>
    <w:p w14:paraId="05843FFC" w14:textId="77777777" w:rsidR="000A2400" w:rsidRDefault="000A2400" w:rsidP="000A2400">
      <w:pPr>
        <w:pStyle w:val="p1"/>
        <w:rPr>
          <w:rStyle w:val="s1"/>
          <w:rFonts w:ascii="Arial" w:hAnsi="Arial" w:cs="Arial"/>
        </w:rPr>
      </w:pPr>
    </w:p>
    <w:p w14:paraId="44B225BC" w14:textId="1EAFC51B" w:rsidR="2BEB5E53" w:rsidRDefault="2BEB5E53" w:rsidP="2BEB5E53">
      <w:pPr>
        <w:pStyle w:val="p1"/>
        <w:rPr>
          <w:rStyle w:val="s1"/>
          <w:rFonts w:ascii="Arial" w:hAnsi="Arial" w:cs="Arial"/>
        </w:rPr>
      </w:pPr>
    </w:p>
    <w:p w14:paraId="107599FF" w14:textId="3259FBAF" w:rsidR="3798B7D0" w:rsidRDefault="3798B7D0" w:rsidP="3798B7D0">
      <w:pPr>
        <w:pStyle w:val="p1"/>
        <w:rPr>
          <w:rStyle w:val="s1"/>
          <w:rFonts w:ascii="Arial" w:hAnsi="Arial" w:cs="Arial"/>
        </w:rPr>
      </w:pPr>
    </w:p>
    <w:p w14:paraId="09AB2C1C" w14:textId="77777777" w:rsidR="000A2400" w:rsidRDefault="000A2400" w:rsidP="000A2400">
      <w:pPr>
        <w:pStyle w:val="p1"/>
        <w:rPr>
          <w:rStyle w:val="s1"/>
          <w:rFonts w:ascii="Arial" w:hAnsi="Arial" w:cs="Arial"/>
        </w:rPr>
      </w:pPr>
    </w:p>
    <w:p w14:paraId="118C8A69" w14:textId="77777777" w:rsidR="00881FE3" w:rsidRDefault="00881FE3" w:rsidP="000A2400">
      <w:pPr>
        <w:pStyle w:val="p1"/>
        <w:rPr>
          <w:rStyle w:val="s1"/>
          <w:rFonts w:ascii="Arial" w:hAnsi="Arial" w:cs="Arial"/>
        </w:rPr>
      </w:pPr>
    </w:p>
    <w:p w14:paraId="7B63A80E" w14:textId="77777777" w:rsidR="00F02C0B" w:rsidRPr="000A2400" w:rsidRDefault="00F02C0B" w:rsidP="000A2400">
      <w:pPr>
        <w:pStyle w:val="p1"/>
        <w:rPr>
          <w:rFonts w:ascii="Arial" w:hAnsi="Arial" w:cs="Arial"/>
        </w:rPr>
      </w:pPr>
    </w:p>
    <w:p w14:paraId="3C27CC89" w14:textId="1725CE6A" w:rsidR="00E738F6" w:rsidRPr="000A2400" w:rsidRDefault="00042392" w:rsidP="00E738F6">
      <w:pPr>
        <w:pStyle w:val="Heading2"/>
        <w:rPr>
          <w:rStyle w:val="s1"/>
          <w:rFonts w:ascii="Arial" w:hAnsi="Arial" w:cs="Arial"/>
          <w:i/>
          <w:iCs/>
          <w:sz w:val="32"/>
          <w:szCs w:val="32"/>
        </w:rPr>
      </w:pPr>
      <w:bookmarkStart w:id="6" w:name="_Toc213403111"/>
      <w:r w:rsidRPr="000A2400">
        <w:rPr>
          <w:rStyle w:val="s1"/>
          <w:rFonts w:ascii="Arial" w:hAnsi="Arial" w:cs="Arial"/>
          <w:i/>
          <w:iCs/>
          <w:sz w:val="32"/>
          <w:szCs w:val="32"/>
        </w:rPr>
        <w:lastRenderedPageBreak/>
        <w:t>2.0 Project Objectives (</w:t>
      </w:r>
      <w:r w:rsidRPr="00A45BAD">
        <w:rPr>
          <w:rStyle w:val="s1"/>
          <w:rFonts w:ascii="Arial" w:hAnsi="Arial" w:cs="Arial"/>
          <w:i/>
          <w:iCs/>
          <w:sz w:val="28"/>
          <w:szCs w:val="28"/>
        </w:rPr>
        <w:t>SMART Framework)</w:t>
      </w:r>
      <w:bookmarkEnd w:id="6"/>
    </w:p>
    <w:p w14:paraId="11A85BE9" w14:textId="154CF987" w:rsidR="00E738F6" w:rsidRPr="000A2400" w:rsidRDefault="00E738F6" w:rsidP="18C56AF0">
      <w:pPr>
        <w:pStyle w:val="Heading2"/>
        <w:rPr>
          <w:rStyle w:val="s1"/>
          <w:rFonts w:ascii="Arial" w:hAnsi="Arial" w:cs="Arial"/>
          <w:i/>
          <w:iCs/>
          <w:color w:val="4472C4" w:themeColor="accent1"/>
          <w:sz w:val="28"/>
          <w:szCs w:val="28"/>
        </w:rPr>
      </w:pPr>
      <w:bookmarkStart w:id="7" w:name="_Toc213403112"/>
      <w:r w:rsidRPr="002F0B2F">
        <w:rPr>
          <w:rStyle w:val="s1"/>
          <w:rFonts w:ascii="Arial" w:hAnsi="Arial" w:cs="Arial"/>
          <w:b w:val="0"/>
          <w:bCs w:val="0"/>
          <w:sz w:val="24"/>
          <w:szCs w:val="24"/>
        </w:rPr>
        <w:t>This section presents the project objectives through the SMART framework — Specific, Measurable, Achievable, Relevant and Time-bound. Applying this model helps ensure that stakeholder engagement and the product launch for Owen Mumford Ltd are clearly defined, realistic and aligned with the company’s overall strategic goals.</w:t>
      </w:r>
      <w:bookmarkEnd w:id="7"/>
      <w:r w:rsidR="00C81DDF">
        <w:rPr>
          <w:rStyle w:val="s1"/>
          <w:rFonts w:ascii="Arial" w:hAnsi="Arial" w:cs="Arial"/>
          <w:b w:val="0"/>
          <w:bCs w:val="0"/>
          <w:sz w:val="24"/>
          <w:szCs w:val="24"/>
        </w:rPr>
        <w:t xml:space="preserve"> </w:t>
      </w:r>
    </w:p>
    <w:p w14:paraId="2DF3569E" w14:textId="2426BCBA" w:rsidR="00E738F6" w:rsidRPr="00105267" w:rsidRDefault="00E738F6" w:rsidP="5944D4D9">
      <w:pPr>
        <w:pStyle w:val="Heading2"/>
        <w:rPr>
          <w:rStyle w:val="s1"/>
          <w:rFonts w:ascii="Arial" w:hAnsi="Arial" w:cs="Arial"/>
          <w:b w:val="0"/>
          <w:bCs w:val="0"/>
          <w:i/>
          <w:iCs/>
          <w:color w:val="4472C4" w:themeColor="accent1"/>
          <w:sz w:val="28"/>
          <w:szCs w:val="28"/>
        </w:rPr>
      </w:pPr>
      <w:bookmarkStart w:id="8" w:name="_Toc213403113"/>
      <w:r w:rsidRPr="00105267">
        <w:rPr>
          <w:rStyle w:val="s1"/>
          <w:rFonts w:ascii="Arial" w:hAnsi="Arial" w:cs="Arial"/>
          <w:b w:val="0"/>
          <w:bCs w:val="0"/>
          <w:i/>
          <w:color w:val="4472C4" w:themeColor="accent1"/>
          <w:sz w:val="28"/>
          <w:szCs w:val="28"/>
        </w:rPr>
        <w:t>2.1 Project Purpose</w:t>
      </w:r>
      <w:bookmarkEnd w:id="8"/>
    </w:p>
    <w:p w14:paraId="6B4EB7F9" w14:textId="77777777" w:rsidR="00E738F6" w:rsidRPr="000A2400" w:rsidRDefault="00E738F6" w:rsidP="00E738F6">
      <w:pPr>
        <w:pStyle w:val="Heading3"/>
        <w:rPr>
          <w:rStyle w:val="s1"/>
          <w:rFonts w:ascii="Arial" w:hAnsi="Arial" w:cs="Arial"/>
          <w:color w:val="000000" w:themeColor="text1"/>
        </w:rPr>
      </w:pPr>
      <w:bookmarkStart w:id="9" w:name="_Toc213403114"/>
      <w:r w:rsidRPr="000A2400">
        <w:rPr>
          <w:rStyle w:val="s1"/>
          <w:rFonts w:ascii="Arial" w:hAnsi="Arial" w:cs="Arial"/>
          <w:color w:val="000000" w:themeColor="text1"/>
        </w:rPr>
        <w:t xml:space="preserve">The main purpose of this initiative is to successfully launch a new wearable health device capable of monitoring heart rate, oxygen saturation and sleep patterns within a six-month timeframe. The project seeks to reinforce Owen Mumford </w:t>
      </w:r>
      <w:proofErr w:type="spellStart"/>
      <w:r w:rsidRPr="000A2400">
        <w:rPr>
          <w:rStyle w:val="s1"/>
          <w:rFonts w:ascii="Arial" w:hAnsi="Arial" w:cs="Arial"/>
          <w:color w:val="000000" w:themeColor="text1"/>
        </w:rPr>
        <w:t>Ltd’s</w:t>
      </w:r>
      <w:proofErr w:type="spellEnd"/>
      <w:r w:rsidRPr="000A2400">
        <w:rPr>
          <w:rStyle w:val="s1"/>
          <w:rFonts w:ascii="Arial" w:hAnsi="Arial" w:cs="Arial"/>
          <w:color w:val="000000" w:themeColor="text1"/>
        </w:rPr>
        <w:t xml:space="preserve"> position in the medical technology market by emphasising innovation, collaboration and sustainable practices. As the project manager, the key responsibility is to design and implement an effective stakeholder engagement plan that promotes communication, trust and accountability among all involved parties — including R&amp;D, marketing, sales, suppliers, healthcare professionals and end users.</w:t>
      </w:r>
      <w:bookmarkEnd w:id="9"/>
    </w:p>
    <w:p w14:paraId="45F4BDB9" w14:textId="77777777" w:rsidR="00E738F6" w:rsidRPr="000A2400" w:rsidRDefault="00E738F6" w:rsidP="00E738F6">
      <w:pPr>
        <w:pStyle w:val="Heading3"/>
        <w:rPr>
          <w:rStyle w:val="s1"/>
          <w:rFonts w:ascii="Arial" w:hAnsi="Arial" w:cs="Arial"/>
          <w:color w:val="000000" w:themeColor="text1"/>
        </w:rPr>
      </w:pPr>
    </w:p>
    <w:p w14:paraId="496085E6" w14:textId="1D45A6FE" w:rsidR="002317AD" w:rsidRPr="000A2400" w:rsidRDefault="00E738F6" w:rsidP="003501B6">
      <w:pPr>
        <w:pStyle w:val="Heading3"/>
        <w:rPr>
          <w:rStyle w:val="s1"/>
          <w:rFonts w:ascii="Arial" w:hAnsi="Arial" w:cs="Arial"/>
          <w:color w:val="000000" w:themeColor="text1"/>
        </w:rPr>
      </w:pPr>
      <w:bookmarkStart w:id="10" w:name="_Toc213403115"/>
      <w:r w:rsidRPr="000A2400">
        <w:rPr>
          <w:rStyle w:val="s1"/>
          <w:rFonts w:ascii="Arial" w:hAnsi="Arial" w:cs="Arial"/>
          <w:color w:val="000000" w:themeColor="text1"/>
        </w:rPr>
        <w:t>Strong engagement will enable the project team to understand stakeholder expectations, reduce potential conflicts and ensure that all departments work cohesively towards the common goal of delivering a safe, high-quality and user-friendly health-monitoring product.</w:t>
      </w:r>
      <w:bookmarkEnd w:id="10"/>
    </w:p>
    <w:p w14:paraId="1DC9F1A8" w14:textId="77777777" w:rsidR="002317AD" w:rsidRDefault="002317AD" w:rsidP="003501B6">
      <w:pPr>
        <w:pStyle w:val="Heading3"/>
        <w:rPr>
          <w:rStyle w:val="s1"/>
          <w:rFonts w:ascii="Arial" w:hAnsi="Arial" w:cs="Arial"/>
        </w:rPr>
      </w:pPr>
    </w:p>
    <w:p w14:paraId="19CF1A93" w14:textId="77777777" w:rsidR="0095720D" w:rsidRDefault="0095720D" w:rsidP="0095720D"/>
    <w:p w14:paraId="327F9402" w14:textId="77777777" w:rsidR="0095720D" w:rsidRDefault="0095720D" w:rsidP="0095720D"/>
    <w:p w14:paraId="5DF7D7C3" w14:textId="77777777" w:rsidR="0095720D" w:rsidRDefault="0095720D" w:rsidP="0095720D"/>
    <w:p w14:paraId="710EE2DB" w14:textId="77777777" w:rsidR="0095720D" w:rsidRDefault="0095720D" w:rsidP="0095720D"/>
    <w:p w14:paraId="4EF01316" w14:textId="77777777" w:rsidR="0095720D" w:rsidRDefault="0095720D" w:rsidP="0095720D"/>
    <w:p w14:paraId="4BD38EF7" w14:textId="77777777" w:rsidR="0095720D" w:rsidRDefault="0095720D" w:rsidP="0095720D"/>
    <w:p w14:paraId="5BE61CF1" w14:textId="77777777" w:rsidR="0095720D" w:rsidRDefault="0095720D" w:rsidP="0095720D"/>
    <w:p w14:paraId="5B3EC9B9" w14:textId="77777777" w:rsidR="0095720D" w:rsidRDefault="0095720D" w:rsidP="0095720D"/>
    <w:p w14:paraId="42469C2D" w14:textId="77777777" w:rsidR="0095720D" w:rsidRDefault="0095720D" w:rsidP="0095720D"/>
    <w:p w14:paraId="46454C6D" w14:textId="77777777" w:rsidR="0095720D" w:rsidRDefault="0095720D" w:rsidP="0095720D"/>
    <w:p w14:paraId="4D7DCC6F" w14:textId="77777777" w:rsidR="00C03258" w:rsidRDefault="00C03258" w:rsidP="0095720D"/>
    <w:p w14:paraId="13C11E54" w14:textId="77777777" w:rsidR="00C03258" w:rsidRDefault="00C03258" w:rsidP="0095720D"/>
    <w:p w14:paraId="723F46BE" w14:textId="77777777" w:rsidR="00772398" w:rsidRPr="0095720D" w:rsidRDefault="00772398" w:rsidP="0095720D"/>
    <w:p w14:paraId="3C040887" w14:textId="16FDB308" w:rsidR="003501B6" w:rsidRPr="000A2400" w:rsidRDefault="00025F2B" w:rsidP="003501B6">
      <w:pPr>
        <w:pStyle w:val="Heading3"/>
        <w:rPr>
          <w:rStyle w:val="s1"/>
          <w:rFonts w:ascii="Arial" w:hAnsi="Arial" w:cs="Arial"/>
          <w:i/>
          <w:color w:val="4472C4" w:themeColor="accent1"/>
          <w:sz w:val="28"/>
          <w:szCs w:val="28"/>
        </w:rPr>
      </w:pPr>
      <w:bookmarkStart w:id="11" w:name="_Toc213403116"/>
      <w:r w:rsidRPr="4563D849">
        <w:rPr>
          <w:rStyle w:val="s1"/>
          <w:rFonts w:ascii="Arial" w:hAnsi="Arial" w:cs="Arial"/>
          <w:i/>
          <w:color w:val="4472C4" w:themeColor="accent1"/>
          <w:sz w:val="28"/>
          <w:szCs w:val="28"/>
        </w:rPr>
        <w:lastRenderedPageBreak/>
        <w:t xml:space="preserve">2.2 </w:t>
      </w:r>
      <w:r w:rsidR="003501B6" w:rsidRPr="4563D849">
        <w:rPr>
          <w:rStyle w:val="s1"/>
          <w:rFonts w:ascii="Arial" w:hAnsi="Arial" w:cs="Arial"/>
          <w:i/>
          <w:color w:val="4472C4" w:themeColor="accent1"/>
          <w:sz w:val="28"/>
          <w:szCs w:val="28"/>
        </w:rPr>
        <w:t>SMART Objectives Table</w:t>
      </w:r>
      <w:bookmarkEnd w:id="11"/>
    </w:p>
    <w:p w14:paraId="57B65E26" w14:textId="06F4CE28" w:rsidR="00C94359" w:rsidRPr="000B5DE4" w:rsidRDefault="007A32D9" w:rsidP="002317AD">
      <w:pPr>
        <w:pStyle w:val="p1"/>
        <w:rPr>
          <w:rFonts w:ascii="Arial" w:hAnsi="Arial" w:cs="Arial"/>
        </w:rPr>
      </w:pPr>
      <w:bookmarkStart w:id="12" w:name="OLE_LINK8"/>
      <w:r w:rsidRPr="000B5DE4">
        <w:rPr>
          <w:rStyle w:val="s1"/>
          <w:rFonts w:ascii="Arial" w:hAnsi="Arial" w:cs="Arial"/>
        </w:rPr>
        <w:t>The SMART framework offers a clear and systematic approach to defining and monitoring project objectives. By applying this model, Owen Mumford Ltd can ensure that its stakeholder engagement plan is both realistic and measurable, while remaining consistent with the company’s priorities of innovation and patient safety.</w:t>
      </w:r>
    </w:p>
    <w:tbl>
      <w:tblPr>
        <w:tblStyle w:val="ListTable4-Accent1"/>
        <w:tblW w:w="9606" w:type="dxa"/>
        <w:tblLook w:val="04A0" w:firstRow="1" w:lastRow="0" w:firstColumn="1" w:lastColumn="0" w:noHBand="0" w:noVBand="1"/>
      </w:tblPr>
      <w:tblGrid>
        <w:gridCol w:w="4803"/>
        <w:gridCol w:w="4803"/>
      </w:tblGrid>
      <w:tr w:rsidR="003031CF" w:rsidRPr="000B5DE4" w14:paraId="5560A842" w14:textId="77777777" w:rsidTr="00FD6E9D">
        <w:trPr>
          <w:cnfStyle w:val="100000000000" w:firstRow="1" w:lastRow="0" w:firstColumn="0" w:lastColumn="0" w:oddVBand="0" w:evenVBand="0" w:oddHBand="0"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4803" w:type="dxa"/>
          </w:tcPr>
          <w:p w14:paraId="2BB24FB7" w14:textId="2A123E3E" w:rsidR="003031CF" w:rsidRPr="000B5DE4" w:rsidRDefault="003031CF" w:rsidP="003031CF">
            <w:pPr>
              <w:spacing w:before="100" w:beforeAutospacing="1" w:after="100" w:afterAutospacing="1"/>
              <w:rPr>
                <w:rFonts w:ascii="Arial" w:eastAsia="Times New Roman" w:hAnsi="Arial" w:cs="Arial"/>
                <w:sz w:val="24"/>
                <w:szCs w:val="24"/>
                <w:lang w:eastAsia="en-GB"/>
              </w:rPr>
            </w:pPr>
            <w:bookmarkStart w:id="13" w:name="_Hlk212731275"/>
            <w:bookmarkEnd w:id="12"/>
            <w:r w:rsidRPr="000B5DE4">
              <w:rPr>
                <w:rStyle w:val="s1"/>
                <w:rFonts w:ascii="Arial" w:hAnsi="Arial" w:cs="Arial"/>
                <w:sz w:val="24"/>
                <w:szCs w:val="24"/>
              </w:rPr>
              <w:t>SMART Criterion</w:t>
            </w:r>
          </w:p>
        </w:tc>
        <w:tc>
          <w:tcPr>
            <w:tcW w:w="4803" w:type="dxa"/>
          </w:tcPr>
          <w:p w14:paraId="72A8EB88" w14:textId="7C6B90E7" w:rsidR="003031CF" w:rsidRPr="000B5DE4" w:rsidRDefault="003031CF" w:rsidP="003031CF">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Project Objective for Owen Mumford Ltd</w:t>
            </w:r>
          </w:p>
        </w:tc>
      </w:tr>
      <w:tr w:rsidR="005C6F13" w:rsidRPr="000B5DE4" w14:paraId="783D0CBF" w14:textId="77777777" w:rsidTr="00FD6E9D">
        <w:trPr>
          <w:cnfStyle w:val="000000100000" w:firstRow="0" w:lastRow="0" w:firstColumn="0" w:lastColumn="0" w:oddVBand="0" w:evenVBand="0" w:oddHBand="1" w:evenHBand="0" w:firstRowFirstColumn="0" w:firstRowLastColumn="0" w:lastRowFirstColumn="0" w:lastRowLastColumn="0"/>
          <w:trHeight w:val="2015"/>
        </w:trPr>
        <w:tc>
          <w:tcPr>
            <w:cnfStyle w:val="001000000000" w:firstRow="0" w:lastRow="0" w:firstColumn="1" w:lastColumn="0" w:oddVBand="0" w:evenVBand="0" w:oddHBand="0" w:evenHBand="0" w:firstRowFirstColumn="0" w:firstRowLastColumn="0" w:lastRowFirstColumn="0" w:lastRowLastColumn="0"/>
            <w:tcW w:w="4803" w:type="dxa"/>
          </w:tcPr>
          <w:p w14:paraId="7823BC5F" w14:textId="00AB1548" w:rsidR="005C6F13" w:rsidRPr="000B5DE4" w:rsidRDefault="005C6F13" w:rsidP="005C6F13">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Specific</w:t>
            </w:r>
          </w:p>
        </w:tc>
        <w:tc>
          <w:tcPr>
            <w:tcW w:w="4803" w:type="dxa"/>
          </w:tcPr>
          <w:p w14:paraId="0DFE84E5" w14:textId="2487E7A6" w:rsidR="005C6F13" w:rsidRPr="000B5DE4" w:rsidRDefault="005C6F13" w:rsidP="005C6F13">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 xml:space="preserve">To develop and implement a comprehensive </w:t>
            </w:r>
            <w:r w:rsidRPr="000B5DE4">
              <w:rPr>
                <w:rStyle w:val="s2"/>
                <w:rFonts w:ascii="Arial" w:hAnsi="Arial" w:cs="Arial"/>
                <w:sz w:val="24"/>
                <w:szCs w:val="24"/>
              </w:rPr>
              <w:t>Stakeholder Engagement Plan</w:t>
            </w:r>
            <w:r w:rsidRPr="000B5DE4">
              <w:rPr>
                <w:rStyle w:val="s1"/>
                <w:rFonts w:ascii="Arial" w:hAnsi="Arial" w:cs="Arial"/>
                <w:sz w:val="24"/>
                <w:szCs w:val="24"/>
              </w:rPr>
              <w:t xml:space="preserve"> that supports the successful launch of the wearable health monitoring device. The plan will outline clear communication procedures, risk mitigation strategies, and performance evaluation metrics.</w:t>
            </w:r>
          </w:p>
        </w:tc>
      </w:tr>
      <w:tr w:rsidR="005C6F13" w:rsidRPr="000B5DE4" w14:paraId="3E78A548" w14:textId="77777777" w:rsidTr="00FD6E9D">
        <w:trPr>
          <w:trHeight w:val="707"/>
        </w:trPr>
        <w:tc>
          <w:tcPr>
            <w:cnfStyle w:val="001000000000" w:firstRow="0" w:lastRow="0" w:firstColumn="1" w:lastColumn="0" w:oddVBand="0" w:evenVBand="0" w:oddHBand="0" w:evenHBand="0" w:firstRowFirstColumn="0" w:firstRowLastColumn="0" w:lastRowFirstColumn="0" w:lastRowLastColumn="0"/>
            <w:tcW w:w="4803" w:type="dxa"/>
          </w:tcPr>
          <w:p w14:paraId="591EE722" w14:textId="6B77B295" w:rsidR="005C6F13" w:rsidRPr="000B5DE4" w:rsidRDefault="005C6F13" w:rsidP="005C6F13">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Measurable</w:t>
            </w:r>
          </w:p>
        </w:tc>
        <w:tc>
          <w:tcPr>
            <w:tcW w:w="4803" w:type="dxa"/>
          </w:tcPr>
          <w:p w14:paraId="1195E4D6" w14:textId="3EAA0438" w:rsidR="005C6F13" w:rsidRPr="000B5DE4" w:rsidRDefault="005C6F13" w:rsidP="005C6F1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 xml:space="preserve">Project success will be assessed using </w:t>
            </w:r>
            <w:r w:rsidRPr="000B5DE4">
              <w:rPr>
                <w:rStyle w:val="s2"/>
                <w:rFonts w:ascii="Arial" w:hAnsi="Arial" w:cs="Arial"/>
                <w:sz w:val="24"/>
                <w:szCs w:val="24"/>
              </w:rPr>
              <w:t>Key Performance Indicators (KPIs)</w:t>
            </w:r>
            <w:r w:rsidRPr="000B5DE4">
              <w:rPr>
                <w:rStyle w:val="s1"/>
                <w:rFonts w:ascii="Arial" w:hAnsi="Arial" w:cs="Arial"/>
                <w:sz w:val="24"/>
                <w:szCs w:val="24"/>
              </w:rPr>
              <w:t xml:space="preserve"> such as stakeholder satisfaction survey results, a 20% reduction in communication delays, and the completion of launch milestones within six months.</w:t>
            </w:r>
          </w:p>
        </w:tc>
      </w:tr>
      <w:tr w:rsidR="005C6F13" w:rsidRPr="000B5DE4" w14:paraId="42626A57" w14:textId="77777777" w:rsidTr="00FD6E9D">
        <w:trPr>
          <w:cnfStyle w:val="000000100000" w:firstRow="0" w:lastRow="0" w:firstColumn="0" w:lastColumn="0" w:oddVBand="0" w:evenVBand="0" w:oddHBand="1" w:evenHBand="0" w:firstRowFirstColumn="0" w:firstRowLastColumn="0" w:lastRowFirstColumn="0" w:lastRowLastColumn="0"/>
          <w:trHeight w:val="179"/>
        </w:trPr>
        <w:tc>
          <w:tcPr>
            <w:cnfStyle w:val="001000000000" w:firstRow="0" w:lastRow="0" w:firstColumn="1" w:lastColumn="0" w:oddVBand="0" w:evenVBand="0" w:oddHBand="0" w:evenHBand="0" w:firstRowFirstColumn="0" w:firstRowLastColumn="0" w:lastRowFirstColumn="0" w:lastRowLastColumn="0"/>
            <w:tcW w:w="4803" w:type="dxa"/>
          </w:tcPr>
          <w:p w14:paraId="35699632" w14:textId="4BB8BA88" w:rsidR="005C6F13" w:rsidRPr="000B5DE4" w:rsidRDefault="005C6F13" w:rsidP="005C6F13">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Achievable</w:t>
            </w:r>
          </w:p>
        </w:tc>
        <w:tc>
          <w:tcPr>
            <w:tcW w:w="4803" w:type="dxa"/>
          </w:tcPr>
          <w:p w14:paraId="2EB3CA3E" w14:textId="02B67F80" w:rsidR="005C6F13" w:rsidRPr="000B5DE4" w:rsidRDefault="005C6F13" w:rsidP="005C6F13">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Owen Mumford Ltd possesses the financial capacity, technical expertise and management experience required to deliver the project effectively. Collaboration between the R&amp;D, Quality Assurance and Marketing departments will ensure these goals are realistic and attainable.</w:t>
            </w:r>
          </w:p>
        </w:tc>
      </w:tr>
      <w:tr w:rsidR="005C6F13" w:rsidRPr="000B5DE4" w14:paraId="643C5794" w14:textId="77777777" w:rsidTr="00FD6E9D">
        <w:trPr>
          <w:trHeight w:val="1715"/>
        </w:trPr>
        <w:tc>
          <w:tcPr>
            <w:cnfStyle w:val="001000000000" w:firstRow="0" w:lastRow="0" w:firstColumn="1" w:lastColumn="0" w:oddVBand="0" w:evenVBand="0" w:oddHBand="0" w:evenHBand="0" w:firstRowFirstColumn="0" w:firstRowLastColumn="0" w:lastRowFirstColumn="0" w:lastRowLastColumn="0"/>
            <w:tcW w:w="4803" w:type="dxa"/>
          </w:tcPr>
          <w:p w14:paraId="54965FD3" w14:textId="4D5F71D5" w:rsidR="005C6F13" w:rsidRPr="000B5DE4" w:rsidRDefault="005C6F13" w:rsidP="005C6F13">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Relevant</w:t>
            </w:r>
          </w:p>
        </w:tc>
        <w:tc>
          <w:tcPr>
            <w:tcW w:w="4803" w:type="dxa"/>
          </w:tcPr>
          <w:p w14:paraId="27E701CA" w14:textId="26BF6B53" w:rsidR="005C6F13" w:rsidRPr="000B5DE4" w:rsidRDefault="005C6F13" w:rsidP="005C6F13">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The objectives align with the organisation’s strategic priorities of innovation, sustainability and patient safety, ensuring that the project contributes to long-term corporate growth and reinforces brand reputation.</w:t>
            </w:r>
          </w:p>
        </w:tc>
      </w:tr>
      <w:tr w:rsidR="005C6F13" w:rsidRPr="000B5DE4" w14:paraId="06C83C99" w14:textId="77777777" w:rsidTr="00FD6E9D">
        <w:trPr>
          <w:cnfStyle w:val="000000100000" w:firstRow="0" w:lastRow="0" w:firstColumn="0" w:lastColumn="0" w:oddVBand="0" w:evenVBand="0" w:oddHBand="1" w:evenHBand="0" w:firstRowFirstColumn="0" w:firstRowLastColumn="0" w:lastRowFirstColumn="0" w:lastRowLastColumn="0"/>
          <w:trHeight w:val="1715"/>
        </w:trPr>
        <w:tc>
          <w:tcPr>
            <w:cnfStyle w:val="001000000000" w:firstRow="0" w:lastRow="0" w:firstColumn="1" w:lastColumn="0" w:oddVBand="0" w:evenVBand="0" w:oddHBand="0" w:evenHBand="0" w:firstRowFirstColumn="0" w:firstRowLastColumn="0" w:lastRowFirstColumn="0" w:lastRowLastColumn="0"/>
            <w:tcW w:w="4803" w:type="dxa"/>
          </w:tcPr>
          <w:p w14:paraId="2422A6AD" w14:textId="1885215A" w:rsidR="005C6F13" w:rsidRPr="000B5DE4" w:rsidRDefault="005C6F13" w:rsidP="005C6F13">
            <w:pPr>
              <w:spacing w:before="100" w:beforeAutospacing="1" w:after="100" w:afterAutospacing="1"/>
              <w:rPr>
                <w:rStyle w:val="s1"/>
                <w:rFonts w:ascii="Arial" w:hAnsi="Arial" w:cs="Arial"/>
                <w:sz w:val="24"/>
                <w:szCs w:val="24"/>
              </w:rPr>
            </w:pPr>
            <w:r w:rsidRPr="000B5DE4">
              <w:rPr>
                <w:rStyle w:val="s1"/>
                <w:rFonts w:ascii="Arial" w:hAnsi="Arial" w:cs="Arial"/>
                <w:sz w:val="24"/>
                <w:szCs w:val="24"/>
              </w:rPr>
              <w:t>Time-bound</w:t>
            </w:r>
          </w:p>
        </w:tc>
        <w:tc>
          <w:tcPr>
            <w:tcW w:w="4803" w:type="dxa"/>
          </w:tcPr>
          <w:p w14:paraId="606110A4" w14:textId="0AB8B26B" w:rsidR="005C6F13" w:rsidRPr="000B5DE4" w:rsidRDefault="005C6F13" w:rsidP="005C6F13">
            <w:pPr>
              <w:pStyle w:val="p1"/>
              <w:cnfStyle w:val="000000100000" w:firstRow="0" w:lastRow="0" w:firstColumn="0" w:lastColumn="0" w:oddVBand="0" w:evenVBand="0" w:oddHBand="1" w:evenHBand="0" w:firstRowFirstColumn="0" w:firstRowLastColumn="0" w:lastRowFirstColumn="0" w:lastRowLastColumn="0"/>
              <w:rPr>
                <w:rStyle w:val="s1"/>
                <w:rFonts w:ascii="Arial" w:hAnsi="Arial" w:cs="Arial"/>
              </w:rPr>
            </w:pPr>
            <w:r w:rsidRPr="000B5DE4">
              <w:rPr>
                <w:rStyle w:val="s1"/>
                <w:rFonts w:ascii="Arial" w:hAnsi="Arial" w:cs="Arial"/>
              </w:rPr>
              <w:t xml:space="preserve">The project is scheduled for completion within six months. Stakeholder engagement activities will be monitored </w:t>
            </w:r>
            <w:r w:rsidR="00A91AAA" w:rsidRPr="000B5DE4">
              <w:rPr>
                <w:rStyle w:val="s1"/>
                <w:rFonts w:ascii="Arial" w:hAnsi="Arial" w:cs="Arial"/>
              </w:rPr>
              <w:t>monthly</w:t>
            </w:r>
            <w:r w:rsidRPr="000B5DE4">
              <w:rPr>
                <w:rStyle w:val="s1"/>
                <w:rFonts w:ascii="Arial" w:hAnsi="Arial" w:cs="Arial"/>
              </w:rPr>
              <w:t xml:space="preserve"> to ensure continuous progress, effective communication and proactive risk management.</w:t>
            </w:r>
          </w:p>
        </w:tc>
      </w:tr>
      <w:bookmarkEnd w:id="13"/>
    </w:tbl>
    <w:p w14:paraId="74DA7961" w14:textId="77777777" w:rsidR="0095720D" w:rsidRDefault="0095720D" w:rsidP="0071546B">
      <w:pPr>
        <w:pStyle w:val="Heading3"/>
        <w:rPr>
          <w:rStyle w:val="s1"/>
          <w:rFonts w:ascii="Arial" w:hAnsi="Arial" w:cs="Arial"/>
          <w:i/>
          <w:iCs/>
          <w:color w:val="4472C4" w:themeColor="accent1"/>
          <w:sz w:val="28"/>
          <w:szCs w:val="28"/>
        </w:rPr>
      </w:pPr>
    </w:p>
    <w:p w14:paraId="2AB45FB5" w14:textId="77777777" w:rsidR="00C03258" w:rsidRDefault="00C03258" w:rsidP="0071546B">
      <w:pPr>
        <w:pStyle w:val="Heading3"/>
        <w:rPr>
          <w:rStyle w:val="s1"/>
          <w:rFonts w:ascii="Arial" w:hAnsi="Arial" w:cs="Arial"/>
          <w:i/>
          <w:iCs/>
          <w:color w:val="4472C4" w:themeColor="accent1"/>
          <w:sz w:val="28"/>
          <w:szCs w:val="28"/>
        </w:rPr>
      </w:pPr>
      <w:bookmarkStart w:id="14" w:name="_Toc213403117"/>
    </w:p>
    <w:p w14:paraId="7181DE68" w14:textId="77777777" w:rsidR="00C03258" w:rsidRPr="00C03258" w:rsidRDefault="00C03258" w:rsidP="00C03258"/>
    <w:p w14:paraId="24EB2D80" w14:textId="4CD1E112" w:rsidR="0071546B" w:rsidRPr="0095720D" w:rsidRDefault="0071546B" w:rsidP="0071546B">
      <w:pPr>
        <w:pStyle w:val="Heading3"/>
        <w:rPr>
          <w:rFonts w:ascii="Arial" w:hAnsi="Arial" w:cs="Arial"/>
          <w:i/>
          <w:iCs/>
          <w:color w:val="4472C4" w:themeColor="accent1"/>
          <w:sz w:val="28"/>
          <w:szCs w:val="28"/>
        </w:rPr>
      </w:pPr>
      <w:r w:rsidRPr="0095720D">
        <w:rPr>
          <w:rStyle w:val="s1"/>
          <w:rFonts w:ascii="Arial" w:hAnsi="Arial" w:cs="Arial"/>
          <w:i/>
          <w:iCs/>
          <w:color w:val="4472C4" w:themeColor="accent1"/>
          <w:sz w:val="28"/>
          <w:szCs w:val="28"/>
        </w:rPr>
        <w:lastRenderedPageBreak/>
        <w:t>2.</w:t>
      </w:r>
      <w:r w:rsidR="002567D6" w:rsidRPr="0095720D">
        <w:rPr>
          <w:rStyle w:val="s1"/>
          <w:rFonts w:ascii="Arial" w:hAnsi="Arial" w:cs="Arial"/>
          <w:i/>
          <w:iCs/>
          <w:color w:val="4472C4" w:themeColor="accent1"/>
          <w:sz w:val="28"/>
          <w:szCs w:val="28"/>
        </w:rPr>
        <w:t xml:space="preserve">3 </w:t>
      </w:r>
      <w:r w:rsidRPr="0095720D">
        <w:rPr>
          <w:rStyle w:val="s1"/>
          <w:rFonts w:ascii="Arial" w:hAnsi="Arial" w:cs="Arial"/>
          <w:i/>
          <w:iCs/>
          <w:color w:val="4472C4" w:themeColor="accent1"/>
          <w:sz w:val="28"/>
          <w:szCs w:val="28"/>
        </w:rPr>
        <w:t>Key Performance Indicators (KPIs)</w:t>
      </w:r>
      <w:bookmarkEnd w:id="14"/>
    </w:p>
    <w:p w14:paraId="364555F0" w14:textId="77777777" w:rsidR="00013C69" w:rsidRPr="000B5DE4" w:rsidRDefault="00013C69" w:rsidP="00013C69">
      <w:pPr>
        <w:pStyle w:val="p1"/>
        <w:rPr>
          <w:rFonts w:ascii="Arial" w:hAnsi="Arial" w:cs="Arial"/>
        </w:rPr>
      </w:pPr>
      <w:r w:rsidRPr="000B5DE4">
        <w:rPr>
          <w:rStyle w:val="s1"/>
          <w:rFonts w:ascii="Arial" w:hAnsi="Arial" w:cs="Arial"/>
        </w:rPr>
        <w:t>To evaluate progress, the project will use measurable indicators aligned with SMART goals. The main KPIs include:</w:t>
      </w:r>
    </w:p>
    <w:p w14:paraId="1CFEB061" w14:textId="77777777" w:rsidR="00013C69" w:rsidRPr="000B5DE4" w:rsidRDefault="00013C69" w:rsidP="00013C69">
      <w:pPr>
        <w:pStyle w:val="p1"/>
        <w:numPr>
          <w:ilvl w:val="0"/>
          <w:numId w:val="13"/>
        </w:numPr>
        <w:rPr>
          <w:rFonts w:ascii="Arial" w:hAnsi="Arial" w:cs="Arial"/>
        </w:rPr>
      </w:pPr>
      <w:r w:rsidRPr="000B5DE4">
        <w:rPr>
          <w:rStyle w:val="s1"/>
          <w:rFonts w:ascii="Arial" w:hAnsi="Arial" w:cs="Arial"/>
        </w:rPr>
        <w:t>Percentage of project milestones achieved on time.</w:t>
      </w:r>
    </w:p>
    <w:p w14:paraId="71C14B0F" w14:textId="77777777" w:rsidR="00013C69" w:rsidRPr="000B5DE4" w:rsidRDefault="00013C69" w:rsidP="00013C69">
      <w:pPr>
        <w:pStyle w:val="p1"/>
        <w:numPr>
          <w:ilvl w:val="0"/>
          <w:numId w:val="13"/>
        </w:numPr>
        <w:rPr>
          <w:rFonts w:ascii="Arial" w:hAnsi="Arial" w:cs="Arial"/>
        </w:rPr>
      </w:pPr>
      <w:r w:rsidRPr="000B5DE4">
        <w:rPr>
          <w:rStyle w:val="s1"/>
          <w:rFonts w:ascii="Arial" w:hAnsi="Arial" w:cs="Arial"/>
        </w:rPr>
        <w:t>Stakeholder satisfaction level (measured through surveys and feedback forms).</w:t>
      </w:r>
    </w:p>
    <w:p w14:paraId="1F6965C7" w14:textId="77777777" w:rsidR="00013C69" w:rsidRPr="000B5DE4" w:rsidRDefault="00013C69" w:rsidP="00013C69">
      <w:pPr>
        <w:pStyle w:val="p1"/>
        <w:numPr>
          <w:ilvl w:val="0"/>
          <w:numId w:val="13"/>
        </w:numPr>
        <w:rPr>
          <w:rFonts w:ascii="Arial" w:hAnsi="Arial" w:cs="Arial"/>
        </w:rPr>
      </w:pPr>
      <w:r w:rsidRPr="000B5DE4">
        <w:rPr>
          <w:rStyle w:val="s1"/>
          <w:rFonts w:ascii="Arial" w:hAnsi="Arial" w:cs="Arial"/>
        </w:rPr>
        <w:t>Number of communication issues resolved within the expected timeframe.</w:t>
      </w:r>
    </w:p>
    <w:p w14:paraId="2972495A" w14:textId="77777777" w:rsidR="00013C69" w:rsidRPr="000B5DE4" w:rsidRDefault="00013C69" w:rsidP="00013C69">
      <w:pPr>
        <w:pStyle w:val="p1"/>
        <w:numPr>
          <w:ilvl w:val="0"/>
          <w:numId w:val="13"/>
        </w:numPr>
        <w:rPr>
          <w:rFonts w:ascii="Arial" w:hAnsi="Arial" w:cs="Arial"/>
        </w:rPr>
      </w:pPr>
      <w:r w:rsidRPr="000B5DE4">
        <w:rPr>
          <w:rStyle w:val="s1"/>
          <w:rFonts w:ascii="Arial" w:hAnsi="Arial" w:cs="Arial"/>
        </w:rPr>
        <w:t>Reduction of project delays or budget overruns.</w:t>
      </w:r>
    </w:p>
    <w:p w14:paraId="2074D52B" w14:textId="77777777" w:rsidR="00013C69" w:rsidRPr="000B5DE4" w:rsidRDefault="00013C69" w:rsidP="00013C69">
      <w:pPr>
        <w:pStyle w:val="p1"/>
        <w:numPr>
          <w:ilvl w:val="0"/>
          <w:numId w:val="13"/>
        </w:numPr>
        <w:rPr>
          <w:rFonts w:ascii="Arial" w:hAnsi="Arial" w:cs="Arial"/>
        </w:rPr>
      </w:pPr>
      <w:r w:rsidRPr="000B5DE4">
        <w:rPr>
          <w:rStyle w:val="s1"/>
          <w:rFonts w:ascii="Arial" w:hAnsi="Arial" w:cs="Arial"/>
        </w:rPr>
        <w:t>Market readiness and regulatory approval before the launch date.</w:t>
      </w:r>
    </w:p>
    <w:p w14:paraId="3D22936F" w14:textId="77777777" w:rsidR="00013C69" w:rsidRPr="000B5DE4" w:rsidRDefault="00013C69" w:rsidP="00013C69">
      <w:pPr>
        <w:pStyle w:val="p3"/>
        <w:rPr>
          <w:rFonts w:ascii="Arial" w:hAnsi="Arial" w:cs="Arial"/>
        </w:rPr>
      </w:pPr>
    </w:p>
    <w:p w14:paraId="2EFA68A8" w14:textId="77777777" w:rsidR="0095720D" w:rsidRDefault="00013C69" w:rsidP="0095720D">
      <w:pPr>
        <w:rPr>
          <w:rStyle w:val="s1"/>
          <w:rFonts w:ascii="Arial" w:hAnsi="Arial" w:cs="Arial"/>
          <w:sz w:val="24"/>
          <w:szCs w:val="24"/>
        </w:rPr>
      </w:pPr>
      <w:r w:rsidRPr="000B5DE4">
        <w:rPr>
          <w:rStyle w:val="s1"/>
          <w:rFonts w:ascii="Arial" w:hAnsi="Arial" w:cs="Arial"/>
          <w:sz w:val="24"/>
          <w:szCs w:val="24"/>
        </w:rPr>
        <w:t>These KPIs will allow the project team to track success objectively, ensure transparency, and support decision-making throughout the six-month development period.</w:t>
      </w:r>
    </w:p>
    <w:p w14:paraId="580BB82E" w14:textId="77777777" w:rsidR="005757F2" w:rsidRDefault="005757F2" w:rsidP="0095720D">
      <w:pPr>
        <w:rPr>
          <w:rStyle w:val="s1"/>
          <w:rFonts w:ascii="Arial" w:hAnsi="Arial" w:cs="Arial"/>
          <w:sz w:val="24"/>
          <w:szCs w:val="24"/>
        </w:rPr>
      </w:pPr>
    </w:p>
    <w:p w14:paraId="178E8CFF" w14:textId="77777777" w:rsidR="00C03258" w:rsidRDefault="00C03258" w:rsidP="0095720D">
      <w:pPr>
        <w:rPr>
          <w:rStyle w:val="s1"/>
          <w:rFonts w:ascii="Arial" w:hAnsi="Arial" w:cs="Arial"/>
          <w:sz w:val="24"/>
          <w:szCs w:val="24"/>
        </w:rPr>
      </w:pPr>
    </w:p>
    <w:p w14:paraId="3F45CDA9" w14:textId="77777777" w:rsidR="00C03258" w:rsidRDefault="00C03258" w:rsidP="0095720D">
      <w:pPr>
        <w:rPr>
          <w:rStyle w:val="s1"/>
          <w:rFonts w:ascii="Arial" w:hAnsi="Arial" w:cs="Arial"/>
          <w:sz w:val="24"/>
          <w:szCs w:val="24"/>
        </w:rPr>
      </w:pPr>
    </w:p>
    <w:p w14:paraId="49C0D4E0" w14:textId="77777777" w:rsidR="00C03258" w:rsidRDefault="00C03258" w:rsidP="0095720D">
      <w:pPr>
        <w:rPr>
          <w:rStyle w:val="s1"/>
          <w:rFonts w:ascii="Arial" w:hAnsi="Arial" w:cs="Arial"/>
          <w:sz w:val="24"/>
          <w:szCs w:val="24"/>
        </w:rPr>
      </w:pPr>
    </w:p>
    <w:p w14:paraId="523C85F1" w14:textId="77777777" w:rsidR="00C03258" w:rsidRDefault="00C03258" w:rsidP="0095720D">
      <w:pPr>
        <w:rPr>
          <w:rStyle w:val="s1"/>
          <w:rFonts w:ascii="Arial" w:hAnsi="Arial" w:cs="Arial"/>
          <w:sz w:val="24"/>
          <w:szCs w:val="24"/>
        </w:rPr>
      </w:pPr>
    </w:p>
    <w:p w14:paraId="3C13ECB0" w14:textId="77777777" w:rsidR="00C03258" w:rsidRDefault="00C03258" w:rsidP="0095720D">
      <w:pPr>
        <w:rPr>
          <w:rStyle w:val="s1"/>
          <w:rFonts w:ascii="Arial" w:hAnsi="Arial" w:cs="Arial"/>
          <w:sz w:val="24"/>
          <w:szCs w:val="24"/>
        </w:rPr>
      </w:pPr>
    </w:p>
    <w:p w14:paraId="41365427" w14:textId="77777777" w:rsidR="00C03258" w:rsidRDefault="00C03258" w:rsidP="0095720D">
      <w:pPr>
        <w:rPr>
          <w:rStyle w:val="s1"/>
          <w:rFonts w:ascii="Arial" w:hAnsi="Arial" w:cs="Arial"/>
          <w:sz w:val="24"/>
          <w:szCs w:val="24"/>
        </w:rPr>
      </w:pPr>
    </w:p>
    <w:p w14:paraId="33123AD9" w14:textId="77777777" w:rsidR="00C03258" w:rsidRDefault="00C03258" w:rsidP="0095720D">
      <w:pPr>
        <w:rPr>
          <w:rStyle w:val="s1"/>
          <w:rFonts w:ascii="Arial" w:hAnsi="Arial" w:cs="Arial"/>
          <w:sz w:val="24"/>
          <w:szCs w:val="24"/>
        </w:rPr>
      </w:pPr>
    </w:p>
    <w:p w14:paraId="08FC9C13" w14:textId="77777777" w:rsidR="00C03258" w:rsidRDefault="00C03258" w:rsidP="0095720D">
      <w:pPr>
        <w:rPr>
          <w:rStyle w:val="s1"/>
          <w:rFonts w:ascii="Arial" w:hAnsi="Arial" w:cs="Arial"/>
          <w:sz w:val="24"/>
          <w:szCs w:val="24"/>
        </w:rPr>
      </w:pPr>
    </w:p>
    <w:p w14:paraId="33198FBC" w14:textId="77777777" w:rsidR="00C03258" w:rsidRDefault="00C03258" w:rsidP="0095720D">
      <w:pPr>
        <w:rPr>
          <w:rStyle w:val="s1"/>
          <w:rFonts w:ascii="Arial" w:hAnsi="Arial" w:cs="Arial"/>
          <w:sz w:val="24"/>
          <w:szCs w:val="24"/>
        </w:rPr>
      </w:pPr>
    </w:p>
    <w:p w14:paraId="3D2E54A6" w14:textId="77777777" w:rsidR="00C03258" w:rsidRDefault="00C03258" w:rsidP="0095720D">
      <w:pPr>
        <w:rPr>
          <w:rStyle w:val="s1"/>
          <w:rFonts w:ascii="Arial" w:hAnsi="Arial" w:cs="Arial"/>
          <w:sz w:val="24"/>
          <w:szCs w:val="24"/>
        </w:rPr>
      </w:pPr>
    </w:p>
    <w:p w14:paraId="78D8795B" w14:textId="77777777" w:rsidR="00C03258" w:rsidRDefault="00C03258" w:rsidP="0095720D">
      <w:pPr>
        <w:rPr>
          <w:rStyle w:val="s1"/>
          <w:rFonts w:ascii="Arial" w:hAnsi="Arial" w:cs="Arial"/>
          <w:sz w:val="24"/>
          <w:szCs w:val="24"/>
        </w:rPr>
      </w:pPr>
    </w:p>
    <w:p w14:paraId="5F2E7785" w14:textId="77777777" w:rsidR="00C03258" w:rsidRDefault="00C03258" w:rsidP="0095720D">
      <w:pPr>
        <w:rPr>
          <w:rStyle w:val="s1"/>
          <w:rFonts w:ascii="Arial" w:hAnsi="Arial" w:cs="Arial"/>
          <w:sz w:val="24"/>
          <w:szCs w:val="24"/>
        </w:rPr>
      </w:pPr>
    </w:p>
    <w:p w14:paraId="297A1F3E" w14:textId="77777777" w:rsidR="00C03258" w:rsidRDefault="00C03258" w:rsidP="0095720D">
      <w:pPr>
        <w:rPr>
          <w:rStyle w:val="s1"/>
          <w:rFonts w:ascii="Arial" w:hAnsi="Arial" w:cs="Arial"/>
          <w:sz w:val="24"/>
          <w:szCs w:val="24"/>
        </w:rPr>
      </w:pPr>
    </w:p>
    <w:p w14:paraId="36F460CC" w14:textId="77777777" w:rsidR="00C03258" w:rsidRDefault="00C03258" w:rsidP="0095720D">
      <w:pPr>
        <w:rPr>
          <w:rStyle w:val="s1"/>
          <w:rFonts w:ascii="Arial" w:hAnsi="Arial" w:cs="Arial"/>
          <w:sz w:val="24"/>
          <w:szCs w:val="24"/>
        </w:rPr>
      </w:pPr>
    </w:p>
    <w:p w14:paraId="6B79ED67" w14:textId="77777777" w:rsidR="00C03258" w:rsidRDefault="00C03258" w:rsidP="0095720D">
      <w:pPr>
        <w:rPr>
          <w:rStyle w:val="s1"/>
          <w:rFonts w:ascii="Arial" w:hAnsi="Arial" w:cs="Arial"/>
          <w:sz w:val="24"/>
          <w:szCs w:val="24"/>
        </w:rPr>
      </w:pPr>
    </w:p>
    <w:p w14:paraId="527F1C17" w14:textId="77777777" w:rsidR="00C03258" w:rsidRDefault="00C03258" w:rsidP="0095720D">
      <w:pPr>
        <w:rPr>
          <w:rStyle w:val="s1"/>
          <w:rFonts w:ascii="Arial" w:hAnsi="Arial" w:cs="Arial"/>
          <w:sz w:val="24"/>
          <w:szCs w:val="24"/>
        </w:rPr>
      </w:pPr>
    </w:p>
    <w:p w14:paraId="5C620C1A" w14:textId="77777777" w:rsidR="00C03258" w:rsidRDefault="00C03258" w:rsidP="0095720D">
      <w:pPr>
        <w:rPr>
          <w:rStyle w:val="s1"/>
          <w:rFonts w:ascii="Arial" w:hAnsi="Arial" w:cs="Arial"/>
          <w:sz w:val="24"/>
          <w:szCs w:val="24"/>
        </w:rPr>
      </w:pPr>
    </w:p>
    <w:p w14:paraId="6ACDF6BC" w14:textId="77777777" w:rsidR="00C03258" w:rsidRDefault="00C03258" w:rsidP="0095720D">
      <w:pPr>
        <w:rPr>
          <w:rStyle w:val="s1"/>
          <w:rFonts w:ascii="Arial" w:hAnsi="Arial" w:cs="Arial"/>
          <w:sz w:val="24"/>
          <w:szCs w:val="24"/>
        </w:rPr>
      </w:pPr>
    </w:p>
    <w:p w14:paraId="06B03068" w14:textId="53B89236" w:rsidR="009D2C90" w:rsidRPr="0095720D" w:rsidRDefault="009D2C90" w:rsidP="0095720D">
      <w:pPr>
        <w:rPr>
          <w:rFonts w:ascii="Arial" w:hAnsi="Arial" w:cs="Arial"/>
          <w:b/>
          <w:bCs/>
          <w:sz w:val="24"/>
          <w:szCs w:val="24"/>
        </w:rPr>
      </w:pPr>
      <w:r w:rsidRPr="0095720D">
        <w:rPr>
          <w:rStyle w:val="s1"/>
          <w:rFonts w:ascii="Arial" w:hAnsi="Arial" w:cs="Arial"/>
          <w:b/>
          <w:bCs/>
          <w:i/>
          <w:iCs/>
          <w:sz w:val="32"/>
          <w:szCs w:val="32"/>
        </w:rPr>
        <w:lastRenderedPageBreak/>
        <w:t>3.0 Stakeholder Identification and Analysis</w:t>
      </w:r>
    </w:p>
    <w:p w14:paraId="12BA777C" w14:textId="77777777" w:rsidR="00DD14C7" w:rsidRPr="000B5DE4" w:rsidRDefault="00DD14C7" w:rsidP="00DD14C7">
      <w:pPr>
        <w:pStyle w:val="p1"/>
        <w:rPr>
          <w:rFonts w:ascii="Arial" w:hAnsi="Arial" w:cs="Arial"/>
        </w:rPr>
      </w:pPr>
      <w:bookmarkStart w:id="15" w:name="OLE_LINK12"/>
      <w:r w:rsidRPr="000B5DE4">
        <w:rPr>
          <w:rStyle w:val="s1"/>
          <w:rFonts w:ascii="Arial" w:hAnsi="Arial" w:cs="Arial"/>
        </w:rPr>
        <w:t>Stakeholder identification is essential for understanding who influences and is influenced by the wearable health device project. Owen Mumford Ltd operates within a diverse healthcare ecosystem that includes both internal departments and external partners.</w:t>
      </w:r>
    </w:p>
    <w:bookmarkEnd w:id="15"/>
    <w:p w14:paraId="5A7F4BB8" w14:textId="53BE471D" w:rsidR="009D2C90" w:rsidRPr="0095720D" w:rsidRDefault="009D2C90" w:rsidP="0095720D">
      <w:pPr>
        <w:rPr>
          <w:rFonts w:ascii="Arial" w:hAnsi="Arial" w:cs="Arial"/>
          <w:i/>
          <w:iCs/>
          <w:color w:val="4472C4" w:themeColor="accent1"/>
          <w:sz w:val="28"/>
          <w:szCs w:val="28"/>
        </w:rPr>
      </w:pPr>
      <w:r w:rsidRPr="0095720D">
        <w:rPr>
          <w:rStyle w:val="s1"/>
          <w:rFonts w:ascii="Arial" w:hAnsi="Arial" w:cs="Arial"/>
          <w:i/>
          <w:iCs/>
          <w:color w:val="4472C4" w:themeColor="accent1"/>
          <w:sz w:val="28"/>
          <w:szCs w:val="28"/>
        </w:rPr>
        <w:t>3.1 Identification of Internal and External Stakeholders</w:t>
      </w:r>
    </w:p>
    <w:p w14:paraId="0CF17BCC" w14:textId="3D2A33C8" w:rsidR="002567D6" w:rsidRPr="000B5DE4" w:rsidRDefault="00E91659" w:rsidP="002567D6">
      <w:pPr>
        <w:pStyle w:val="p1"/>
        <w:rPr>
          <w:rStyle w:val="s1"/>
          <w:rFonts w:ascii="Arial" w:hAnsi="Arial" w:cs="Arial"/>
        </w:rPr>
      </w:pPr>
      <w:r w:rsidRPr="000B5DE4">
        <w:rPr>
          <w:rStyle w:val="s1"/>
          <w:rFonts w:ascii="Arial" w:hAnsi="Arial" w:cs="Arial"/>
        </w:rPr>
        <w:t>Stakeholder identification is essential for understanding who influences and is influenced by the wearable health device project. Owen Mumford Ltd operates within a diverse healthcare ecosystem that includes both internal departments and external partners.</w:t>
      </w:r>
    </w:p>
    <w:tbl>
      <w:tblPr>
        <w:tblStyle w:val="GridTable4-Accent1"/>
        <w:tblW w:w="9129" w:type="dxa"/>
        <w:tblLook w:val="04A0" w:firstRow="1" w:lastRow="0" w:firstColumn="1" w:lastColumn="0" w:noHBand="0" w:noVBand="1"/>
      </w:tblPr>
      <w:tblGrid>
        <w:gridCol w:w="1164"/>
        <w:gridCol w:w="2859"/>
        <w:gridCol w:w="5106"/>
      </w:tblGrid>
      <w:tr w:rsidR="002719E9" w:rsidRPr="000B5DE4" w14:paraId="24609A82" w14:textId="77777777" w:rsidTr="00557F2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9" w:type="dxa"/>
          </w:tcPr>
          <w:p w14:paraId="11889E98" w14:textId="43D62261" w:rsidR="002719E9" w:rsidRPr="000B5DE4" w:rsidRDefault="002719E9" w:rsidP="002719E9">
            <w:pPr>
              <w:pStyle w:val="p1"/>
              <w:rPr>
                <w:rFonts w:ascii="Arial" w:hAnsi="Arial" w:cs="Arial"/>
              </w:rPr>
            </w:pPr>
            <w:r w:rsidRPr="000B5DE4">
              <w:rPr>
                <w:rStyle w:val="s1"/>
                <w:rFonts w:ascii="Arial" w:hAnsi="Arial" w:cs="Arial"/>
                <w:b w:val="0"/>
                <w:bCs w:val="0"/>
              </w:rPr>
              <w:t>Type</w:t>
            </w:r>
          </w:p>
        </w:tc>
        <w:tc>
          <w:tcPr>
            <w:tcW w:w="2863" w:type="dxa"/>
          </w:tcPr>
          <w:p w14:paraId="4138DB4D" w14:textId="792D99F7" w:rsidR="002719E9" w:rsidRPr="000B5DE4" w:rsidRDefault="002719E9" w:rsidP="002719E9">
            <w:pPr>
              <w:pStyle w:val="p1"/>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Stakeholder Group</w:t>
            </w:r>
          </w:p>
        </w:tc>
        <w:tc>
          <w:tcPr>
            <w:tcW w:w="5117" w:type="dxa"/>
          </w:tcPr>
          <w:p w14:paraId="3D41E7A6" w14:textId="5BBDA804" w:rsidR="002719E9" w:rsidRPr="000B5DE4" w:rsidRDefault="002719E9" w:rsidP="002719E9">
            <w:pPr>
              <w:pStyle w:val="p1"/>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 xml:space="preserve">Role </w:t>
            </w:r>
            <w:r w:rsidR="00AC0950" w:rsidRPr="000B5DE4">
              <w:rPr>
                <w:rStyle w:val="s1"/>
                <w:rFonts w:ascii="Arial" w:hAnsi="Arial" w:cs="Arial"/>
                <w:b w:val="0"/>
                <w:bCs w:val="0"/>
              </w:rPr>
              <w:t xml:space="preserve">and </w:t>
            </w:r>
            <w:r w:rsidRPr="000B5DE4">
              <w:rPr>
                <w:rStyle w:val="s1"/>
                <w:rFonts w:ascii="Arial" w:hAnsi="Arial" w:cs="Arial"/>
                <w:b w:val="0"/>
                <w:bCs w:val="0"/>
              </w:rPr>
              <w:t>Responsibility</w:t>
            </w:r>
          </w:p>
        </w:tc>
      </w:tr>
      <w:tr w:rsidR="00387535" w:rsidRPr="000B5DE4" w14:paraId="37958E82"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2914207B" w14:textId="4AD7E75D" w:rsidR="00387535" w:rsidRPr="000B5DE4" w:rsidRDefault="00387535" w:rsidP="00387535">
            <w:pPr>
              <w:pStyle w:val="p1"/>
              <w:rPr>
                <w:rFonts w:ascii="Arial" w:hAnsi="Arial" w:cs="Arial"/>
              </w:rPr>
            </w:pPr>
            <w:r w:rsidRPr="000B5DE4">
              <w:rPr>
                <w:rStyle w:val="s1"/>
                <w:rFonts w:ascii="Arial" w:hAnsi="Arial" w:cs="Arial"/>
              </w:rPr>
              <w:t>Internal</w:t>
            </w:r>
          </w:p>
        </w:tc>
        <w:tc>
          <w:tcPr>
            <w:tcW w:w="2863" w:type="dxa"/>
          </w:tcPr>
          <w:p w14:paraId="042ECB74" w14:textId="4E6503D4"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Executive Board</w:t>
            </w:r>
          </w:p>
        </w:tc>
        <w:tc>
          <w:tcPr>
            <w:tcW w:w="5117" w:type="dxa"/>
          </w:tcPr>
          <w:p w14:paraId="123FE088" w14:textId="201638D1" w:rsidR="00387535" w:rsidRPr="000B5DE4" w:rsidRDefault="00502C26"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Approves budget, ensures strategic alignment.</w:t>
            </w:r>
          </w:p>
        </w:tc>
      </w:tr>
      <w:tr w:rsidR="00387535" w:rsidRPr="000B5DE4" w14:paraId="3B824146"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7F88E78A" w14:textId="77777777" w:rsidR="00387535" w:rsidRPr="000B5DE4" w:rsidRDefault="00387535" w:rsidP="00387535">
            <w:pPr>
              <w:pStyle w:val="p1"/>
              <w:rPr>
                <w:rFonts w:ascii="Arial" w:hAnsi="Arial" w:cs="Arial"/>
              </w:rPr>
            </w:pPr>
          </w:p>
        </w:tc>
        <w:tc>
          <w:tcPr>
            <w:tcW w:w="2863" w:type="dxa"/>
          </w:tcPr>
          <w:p w14:paraId="4227A2ED" w14:textId="1D64528C"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Project Manager</w:t>
            </w:r>
          </w:p>
        </w:tc>
        <w:tc>
          <w:tcPr>
            <w:tcW w:w="5117" w:type="dxa"/>
          </w:tcPr>
          <w:p w14:paraId="05A23970" w14:textId="2CBF994E"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Oversees planning, coordination, and stakeholder relations.</w:t>
            </w:r>
          </w:p>
        </w:tc>
      </w:tr>
      <w:tr w:rsidR="00387535" w:rsidRPr="000B5DE4" w14:paraId="52BB3852"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0F0EEE21" w14:textId="77777777" w:rsidR="00387535" w:rsidRPr="000B5DE4" w:rsidRDefault="00387535" w:rsidP="00387535">
            <w:pPr>
              <w:pStyle w:val="p1"/>
              <w:rPr>
                <w:rFonts w:ascii="Arial" w:hAnsi="Arial" w:cs="Arial"/>
              </w:rPr>
            </w:pPr>
          </w:p>
        </w:tc>
        <w:tc>
          <w:tcPr>
            <w:tcW w:w="2863" w:type="dxa"/>
          </w:tcPr>
          <w:p w14:paraId="4AD21758" w14:textId="4D691403"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R&amp;D Department</w:t>
            </w:r>
          </w:p>
        </w:tc>
        <w:tc>
          <w:tcPr>
            <w:tcW w:w="5117" w:type="dxa"/>
          </w:tcPr>
          <w:p w14:paraId="78D65D03" w14:textId="5331864A"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Designs and tests the wearable device.</w:t>
            </w:r>
          </w:p>
        </w:tc>
      </w:tr>
      <w:tr w:rsidR="00387535" w:rsidRPr="000B5DE4" w14:paraId="58061E5F"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736C81C5" w14:textId="77777777" w:rsidR="00387535" w:rsidRPr="000B5DE4" w:rsidRDefault="00387535" w:rsidP="00387535">
            <w:pPr>
              <w:pStyle w:val="p1"/>
              <w:rPr>
                <w:rFonts w:ascii="Arial" w:hAnsi="Arial" w:cs="Arial"/>
              </w:rPr>
            </w:pPr>
          </w:p>
        </w:tc>
        <w:tc>
          <w:tcPr>
            <w:tcW w:w="2863" w:type="dxa"/>
          </w:tcPr>
          <w:p w14:paraId="24BB568F" w14:textId="2DF99E80"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Marketing &amp; Sales</w:t>
            </w:r>
          </w:p>
        </w:tc>
        <w:tc>
          <w:tcPr>
            <w:tcW w:w="5117" w:type="dxa"/>
          </w:tcPr>
          <w:p w14:paraId="41F46652" w14:textId="5C425144"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Prepares launch strategy and customer communication.</w:t>
            </w:r>
          </w:p>
        </w:tc>
      </w:tr>
      <w:tr w:rsidR="00387535" w:rsidRPr="000B5DE4" w14:paraId="70826461"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7DC80065" w14:textId="77777777" w:rsidR="00387535" w:rsidRPr="000B5DE4" w:rsidRDefault="00387535" w:rsidP="00387535">
            <w:pPr>
              <w:pStyle w:val="p1"/>
              <w:rPr>
                <w:rFonts w:ascii="Arial" w:hAnsi="Arial" w:cs="Arial"/>
              </w:rPr>
            </w:pPr>
          </w:p>
        </w:tc>
        <w:tc>
          <w:tcPr>
            <w:tcW w:w="2863" w:type="dxa"/>
          </w:tcPr>
          <w:p w14:paraId="7CC41361" w14:textId="77348374"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Finance</w:t>
            </w:r>
          </w:p>
        </w:tc>
        <w:tc>
          <w:tcPr>
            <w:tcW w:w="5117" w:type="dxa"/>
          </w:tcPr>
          <w:p w14:paraId="092877A3" w14:textId="34A3EC9B" w:rsidR="00387535" w:rsidRPr="000B5DE4" w:rsidRDefault="00387535" w:rsidP="00387535">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Manages budget and cost efficiency.</w:t>
            </w:r>
          </w:p>
        </w:tc>
      </w:tr>
      <w:tr w:rsidR="00502C26" w:rsidRPr="000B5DE4" w14:paraId="5526F801"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5551D7F8" w14:textId="1899D942" w:rsidR="00502C26" w:rsidRPr="000B5DE4" w:rsidRDefault="00502C26" w:rsidP="00502C26">
            <w:pPr>
              <w:pStyle w:val="p1"/>
              <w:rPr>
                <w:rFonts w:ascii="Arial" w:hAnsi="Arial" w:cs="Arial"/>
              </w:rPr>
            </w:pPr>
            <w:r w:rsidRPr="000B5DE4">
              <w:rPr>
                <w:rStyle w:val="s1"/>
                <w:rFonts w:ascii="Arial" w:hAnsi="Arial" w:cs="Arial"/>
              </w:rPr>
              <w:t>External</w:t>
            </w:r>
          </w:p>
        </w:tc>
        <w:tc>
          <w:tcPr>
            <w:tcW w:w="2863" w:type="dxa"/>
          </w:tcPr>
          <w:p w14:paraId="3FD7332A" w14:textId="018493C9"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Suppliers</w:t>
            </w:r>
          </w:p>
        </w:tc>
        <w:tc>
          <w:tcPr>
            <w:tcW w:w="5117" w:type="dxa"/>
          </w:tcPr>
          <w:p w14:paraId="3DD2A594" w14:textId="56264854"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Provide components and ensure quality.</w:t>
            </w:r>
          </w:p>
        </w:tc>
      </w:tr>
      <w:tr w:rsidR="00502C26" w:rsidRPr="000B5DE4" w14:paraId="0704E74B"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53052504" w14:textId="77777777" w:rsidR="00502C26" w:rsidRPr="000B5DE4" w:rsidRDefault="00502C26" w:rsidP="00502C26">
            <w:pPr>
              <w:pStyle w:val="p1"/>
              <w:rPr>
                <w:rFonts w:ascii="Arial" w:hAnsi="Arial" w:cs="Arial"/>
              </w:rPr>
            </w:pPr>
          </w:p>
        </w:tc>
        <w:tc>
          <w:tcPr>
            <w:tcW w:w="2863" w:type="dxa"/>
          </w:tcPr>
          <w:p w14:paraId="0769DE74" w14:textId="7CF75B76" w:rsidR="00502C26" w:rsidRPr="000B5DE4" w:rsidRDefault="00D80195"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Healthcare Professionals</w:t>
            </w:r>
          </w:p>
        </w:tc>
        <w:tc>
          <w:tcPr>
            <w:tcW w:w="5117" w:type="dxa"/>
          </w:tcPr>
          <w:p w14:paraId="0387AD02" w14:textId="5CD9DCC6" w:rsidR="00502C26" w:rsidRPr="000B5DE4" w:rsidRDefault="00D80195"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Validate device accuracy and usability.</w:t>
            </w:r>
          </w:p>
        </w:tc>
      </w:tr>
      <w:tr w:rsidR="00502C26" w:rsidRPr="000B5DE4" w14:paraId="4D4BB786"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6229D93F" w14:textId="77777777" w:rsidR="00502C26" w:rsidRPr="000B5DE4" w:rsidRDefault="00502C26" w:rsidP="00502C26">
            <w:pPr>
              <w:pStyle w:val="p1"/>
              <w:rPr>
                <w:rFonts w:ascii="Arial" w:hAnsi="Arial" w:cs="Arial"/>
              </w:rPr>
            </w:pPr>
          </w:p>
        </w:tc>
        <w:tc>
          <w:tcPr>
            <w:tcW w:w="2863" w:type="dxa"/>
          </w:tcPr>
          <w:p w14:paraId="7A803E25" w14:textId="27246CFF"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Regulators (MHRA/NHS)</w:t>
            </w:r>
          </w:p>
        </w:tc>
        <w:tc>
          <w:tcPr>
            <w:tcW w:w="5117" w:type="dxa"/>
          </w:tcPr>
          <w:p w14:paraId="24DCFFBD" w14:textId="3B7640B6"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Approve compliance and certification.</w:t>
            </w:r>
          </w:p>
        </w:tc>
      </w:tr>
      <w:tr w:rsidR="00502C26" w:rsidRPr="000B5DE4" w14:paraId="22AAE011"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6CCC5C8E" w14:textId="77777777" w:rsidR="00502C26" w:rsidRPr="000B5DE4" w:rsidRDefault="00502C26" w:rsidP="00502C26">
            <w:pPr>
              <w:pStyle w:val="p1"/>
              <w:rPr>
                <w:rFonts w:ascii="Arial" w:hAnsi="Arial" w:cs="Arial"/>
              </w:rPr>
            </w:pPr>
          </w:p>
        </w:tc>
        <w:tc>
          <w:tcPr>
            <w:tcW w:w="2863" w:type="dxa"/>
          </w:tcPr>
          <w:p w14:paraId="77079B5C" w14:textId="429D6A4C"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Patients / Customers</w:t>
            </w:r>
          </w:p>
        </w:tc>
        <w:tc>
          <w:tcPr>
            <w:tcW w:w="5117" w:type="dxa"/>
          </w:tcPr>
          <w:p w14:paraId="79E00849" w14:textId="2C03B9D5"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Test and use the device; provide feedback.</w:t>
            </w:r>
          </w:p>
        </w:tc>
      </w:tr>
      <w:tr w:rsidR="00502C26" w:rsidRPr="000B5DE4" w14:paraId="03806F1A" w14:textId="77777777" w:rsidTr="00557F2B">
        <w:tc>
          <w:tcPr>
            <w:cnfStyle w:val="001000000000" w:firstRow="0" w:lastRow="0" w:firstColumn="1" w:lastColumn="0" w:oddVBand="0" w:evenVBand="0" w:oddHBand="0" w:evenHBand="0" w:firstRowFirstColumn="0" w:firstRowLastColumn="0" w:lastRowFirstColumn="0" w:lastRowLastColumn="0"/>
            <w:tcW w:w="1149" w:type="dxa"/>
          </w:tcPr>
          <w:p w14:paraId="1062B648" w14:textId="77777777" w:rsidR="00502C26" w:rsidRPr="000B5DE4" w:rsidRDefault="00502C26" w:rsidP="00502C26">
            <w:pPr>
              <w:pStyle w:val="p1"/>
              <w:rPr>
                <w:rFonts w:ascii="Arial" w:hAnsi="Arial" w:cs="Arial"/>
              </w:rPr>
            </w:pPr>
          </w:p>
        </w:tc>
        <w:tc>
          <w:tcPr>
            <w:tcW w:w="2863" w:type="dxa"/>
          </w:tcPr>
          <w:p w14:paraId="35F7B449" w14:textId="25FCDA27"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Investors</w:t>
            </w:r>
          </w:p>
        </w:tc>
        <w:tc>
          <w:tcPr>
            <w:tcW w:w="5117" w:type="dxa"/>
          </w:tcPr>
          <w:p w14:paraId="7ACC1CF9" w14:textId="7049BF5D" w:rsidR="00502C26" w:rsidRPr="000B5DE4" w:rsidRDefault="00502C26" w:rsidP="00502C26">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Supply funding and evaluate ROI.</w:t>
            </w:r>
          </w:p>
        </w:tc>
      </w:tr>
    </w:tbl>
    <w:p w14:paraId="584C1C99" w14:textId="77777777" w:rsidR="001904E7" w:rsidRPr="000B5DE4" w:rsidRDefault="001904E7" w:rsidP="002567D6">
      <w:pPr>
        <w:pStyle w:val="p1"/>
        <w:rPr>
          <w:rFonts w:ascii="Arial" w:hAnsi="Arial" w:cs="Arial"/>
        </w:rPr>
      </w:pPr>
    </w:p>
    <w:p w14:paraId="2B14A7B5" w14:textId="77777777" w:rsidR="001F183F" w:rsidRPr="000B5DE4" w:rsidRDefault="001F183F" w:rsidP="002567D6">
      <w:pPr>
        <w:pStyle w:val="p1"/>
        <w:rPr>
          <w:rFonts w:ascii="Arial" w:hAnsi="Arial" w:cs="Arial"/>
        </w:rPr>
      </w:pPr>
    </w:p>
    <w:p w14:paraId="100AB075" w14:textId="77777777" w:rsidR="001F183F" w:rsidRPr="000B5DE4" w:rsidRDefault="001F183F" w:rsidP="002567D6">
      <w:pPr>
        <w:pStyle w:val="p1"/>
        <w:rPr>
          <w:rFonts w:ascii="Arial" w:hAnsi="Arial" w:cs="Arial"/>
        </w:rPr>
      </w:pPr>
    </w:p>
    <w:p w14:paraId="2DBB7007" w14:textId="77777777" w:rsidR="00C03258" w:rsidRDefault="00C03258" w:rsidP="77057AA9">
      <w:pPr>
        <w:pStyle w:val="p1"/>
        <w:rPr>
          <w:rFonts w:ascii="Arial" w:hAnsi="Arial" w:cs="Arial"/>
        </w:rPr>
      </w:pPr>
    </w:p>
    <w:p w14:paraId="41DA1EBE" w14:textId="77777777" w:rsidR="00772398" w:rsidRPr="00772398" w:rsidRDefault="00772398" w:rsidP="00772398"/>
    <w:p w14:paraId="31EEBB8A" w14:textId="469E4C18" w:rsidR="00793DA7" w:rsidRPr="0095720D" w:rsidRDefault="00793DA7" w:rsidP="0083159F">
      <w:pPr>
        <w:pStyle w:val="Heading3"/>
        <w:rPr>
          <w:rFonts w:ascii="Arial" w:hAnsi="Arial" w:cs="Arial"/>
          <w:i/>
          <w:iCs/>
          <w:color w:val="4472C4" w:themeColor="accent1"/>
          <w:sz w:val="28"/>
          <w:szCs w:val="28"/>
        </w:rPr>
      </w:pPr>
      <w:bookmarkStart w:id="16" w:name="_Toc213403118"/>
      <w:r w:rsidRPr="0095720D">
        <w:rPr>
          <w:rStyle w:val="s1"/>
          <w:rFonts w:ascii="Arial" w:hAnsi="Arial" w:cs="Arial"/>
          <w:i/>
          <w:iCs/>
          <w:color w:val="4472C4" w:themeColor="accent1"/>
          <w:sz w:val="28"/>
          <w:szCs w:val="28"/>
        </w:rPr>
        <w:t>3.2 Stakeholder Roles, Benefits, and Challenges</w:t>
      </w:r>
      <w:bookmarkEnd w:id="16"/>
    </w:p>
    <w:p w14:paraId="658EB24E" w14:textId="4B786A83" w:rsidR="00793DA7" w:rsidRPr="000B5DE4" w:rsidRDefault="00C37447" w:rsidP="0095720D">
      <w:pPr>
        <w:pStyle w:val="p1"/>
        <w:rPr>
          <w:rFonts w:ascii="Arial" w:hAnsi="Arial" w:cs="Arial"/>
        </w:rPr>
      </w:pPr>
      <w:r w:rsidRPr="000B5DE4">
        <w:rPr>
          <w:rStyle w:val="s1"/>
          <w:rFonts w:ascii="Arial" w:hAnsi="Arial" w:cs="Arial"/>
        </w:rPr>
        <w:t xml:space="preserve">A successful project depends on the ability to balance and manage the interests of multiple stakeholders. Each group contributes differently to the wearable health device project, influencing its progress, success, and long-term impact. The table below summarises the </w:t>
      </w:r>
      <w:r w:rsidRPr="000B5DE4">
        <w:rPr>
          <w:rStyle w:val="s2"/>
          <w:rFonts w:ascii="Arial" w:hAnsi="Arial" w:cs="Arial"/>
        </w:rPr>
        <w:t>roles, benefits, and challenges</w:t>
      </w:r>
      <w:r w:rsidRPr="000B5DE4">
        <w:rPr>
          <w:rStyle w:val="s1"/>
          <w:rFonts w:ascii="Arial" w:hAnsi="Arial" w:cs="Arial"/>
        </w:rPr>
        <w:t xml:space="preserve"> associated with each stakeholder involved in the project.</w:t>
      </w:r>
    </w:p>
    <w:tbl>
      <w:tblPr>
        <w:tblStyle w:val="ListTable4-Accent1"/>
        <w:tblW w:w="0" w:type="auto"/>
        <w:tblLook w:val="04A0" w:firstRow="1" w:lastRow="0" w:firstColumn="1" w:lastColumn="0" w:noHBand="0" w:noVBand="1"/>
      </w:tblPr>
      <w:tblGrid>
        <w:gridCol w:w="1838"/>
        <w:gridCol w:w="2410"/>
        <w:gridCol w:w="2268"/>
        <w:gridCol w:w="2500"/>
      </w:tblGrid>
      <w:tr w:rsidR="008B2ADE" w:rsidRPr="000B5DE4" w14:paraId="007DEABB" w14:textId="77777777" w:rsidTr="00EE23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9C74584" w14:textId="30591F2F"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b w:val="0"/>
                <w:bCs w:val="0"/>
                <w:sz w:val="24"/>
                <w:szCs w:val="24"/>
              </w:rPr>
              <w:lastRenderedPageBreak/>
              <w:t>Stakeholder</w:t>
            </w:r>
          </w:p>
        </w:tc>
        <w:tc>
          <w:tcPr>
            <w:tcW w:w="2410" w:type="dxa"/>
          </w:tcPr>
          <w:p w14:paraId="1CC2C201" w14:textId="660E2118" w:rsidR="008B2ADE" w:rsidRPr="000B5DE4" w:rsidRDefault="008B2ADE" w:rsidP="008B2ADE">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b w:val="0"/>
                <w:bCs w:val="0"/>
                <w:sz w:val="24"/>
                <w:szCs w:val="24"/>
              </w:rPr>
              <w:t>Role / Responsibility</w:t>
            </w:r>
          </w:p>
        </w:tc>
        <w:tc>
          <w:tcPr>
            <w:tcW w:w="2268" w:type="dxa"/>
          </w:tcPr>
          <w:p w14:paraId="76996D29" w14:textId="47187973" w:rsidR="008B2ADE" w:rsidRPr="000B5DE4" w:rsidRDefault="008B2ADE" w:rsidP="008B2ADE">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b w:val="0"/>
                <w:bCs w:val="0"/>
                <w:sz w:val="24"/>
                <w:szCs w:val="24"/>
              </w:rPr>
              <w:t>Benefit from Project</w:t>
            </w:r>
          </w:p>
        </w:tc>
        <w:tc>
          <w:tcPr>
            <w:tcW w:w="2500" w:type="dxa"/>
          </w:tcPr>
          <w:p w14:paraId="76FDC510" w14:textId="10F8018E" w:rsidR="008B2ADE" w:rsidRPr="000B5DE4" w:rsidRDefault="008B2ADE" w:rsidP="008B2ADE">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b w:val="0"/>
                <w:bCs w:val="0"/>
                <w:sz w:val="24"/>
                <w:szCs w:val="24"/>
              </w:rPr>
              <w:t>Key Challenges</w:t>
            </w:r>
          </w:p>
        </w:tc>
      </w:tr>
      <w:tr w:rsidR="008B2ADE" w:rsidRPr="000B5DE4" w14:paraId="37952174" w14:textId="77777777" w:rsidTr="00EE2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79A2BB68" w14:textId="156050B9"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Project Manager</w:t>
            </w:r>
          </w:p>
        </w:tc>
        <w:tc>
          <w:tcPr>
            <w:tcW w:w="2410" w:type="dxa"/>
          </w:tcPr>
          <w:p w14:paraId="72FC7CD1" w14:textId="2B057C29" w:rsidR="008B2ADE" w:rsidRPr="000B5DE4" w:rsidRDefault="008B2ADE" w:rsidP="008B2AD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Oversees PLANNING, resource allocation, and progress monitoring.</w:t>
            </w:r>
          </w:p>
        </w:tc>
        <w:tc>
          <w:tcPr>
            <w:tcW w:w="2268" w:type="dxa"/>
          </w:tcPr>
          <w:p w14:paraId="5B4D42DA" w14:textId="4DD0446D" w:rsidR="008B2ADE"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Professional growth, leadership experience, and enhanced project management skills.</w:t>
            </w:r>
          </w:p>
        </w:tc>
        <w:tc>
          <w:tcPr>
            <w:tcW w:w="2500" w:type="dxa"/>
          </w:tcPr>
          <w:p w14:paraId="3E0A98CF" w14:textId="17D4C00B" w:rsidR="008B2ADE" w:rsidRPr="000B5DE4" w:rsidRDefault="008B2ADE" w:rsidP="008B2AD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Balancing expectations, meeting tight deadlines.</w:t>
            </w:r>
          </w:p>
        </w:tc>
      </w:tr>
      <w:tr w:rsidR="008B2ADE" w:rsidRPr="000B5DE4" w14:paraId="519FF542" w14:textId="77777777" w:rsidTr="00EE23F2">
        <w:tc>
          <w:tcPr>
            <w:cnfStyle w:val="001000000000" w:firstRow="0" w:lastRow="0" w:firstColumn="1" w:lastColumn="0" w:oddVBand="0" w:evenVBand="0" w:oddHBand="0" w:evenHBand="0" w:firstRowFirstColumn="0" w:firstRowLastColumn="0" w:lastRowFirstColumn="0" w:lastRowLastColumn="0"/>
            <w:tcW w:w="1838" w:type="dxa"/>
          </w:tcPr>
          <w:p w14:paraId="6F313A53" w14:textId="59AC8C13"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 xml:space="preserve">R&amp;D </w:t>
            </w:r>
            <w:r w:rsidR="002750B2" w:rsidRPr="000B5DE4">
              <w:rPr>
                <w:rStyle w:val="s1"/>
                <w:rFonts w:ascii="Arial" w:hAnsi="Arial" w:cs="Arial"/>
                <w:sz w:val="24"/>
                <w:szCs w:val="24"/>
              </w:rPr>
              <w:t>Department</w:t>
            </w:r>
          </w:p>
        </w:tc>
        <w:tc>
          <w:tcPr>
            <w:tcW w:w="2410" w:type="dxa"/>
          </w:tcPr>
          <w:p w14:paraId="4E978487" w14:textId="1BF39EFD" w:rsidR="008B2ADE" w:rsidRPr="000B5DE4" w:rsidRDefault="008B2ADE" w:rsidP="008B2AD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Designs, tests, and improves the device.</w:t>
            </w:r>
          </w:p>
        </w:tc>
        <w:tc>
          <w:tcPr>
            <w:tcW w:w="2268" w:type="dxa"/>
          </w:tcPr>
          <w:p w14:paraId="25C40AFB" w14:textId="23491421" w:rsidR="008B2ADE"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Opportunity for innovation, research advancement, and technical expertise.</w:t>
            </w:r>
          </w:p>
        </w:tc>
        <w:tc>
          <w:tcPr>
            <w:tcW w:w="2500" w:type="dxa"/>
          </w:tcPr>
          <w:p w14:paraId="6CE61426" w14:textId="6CAB368A" w:rsidR="008B2ADE" w:rsidRPr="000B5DE4" w:rsidRDefault="006C1AFE" w:rsidP="006C1AFE">
            <w:pPr>
              <w:spacing w:beforeAutospacing="1" w:afterAutospacing="1"/>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B5DE4">
              <w:rPr>
                <w:rStyle w:val="s1"/>
                <w:rFonts w:ascii="Arial" w:hAnsi="Arial" w:cs="Arial"/>
                <w:sz w:val="24"/>
                <w:szCs w:val="24"/>
              </w:rPr>
              <w:t>Regulatory compliance requirements and high workload within limited timeframes.</w:t>
            </w:r>
          </w:p>
        </w:tc>
      </w:tr>
      <w:tr w:rsidR="008B2ADE" w:rsidRPr="000B5DE4" w14:paraId="52D23360" w14:textId="77777777" w:rsidTr="00EE2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090BDC5" w14:textId="63EFAE4C"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Marketing Department</w:t>
            </w:r>
          </w:p>
        </w:tc>
        <w:tc>
          <w:tcPr>
            <w:tcW w:w="2410" w:type="dxa"/>
          </w:tcPr>
          <w:p w14:paraId="4BCCEB68" w14:textId="7CFE8DE5" w:rsidR="008B2ADE" w:rsidRPr="000B5DE4" w:rsidRDefault="008B2ADE" w:rsidP="008B2AD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Promotes the product, manages brand image.</w:t>
            </w:r>
          </w:p>
        </w:tc>
        <w:tc>
          <w:tcPr>
            <w:tcW w:w="2268" w:type="dxa"/>
          </w:tcPr>
          <w:p w14:paraId="0F6FE182" w14:textId="3C2686EF" w:rsidR="008B2ADE"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Increased market visibility and brand recognition.</w:t>
            </w:r>
          </w:p>
        </w:tc>
        <w:tc>
          <w:tcPr>
            <w:tcW w:w="2500" w:type="dxa"/>
          </w:tcPr>
          <w:p w14:paraId="522AE64F" w14:textId="45BE1CA5" w:rsidR="008B2ADE" w:rsidRPr="000B5DE4" w:rsidRDefault="008B2ADE" w:rsidP="008B2ADE">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Budget limitations, coordination with other teams.</w:t>
            </w:r>
          </w:p>
        </w:tc>
      </w:tr>
      <w:tr w:rsidR="008B2ADE" w:rsidRPr="000B5DE4" w14:paraId="583441B4" w14:textId="77777777" w:rsidTr="00EE23F2">
        <w:tc>
          <w:tcPr>
            <w:cnfStyle w:val="001000000000" w:firstRow="0" w:lastRow="0" w:firstColumn="1" w:lastColumn="0" w:oddVBand="0" w:evenVBand="0" w:oddHBand="0" w:evenHBand="0" w:firstRowFirstColumn="0" w:firstRowLastColumn="0" w:lastRowFirstColumn="0" w:lastRowLastColumn="0"/>
            <w:tcW w:w="1838" w:type="dxa"/>
          </w:tcPr>
          <w:p w14:paraId="6509B913" w14:textId="295DCC4C"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Finance Department</w:t>
            </w:r>
          </w:p>
        </w:tc>
        <w:tc>
          <w:tcPr>
            <w:tcW w:w="2410" w:type="dxa"/>
          </w:tcPr>
          <w:p w14:paraId="410DE784" w14:textId="0F1B30F7" w:rsidR="008B2ADE" w:rsidRPr="000B5DE4" w:rsidRDefault="0083159F" w:rsidP="0083159F">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Controls costs, manages budgets, and tracks financial progress.</w:t>
            </w:r>
          </w:p>
        </w:tc>
        <w:tc>
          <w:tcPr>
            <w:tcW w:w="2268" w:type="dxa"/>
          </w:tcPr>
          <w:p w14:paraId="4D779615" w14:textId="752DDCA5" w:rsidR="008B2ADE" w:rsidRPr="000B5DE4" w:rsidRDefault="008B2ADE" w:rsidP="008B2ADE">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Financial transparency and strategic insight.</w:t>
            </w:r>
          </w:p>
        </w:tc>
        <w:tc>
          <w:tcPr>
            <w:tcW w:w="2500" w:type="dxa"/>
          </w:tcPr>
          <w:p w14:paraId="7FC58961" w14:textId="297DB674" w:rsidR="008B2ADE"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Balancing profitability with project investment and unforeseen expenses.</w:t>
            </w:r>
          </w:p>
        </w:tc>
      </w:tr>
      <w:tr w:rsidR="008B2ADE" w:rsidRPr="000B5DE4" w14:paraId="63E9F8E4" w14:textId="77777777" w:rsidTr="00EE2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7C96CC8" w14:textId="0DF3D7AE" w:rsidR="008B2ADE" w:rsidRPr="000B5DE4" w:rsidRDefault="008B2ADE" w:rsidP="008B2ADE">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Suppliers / Distributors</w:t>
            </w:r>
          </w:p>
        </w:tc>
        <w:tc>
          <w:tcPr>
            <w:tcW w:w="2410" w:type="dxa"/>
          </w:tcPr>
          <w:p w14:paraId="355F1F0E" w14:textId="617DCFD4" w:rsidR="008B2ADE"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Provide materials and components for the device.</w:t>
            </w:r>
          </w:p>
        </w:tc>
        <w:tc>
          <w:tcPr>
            <w:tcW w:w="2268" w:type="dxa"/>
          </w:tcPr>
          <w:p w14:paraId="1D37333B" w14:textId="23DE8D56" w:rsidR="008B2ADE"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Long-term contracts, business stability, and partnership opportunities.</w:t>
            </w:r>
          </w:p>
        </w:tc>
        <w:tc>
          <w:tcPr>
            <w:tcW w:w="2500" w:type="dxa"/>
          </w:tcPr>
          <w:p w14:paraId="69B51B6C" w14:textId="3EE13A23" w:rsidR="008B2ADE"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Supply chain disruptions and fluctuations in material costs.</w:t>
            </w:r>
          </w:p>
        </w:tc>
      </w:tr>
      <w:tr w:rsidR="00812AF2" w:rsidRPr="000B5DE4" w14:paraId="26676B9E" w14:textId="77777777" w:rsidTr="00EE23F2">
        <w:tc>
          <w:tcPr>
            <w:cnfStyle w:val="001000000000" w:firstRow="0" w:lastRow="0" w:firstColumn="1" w:lastColumn="0" w:oddVBand="0" w:evenVBand="0" w:oddHBand="0" w:evenHBand="0" w:firstRowFirstColumn="0" w:firstRowLastColumn="0" w:lastRowFirstColumn="0" w:lastRowLastColumn="0"/>
            <w:tcW w:w="1838" w:type="dxa"/>
          </w:tcPr>
          <w:p w14:paraId="21FE29EE" w14:textId="5EE03103" w:rsidR="00812AF2" w:rsidRPr="000B5DE4" w:rsidRDefault="00812AF2" w:rsidP="00812AF2">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Healthcare Professionals</w:t>
            </w:r>
          </w:p>
        </w:tc>
        <w:tc>
          <w:tcPr>
            <w:tcW w:w="2410" w:type="dxa"/>
          </w:tcPr>
          <w:p w14:paraId="2E9B66E7" w14:textId="59C53700" w:rsidR="00812AF2" w:rsidRPr="000B5DE4" w:rsidRDefault="00812AF2" w:rsidP="00812AF2">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Validate device effectiveness and safety.</w:t>
            </w:r>
          </w:p>
        </w:tc>
        <w:tc>
          <w:tcPr>
            <w:tcW w:w="2268" w:type="dxa"/>
          </w:tcPr>
          <w:p w14:paraId="1AC784C9" w14:textId="33A72B98" w:rsidR="00812AF2"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Improved clinical outcomes and enhanced reputation for innovation.</w:t>
            </w:r>
          </w:p>
        </w:tc>
        <w:tc>
          <w:tcPr>
            <w:tcW w:w="2500" w:type="dxa"/>
          </w:tcPr>
          <w:p w14:paraId="733DD6D4" w14:textId="6E5C5EB8" w:rsidR="00812AF2"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Time constraints, adapting to new technology, and ensuring data accuracy.</w:t>
            </w:r>
          </w:p>
        </w:tc>
      </w:tr>
      <w:tr w:rsidR="00812AF2" w:rsidRPr="000B5DE4" w14:paraId="41C93C52" w14:textId="77777777" w:rsidTr="00EE2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689855C0" w14:textId="4DA9187F" w:rsidR="00812AF2" w:rsidRPr="000B5DE4" w:rsidRDefault="00812AF2" w:rsidP="00812AF2">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Regulators (MHRA/NHS)</w:t>
            </w:r>
          </w:p>
        </w:tc>
        <w:tc>
          <w:tcPr>
            <w:tcW w:w="2410" w:type="dxa"/>
          </w:tcPr>
          <w:p w14:paraId="371EA049" w14:textId="7C39F2EF"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Approve and certify the device for market release.</w:t>
            </w:r>
          </w:p>
        </w:tc>
        <w:tc>
          <w:tcPr>
            <w:tcW w:w="2268" w:type="dxa"/>
          </w:tcPr>
          <w:p w14:paraId="2CF7DBD3" w14:textId="08DE6036"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Public health protection and innovation oversight.</w:t>
            </w:r>
          </w:p>
        </w:tc>
        <w:tc>
          <w:tcPr>
            <w:tcW w:w="2500" w:type="dxa"/>
          </w:tcPr>
          <w:p w14:paraId="3BB8F62F" w14:textId="265C114F"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Bureaucratic delays, complex documentation, and regulatory risk.</w:t>
            </w:r>
          </w:p>
        </w:tc>
      </w:tr>
      <w:tr w:rsidR="00812AF2" w:rsidRPr="000B5DE4" w14:paraId="13B7BFE0" w14:textId="77777777" w:rsidTr="00EE23F2">
        <w:tc>
          <w:tcPr>
            <w:cnfStyle w:val="001000000000" w:firstRow="0" w:lastRow="0" w:firstColumn="1" w:lastColumn="0" w:oddVBand="0" w:evenVBand="0" w:oddHBand="0" w:evenHBand="0" w:firstRowFirstColumn="0" w:firstRowLastColumn="0" w:lastRowFirstColumn="0" w:lastRowLastColumn="0"/>
            <w:tcW w:w="1838" w:type="dxa"/>
          </w:tcPr>
          <w:p w14:paraId="601BE80F" w14:textId="79037639" w:rsidR="00812AF2" w:rsidRPr="000B5DE4" w:rsidRDefault="00812AF2" w:rsidP="00812AF2">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Patients / Customers</w:t>
            </w:r>
          </w:p>
        </w:tc>
        <w:tc>
          <w:tcPr>
            <w:tcW w:w="2410" w:type="dxa"/>
          </w:tcPr>
          <w:p w14:paraId="29A27239" w14:textId="01361016" w:rsidR="00812AF2"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Test and use the device in daily life.</w:t>
            </w:r>
          </w:p>
        </w:tc>
        <w:tc>
          <w:tcPr>
            <w:tcW w:w="2268" w:type="dxa"/>
          </w:tcPr>
          <w:p w14:paraId="5804C853" w14:textId="632AF53A" w:rsidR="00812AF2"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Improved health monitoring, self-care, and overall quality of life.</w:t>
            </w:r>
          </w:p>
        </w:tc>
        <w:tc>
          <w:tcPr>
            <w:tcW w:w="2500" w:type="dxa"/>
          </w:tcPr>
          <w:p w14:paraId="4A860D44" w14:textId="529191F3" w:rsidR="00812AF2" w:rsidRPr="000B5DE4" w:rsidRDefault="00812AF2" w:rsidP="00812AF2">
            <w:pPr>
              <w:pStyle w:val="p1"/>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Data privacy concerns and potential usability challenges.</w:t>
            </w:r>
          </w:p>
        </w:tc>
      </w:tr>
      <w:tr w:rsidR="00812AF2" w:rsidRPr="000B5DE4" w14:paraId="6A002224" w14:textId="77777777" w:rsidTr="00EE23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38" w:type="dxa"/>
          </w:tcPr>
          <w:p w14:paraId="0B48A382" w14:textId="60867115" w:rsidR="00812AF2" w:rsidRPr="000B5DE4" w:rsidRDefault="00812AF2" w:rsidP="00812AF2">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Investors / Shareholders</w:t>
            </w:r>
          </w:p>
        </w:tc>
        <w:tc>
          <w:tcPr>
            <w:tcW w:w="2410" w:type="dxa"/>
          </w:tcPr>
          <w:p w14:paraId="7CB56F5D" w14:textId="57B9ADE4"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Provide financial backing and monitor project performance.</w:t>
            </w:r>
          </w:p>
        </w:tc>
        <w:tc>
          <w:tcPr>
            <w:tcW w:w="2268" w:type="dxa"/>
          </w:tcPr>
          <w:p w14:paraId="577E4B61" w14:textId="209EDD96"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Return on investment (ROI) and increased brand trust.</w:t>
            </w:r>
          </w:p>
        </w:tc>
        <w:tc>
          <w:tcPr>
            <w:tcW w:w="2500" w:type="dxa"/>
          </w:tcPr>
          <w:p w14:paraId="231EA72D" w14:textId="72849F7F" w:rsidR="00812AF2" w:rsidRPr="000B5DE4" w:rsidRDefault="00812AF2" w:rsidP="00812AF2">
            <w:pPr>
              <w:pStyle w:val="p1"/>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Market risks, competition, and cost overruns.</w:t>
            </w:r>
          </w:p>
        </w:tc>
      </w:tr>
    </w:tbl>
    <w:p w14:paraId="1BC5BF7F" w14:textId="2156C772" w:rsidR="009D2C90" w:rsidRPr="00772398" w:rsidRDefault="0083159F" w:rsidP="004F7ED1">
      <w:pPr>
        <w:spacing w:before="100" w:beforeAutospacing="1" w:after="100" w:afterAutospacing="1" w:line="240" w:lineRule="auto"/>
        <w:rPr>
          <w:rFonts w:ascii="Arial" w:eastAsia="Times New Roman" w:hAnsi="Arial" w:cs="Arial"/>
          <w:color w:val="000000" w:themeColor="text1"/>
          <w:sz w:val="24"/>
          <w:szCs w:val="24"/>
          <w:lang w:eastAsia="en-GB"/>
        </w:rPr>
      </w:pPr>
      <w:bookmarkStart w:id="17" w:name="OLE_LINK14"/>
      <w:r w:rsidRPr="000B5DE4">
        <w:rPr>
          <w:rStyle w:val="s1"/>
          <w:rFonts w:ascii="Arial" w:hAnsi="Arial" w:cs="Arial"/>
          <w:sz w:val="24"/>
          <w:szCs w:val="24"/>
        </w:rPr>
        <w:t xml:space="preserve">According to </w:t>
      </w:r>
      <w:r w:rsidRPr="000B5DE4">
        <w:rPr>
          <w:rStyle w:val="s2"/>
          <w:rFonts w:ascii="Arial" w:hAnsi="Arial" w:cs="Arial"/>
          <w:sz w:val="24"/>
          <w:szCs w:val="24"/>
        </w:rPr>
        <w:t>Johnson, Scholes &amp; Whittington (2017)</w:t>
      </w:r>
      <w:r w:rsidRPr="000B5DE4">
        <w:rPr>
          <w:rStyle w:val="s1"/>
          <w:rFonts w:ascii="Arial" w:hAnsi="Arial" w:cs="Arial"/>
          <w:sz w:val="24"/>
          <w:szCs w:val="24"/>
        </w:rPr>
        <w:t xml:space="preserve">, this model highlights the need to prioritise the most influential stakeholders — those who can significantly affect the project’s progress or approval. For instance, </w:t>
      </w:r>
      <w:r w:rsidRPr="000B5DE4">
        <w:rPr>
          <w:rStyle w:val="s2"/>
          <w:rFonts w:ascii="Arial" w:hAnsi="Arial" w:cs="Arial"/>
          <w:sz w:val="24"/>
          <w:szCs w:val="24"/>
        </w:rPr>
        <w:t>regulators such as MHRA and NHS</w:t>
      </w:r>
      <w:r w:rsidRPr="000B5DE4">
        <w:rPr>
          <w:rStyle w:val="s1"/>
          <w:rFonts w:ascii="Arial" w:hAnsi="Arial" w:cs="Arial"/>
          <w:sz w:val="24"/>
          <w:szCs w:val="24"/>
        </w:rPr>
        <w:t xml:space="preserve"> hold high power because their decisions can determine the product’s market entry. Meanwhile, </w:t>
      </w:r>
      <w:r w:rsidRPr="000B5DE4">
        <w:rPr>
          <w:rStyle w:val="s2"/>
          <w:rFonts w:ascii="Arial" w:hAnsi="Arial" w:cs="Arial"/>
          <w:sz w:val="24"/>
          <w:szCs w:val="24"/>
        </w:rPr>
        <w:t>patients</w:t>
      </w:r>
      <w:r w:rsidRPr="000B5DE4">
        <w:rPr>
          <w:rStyle w:val="s1"/>
          <w:rFonts w:ascii="Arial" w:hAnsi="Arial" w:cs="Arial"/>
          <w:sz w:val="24"/>
          <w:szCs w:val="24"/>
        </w:rPr>
        <w:t xml:space="preserve"> </w:t>
      </w:r>
      <w:r w:rsidRPr="000B5DE4">
        <w:rPr>
          <w:rStyle w:val="s1"/>
          <w:rFonts w:ascii="Arial" w:hAnsi="Arial" w:cs="Arial"/>
          <w:color w:val="000000" w:themeColor="text1"/>
          <w:sz w:val="24"/>
          <w:szCs w:val="24"/>
        </w:rPr>
        <w:t xml:space="preserve">have a high level of interest since the device impacts their </w:t>
      </w:r>
      <w:r w:rsidRPr="000B5DE4">
        <w:rPr>
          <w:rStyle w:val="s1"/>
          <w:rFonts w:ascii="Arial" w:hAnsi="Arial" w:cs="Arial"/>
          <w:color w:val="000000" w:themeColor="text1"/>
          <w:sz w:val="24"/>
          <w:szCs w:val="24"/>
        </w:rPr>
        <w:lastRenderedPageBreak/>
        <w:t>health, even though their power to influence corporate decisions is limited.</w:t>
      </w:r>
      <w:r w:rsidR="00AC35BF" w:rsidRPr="000B5DE4">
        <w:rPr>
          <w:rStyle w:val="s1"/>
          <w:rFonts w:ascii="Arial" w:hAnsi="Arial" w:cs="Arial"/>
          <w:color w:val="000000" w:themeColor="text1"/>
          <w:sz w:val="24"/>
          <w:szCs w:val="24"/>
        </w:rPr>
        <w:t xml:space="preserve"> </w:t>
      </w:r>
      <w:r w:rsidR="00AC35BF" w:rsidRPr="000B5DE4">
        <w:rPr>
          <w:rFonts w:ascii="Arial" w:eastAsia="Times New Roman" w:hAnsi="Arial" w:cs="Arial"/>
          <w:color w:val="000000" w:themeColor="text1"/>
          <w:sz w:val="24"/>
          <w:szCs w:val="24"/>
          <w:lang w:eastAsia="en-GB"/>
        </w:rPr>
        <w:t>Overall, the stakeholder analysis highlights the importance of maintaining clear communication and cooperation among all key parties involved in the project. Regulators, healthcare professionals and patients remain the most influential groups, as their feedback and decisions directly shape the device’s approval, usability and market success. By balancing stakeholders’ power and interest, Owen Mumford Ltd can enhance collaboration, reduce potential risks and ensure an effective and ethical product launch.</w:t>
      </w:r>
      <w:bookmarkEnd w:id="17"/>
    </w:p>
    <w:p w14:paraId="0185BC10" w14:textId="4CAE9AE0" w:rsidR="00812AF2" w:rsidRPr="0095720D" w:rsidRDefault="00812AF2" w:rsidP="0095720D">
      <w:pPr>
        <w:pStyle w:val="Heading3"/>
        <w:rPr>
          <w:rFonts w:ascii="Arial" w:hAnsi="Arial" w:cs="Arial"/>
          <w:i/>
          <w:iCs/>
          <w:color w:val="4472C4" w:themeColor="accent1"/>
          <w:sz w:val="28"/>
          <w:szCs w:val="28"/>
        </w:rPr>
      </w:pPr>
      <w:bookmarkStart w:id="18" w:name="_Toc213403119"/>
      <w:r w:rsidRPr="0095720D">
        <w:rPr>
          <w:rStyle w:val="s1"/>
          <w:rFonts w:ascii="Arial" w:hAnsi="Arial" w:cs="Arial"/>
          <w:i/>
          <w:iCs/>
          <w:color w:val="4472C4" w:themeColor="accent1"/>
          <w:sz w:val="28"/>
          <w:szCs w:val="28"/>
        </w:rPr>
        <w:t>3.3 Stakeholder Mapping and Assessment (Mendelow’s Matrix)</w:t>
      </w:r>
      <w:bookmarkEnd w:id="18"/>
    </w:p>
    <w:p w14:paraId="2A7C0ED4" w14:textId="77777777" w:rsidR="00831AFB" w:rsidRPr="00831AFB" w:rsidRDefault="00831AFB" w:rsidP="00831AFB">
      <w:pPr>
        <w:spacing w:beforeAutospacing="1" w:after="0" w:afterAutospacing="1" w:line="240" w:lineRule="auto"/>
        <w:rPr>
          <w:rFonts w:ascii="Arial" w:eastAsia="Times New Roman" w:hAnsi="Arial" w:cs="Arial"/>
          <w:color w:val="000000" w:themeColor="text1"/>
          <w:sz w:val="24"/>
          <w:szCs w:val="24"/>
          <w:lang w:eastAsia="en-GB"/>
        </w:rPr>
      </w:pPr>
      <w:r w:rsidRPr="00831AFB">
        <w:rPr>
          <w:rFonts w:ascii="Arial" w:eastAsia="Times New Roman" w:hAnsi="Arial" w:cs="Arial"/>
          <w:color w:val="000000" w:themeColor="text1"/>
          <w:sz w:val="24"/>
          <w:szCs w:val="24"/>
          <w:lang w:eastAsia="en-GB"/>
        </w:rPr>
        <w:t>Effective stakeholder management requires not only identifying who the stakeholders are but also understanding their power and interest in the project.</w:t>
      </w:r>
    </w:p>
    <w:p w14:paraId="5FF9AF56" w14:textId="1354D39D" w:rsidR="00812AF2" w:rsidRPr="000B5DE4" w:rsidRDefault="00812AF2" w:rsidP="00452F68">
      <w:pPr>
        <w:pStyle w:val="p3"/>
        <w:rPr>
          <w:rFonts w:ascii="Arial" w:hAnsi="Arial" w:cs="Arial"/>
        </w:rPr>
      </w:pPr>
      <w:r w:rsidRPr="000B5DE4">
        <w:rPr>
          <w:rStyle w:val="s2"/>
          <w:rFonts w:ascii="Arial" w:hAnsi="Arial" w:cs="Arial"/>
        </w:rPr>
        <w:t>Mendelow’s Matrix (1991) is a practical tool that helps classify stakeholders based on these two factors, allowing the project manager to develop suitable engagement strategies.</w:t>
      </w:r>
    </w:p>
    <w:p w14:paraId="08C86ED7" w14:textId="77777777" w:rsidR="00812AF2" w:rsidRPr="000B5DE4" w:rsidRDefault="00812AF2" w:rsidP="00812AF2">
      <w:pPr>
        <w:pStyle w:val="Heading4"/>
        <w:rPr>
          <w:rFonts w:ascii="Arial" w:hAnsi="Arial" w:cs="Arial"/>
          <w:sz w:val="24"/>
          <w:szCs w:val="24"/>
        </w:rPr>
      </w:pPr>
      <w:r w:rsidRPr="000B5DE4">
        <w:rPr>
          <w:rStyle w:val="s1"/>
          <w:rFonts w:ascii="Arial" w:hAnsi="Arial" w:cs="Arial"/>
          <w:sz w:val="24"/>
          <w:szCs w:val="24"/>
        </w:rPr>
        <w:t>Mendelow’s Power–Interest Matrix</w:t>
      </w:r>
    </w:p>
    <w:tbl>
      <w:tblPr>
        <w:tblStyle w:val="GridTable4-Accent1"/>
        <w:tblW w:w="0" w:type="auto"/>
        <w:tblLook w:val="04A0" w:firstRow="1" w:lastRow="0" w:firstColumn="1" w:lastColumn="0" w:noHBand="0" w:noVBand="1"/>
      </w:tblPr>
      <w:tblGrid>
        <w:gridCol w:w="3005"/>
        <w:gridCol w:w="3005"/>
        <w:gridCol w:w="3006"/>
      </w:tblGrid>
      <w:tr w:rsidR="00316A94" w:rsidRPr="000B5DE4" w14:paraId="26863DD6" w14:textId="77777777" w:rsidTr="00316A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671D19" w14:textId="3D5F2AE9" w:rsidR="00316A94" w:rsidRPr="000B5DE4" w:rsidRDefault="00316A94" w:rsidP="00316A94">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b w:val="0"/>
                <w:bCs w:val="0"/>
                <w:sz w:val="24"/>
                <w:szCs w:val="24"/>
              </w:rPr>
              <w:t>Power / Interest Level</w:t>
            </w:r>
          </w:p>
        </w:tc>
        <w:tc>
          <w:tcPr>
            <w:tcW w:w="3005" w:type="dxa"/>
          </w:tcPr>
          <w:p w14:paraId="2CD413C3" w14:textId="71F59120" w:rsidR="00316A94" w:rsidRPr="000B5DE4" w:rsidRDefault="00316A94" w:rsidP="00316A94">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b w:val="0"/>
                <w:bCs w:val="0"/>
                <w:sz w:val="24"/>
                <w:szCs w:val="24"/>
              </w:rPr>
              <w:t>High Interest</w:t>
            </w:r>
          </w:p>
        </w:tc>
        <w:tc>
          <w:tcPr>
            <w:tcW w:w="3006" w:type="dxa"/>
          </w:tcPr>
          <w:p w14:paraId="5F06E4D9" w14:textId="74CD7288" w:rsidR="00316A94" w:rsidRPr="000B5DE4" w:rsidRDefault="00316A94" w:rsidP="00316A94">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b w:val="0"/>
                <w:bCs w:val="0"/>
                <w:sz w:val="24"/>
                <w:szCs w:val="24"/>
              </w:rPr>
              <w:t>Low Interest</w:t>
            </w:r>
          </w:p>
        </w:tc>
      </w:tr>
      <w:tr w:rsidR="00316A94" w:rsidRPr="000B5DE4" w14:paraId="39643B1A" w14:textId="77777777" w:rsidTr="00316A94">
        <w:tc>
          <w:tcPr>
            <w:cnfStyle w:val="001000000000" w:firstRow="0" w:lastRow="0" w:firstColumn="1" w:lastColumn="0" w:oddVBand="0" w:evenVBand="0" w:oddHBand="0" w:evenHBand="0" w:firstRowFirstColumn="0" w:firstRowLastColumn="0" w:lastRowFirstColumn="0" w:lastRowLastColumn="0"/>
            <w:tcW w:w="3005" w:type="dxa"/>
          </w:tcPr>
          <w:p w14:paraId="06FF0EE4" w14:textId="08AFB9A1" w:rsidR="00316A94" w:rsidRPr="000B5DE4" w:rsidRDefault="00316A94" w:rsidP="00316A94">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High Power</w:t>
            </w:r>
          </w:p>
        </w:tc>
        <w:tc>
          <w:tcPr>
            <w:tcW w:w="3005" w:type="dxa"/>
          </w:tcPr>
          <w:p w14:paraId="01EAF3A2" w14:textId="58711075" w:rsidR="00316A94" w:rsidRPr="000B5DE4" w:rsidRDefault="00316A94" w:rsidP="00316A9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Executive Board, Project Manager, Regulators (MHRA/NHS)</w:t>
            </w:r>
          </w:p>
        </w:tc>
        <w:tc>
          <w:tcPr>
            <w:tcW w:w="3006" w:type="dxa"/>
          </w:tcPr>
          <w:p w14:paraId="2D91472C" w14:textId="04913079" w:rsidR="00316A94" w:rsidRPr="000B5DE4" w:rsidRDefault="00316A94" w:rsidP="00316A9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Investors/Shareholders, Suppliers/Distributors</w:t>
            </w:r>
          </w:p>
        </w:tc>
      </w:tr>
      <w:tr w:rsidR="00316A94" w:rsidRPr="000B5DE4" w14:paraId="7793B0B9" w14:textId="77777777" w:rsidTr="00316A94">
        <w:tc>
          <w:tcPr>
            <w:cnfStyle w:val="001000000000" w:firstRow="0" w:lastRow="0" w:firstColumn="1" w:lastColumn="0" w:oddVBand="0" w:evenVBand="0" w:oddHBand="0" w:evenHBand="0" w:firstRowFirstColumn="0" w:firstRowLastColumn="0" w:lastRowFirstColumn="0" w:lastRowLastColumn="0"/>
            <w:tcW w:w="3005" w:type="dxa"/>
          </w:tcPr>
          <w:p w14:paraId="553C364D" w14:textId="50FD4EDF" w:rsidR="00316A94" w:rsidRPr="000B5DE4" w:rsidRDefault="00316A94" w:rsidP="00316A94">
            <w:pPr>
              <w:spacing w:before="100" w:beforeAutospacing="1" w:after="100" w:afterAutospacing="1"/>
              <w:rPr>
                <w:rFonts w:ascii="Arial" w:eastAsia="Times New Roman" w:hAnsi="Arial" w:cs="Arial"/>
                <w:sz w:val="24"/>
                <w:szCs w:val="24"/>
                <w:lang w:eastAsia="en-GB"/>
              </w:rPr>
            </w:pPr>
            <w:r w:rsidRPr="000B5DE4">
              <w:rPr>
                <w:rStyle w:val="s1"/>
                <w:rFonts w:ascii="Arial" w:hAnsi="Arial" w:cs="Arial"/>
                <w:sz w:val="24"/>
                <w:szCs w:val="24"/>
              </w:rPr>
              <w:t>Low Power</w:t>
            </w:r>
          </w:p>
        </w:tc>
        <w:tc>
          <w:tcPr>
            <w:tcW w:w="3005" w:type="dxa"/>
          </w:tcPr>
          <w:p w14:paraId="01FC0A5C" w14:textId="20C7B4B4" w:rsidR="00316A94" w:rsidRPr="000B5DE4" w:rsidRDefault="00316A94" w:rsidP="00316A9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R&amp;D Team, Marketing Department, Healthcare Professionals, Patients/Customers</w:t>
            </w:r>
          </w:p>
        </w:tc>
        <w:tc>
          <w:tcPr>
            <w:tcW w:w="3006" w:type="dxa"/>
          </w:tcPr>
          <w:p w14:paraId="3D260B7E" w14:textId="286C2240" w:rsidR="00316A94" w:rsidRPr="000B5DE4" w:rsidRDefault="00316A94" w:rsidP="00316A94">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GB"/>
              </w:rPr>
            </w:pPr>
            <w:r w:rsidRPr="000B5DE4">
              <w:rPr>
                <w:rStyle w:val="s1"/>
                <w:rFonts w:ascii="Arial" w:hAnsi="Arial" w:cs="Arial"/>
                <w:sz w:val="24"/>
                <w:szCs w:val="24"/>
              </w:rPr>
              <w:t>Technology Partners, Finance Department</w:t>
            </w:r>
          </w:p>
        </w:tc>
      </w:tr>
    </w:tbl>
    <w:p w14:paraId="73EE007B" w14:textId="77777777" w:rsidR="00A7414A" w:rsidRPr="000B5DE4" w:rsidRDefault="00A7414A" w:rsidP="00316A94">
      <w:pPr>
        <w:pStyle w:val="Heading4"/>
        <w:rPr>
          <w:rStyle w:val="s1"/>
          <w:rFonts w:ascii="Arial" w:hAnsi="Arial" w:cs="Arial"/>
          <w:b/>
          <w:bCs/>
          <w:color w:val="000000" w:themeColor="text1"/>
          <w:sz w:val="24"/>
          <w:szCs w:val="24"/>
        </w:rPr>
      </w:pPr>
    </w:p>
    <w:p w14:paraId="1AEB491F" w14:textId="5A010372" w:rsidR="00316A94" w:rsidRPr="000B5DE4" w:rsidRDefault="00316A94" w:rsidP="00316A94">
      <w:pPr>
        <w:pStyle w:val="Heading4"/>
        <w:rPr>
          <w:rFonts w:ascii="Arial" w:hAnsi="Arial" w:cs="Arial"/>
          <w:b/>
          <w:bCs/>
          <w:color w:val="000000" w:themeColor="text1"/>
          <w:sz w:val="24"/>
          <w:szCs w:val="24"/>
        </w:rPr>
      </w:pPr>
      <w:r w:rsidRPr="000B5DE4">
        <w:rPr>
          <w:rStyle w:val="s1"/>
          <w:rFonts w:ascii="Arial" w:hAnsi="Arial" w:cs="Arial"/>
          <w:b/>
          <w:bCs/>
          <w:color w:val="000000" w:themeColor="text1"/>
          <w:sz w:val="24"/>
          <w:szCs w:val="24"/>
        </w:rPr>
        <w:t>Interpretation</w:t>
      </w:r>
    </w:p>
    <w:p w14:paraId="55EA6202" w14:textId="2E6985CC" w:rsidR="00316A94" w:rsidRPr="009B6EAB" w:rsidRDefault="00316A94" w:rsidP="009B6EAB">
      <w:pPr>
        <w:pStyle w:val="p1"/>
        <w:numPr>
          <w:ilvl w:val="0"/>
          <w:numId w:val="14"/>
        </w:numPr>
        <w:rPr>
          <w:rFonts w:ascii="Arial" w:hAnsi="Arial" w:cs="Arial"/>
        </w:rPr>
      </w:pPr>
      <w:r w:rsidRPr="000B5DE4">
        <w:rPr>
          <w:rStyle w:val="s1"/>
          <w:rFonts w:ascii="Arial" w:hAnsi="Arial" w:cs="Arial"/>
        </w:rPr>
        <w:t>High Power – High Interest (Manage Closely):</w:t>
      </w:r>
      <w:r w:rsidR="009B6EAB">
        <w:rPr>
          <w:rStyle w:val="s1"/>
          <w:rFonts w:ascii="Arial" w:hAnsi="Arial" w:cs="Arial"/>
        </w:rPr>
        <w:t xml:space="preserve"> </w:t>
      </w:r>
      <w:r w:rsidRPr="009B6EAB">
        <w:rPr>
          <w:rStyle w:val="s2"/>
          <w:rFonts w:ascii="Arial" w:hAnsi="Arial" w:cs="Arial"/>
        </w:rPr>
        <w:t xml:space="preserve">The </w:t>
      </w:r>
      <w:r w:rsidRPr="009B6EAB">
        <w:rPr>
          <w:rStyle w:val="s1"/>
          <w:rFonts w:ascii="Arial" w:hAnsi="Arial" w:cs="Arial"/>
        </w:rPr>
        <w:t>Executive Board</w:t>
      </w:r>
      <w:r w:rsidRPr="009B6EAB">
        <w:rPr>
          <w:rStyle w:val="s2"/>
          <w:rFonts w:ascii="Arial" w:hAnsi="Arial" w:cs="Arial"/>
        </w:rPr>
        <w:t xml:space="preserve">, </w:t>
      </w:r>
      <w:r w:rsidRPr="009B6EAB">
        <w:rPr>
          <w:rStyle w:val="s1"/>
          <w:rFonts w:ascii="Arial" w:hAnsi="Arial" w:cs="Arial"/>
        </w:rPr>
        <w:t>Project Manager</w:t>
      </w:r>
      <w:r w:rsidRPr="009B6EAB">
        <w:rPr>
          <w:rStyle w:val="s2"/>
          <w:rFonts w:ascii="Arial" w:hAnsi="Arial" w:cs="Arial"/>
        </w:rPr>
        <w:t xml:space="preserve">, and </w:t>
      </w:r>
      <w:r w:rsidRPr="009B6EAB">
        <w:rPr>
          <w:rStyle w:val="s1"/>
          <w:rFonts w:ascii="Arial" w:hAnsi="Arial" w:cs="Arial"/>
        </w:rPr>
        <w:t>Regulators (MHRA/NHS)</w:t>
      </w:r>
      <w:r w:rsidRPr="009B6EAB">
        <w:rPr>
          <w:rStyle w:val="s2"/>
          <w:rFonts w:ascii="Arial" w:hAnsi="Arial" w:cs="Arial"/>
        </w:rPr>
        <w:t xml:space="preserve"> have significant authority and deep involvement in the project. They directly influence approval, compliance, and strategic alignment. These stakeholders must receive regular updates, participate in meetings, and be consulted in decision-making to ensure project success.</w:t>
      </w:r>
    </w:p>
    <w:p w14:paraId="7FF12C37" w14:textId="6AE5EC33" w:rsidR="00316A94" w:rsidRPr="0095720D" w:rsidRDefault="00316A94" w:rsidP="0095720D">
      <w:pPr>
        <w:pStyle w:val="p1"/>
        <w:numPr>
          <w:ilvl w:val="0"/>
          <w:numId w:val="14"/>
        </w:numPr>
        <w:rPr>
          <w:rFonts w:ascii="Arial" w:hAnsi="Arial" w:cs="Arial"/>
        </w:rPr>
      </w:pPr>
      <w:r w:rsidRPr="000B5DE4">
        <w:rPr>
          <w:rStyle w:val="s1"/>
          <w:rFonts w:ascii="Arial" w:hAnsi="Arial" w:cs="Arial"/>
        </w:rPr>
        <w:t>High Power – Low Interest (Keep Satisfied):</w:t>
      </w:r>
      <w:r w:rsidR="009B6EAB">
        <w:rPr>
          <w:rFonts w:ascii="Arial" w:hAnsi="Arial" w:cs="Arial"/>
        </w:rPr>
        <w:t xml:space="preserve"> </w:t>
      </w:r>
      <w:r w:rsidRPr="0095720D">
        <w:rPr>
          <w:rStyle w:val="s1"/>
          <w:rFonts w:ascii="Arial" w:hAnsi="Arial" w:cs="Arial"/>
        </w:rPr>
        <w:t>Investors</w:t>
      </w:r>
      <w:r w:rsidRPr="0095720D">
        <w:rPr>
          <w:rStyle w:val="s2"/>
          <w:rFonts w:ascii="Arial" w:hAnsi="Arial" w:cs="Arial"/>
        </w:rPr>
        <w:t xml:space="preserve"> and </w:t>
      </w:r>
      <w:r w:rsidRPr="0095720D">
        <w:rPr>
          <w:rStyle w:val="s1"/>
          <w:rFonts w:ascii="Arial" w:hAnsi="Arial" w:cs="Arial"/>
        </w:rPr>
        <w:t>Suppliers</w:t>
      </w:r>
      <w:r w:rsidRPr="0095720D">
        <w:rPr>
          <w:rStyle w:val="s2"/>
          <w:rFonts w:ascii="Arial" w:hAnsi="Arial" w:cs="Arial"/>
        </w:rPr>
        <w:t xml:space="preserve"> hold financial and logistical power but may not be involved in daily operations. Regular progress reports and milestone updates help maintain their confidence and commitment.</w:t>
      </w:r>
    </w:p>
    <w:p w14:paraId="6E2796A2" w14:textId="69BDB8DA" w:rsidR="00316A94" w:rsidRPr="009B6EAB" w:rsidRDefault="00316A94" w:rsidP="009B6EAB">
      <w:pPr>
        <w:pStyle w:val="p1"/>
        <w:numPr>
          <w:ilvl w:val="0"/>
          <w:numId w:val="14"/>
        </w:numPr>
        <w:rPr>
          <w:rFonts w:ascii="Arial" w:hAnsi="Arial" w:cs="Arial"/>
        </w:rPr>
      </w:pPr>
      <w:r w:rsidRPr="000B5DE4">
        <w:rPr>
          <w:rStyle w:val="s1"/>
          <w:rFonts w:ascii="Arial" w:hAnsi="Arial" w:cs="Arial"/>
        </w:rPr>
        <w:t>Low Power – High Interest (Keep Informed):</w:t>
      </w:r>
      <w:r w:rsidR="009B6EAB">
        <w:rPr>
          <w:rFonts w:ascii="Arial" w:hAnsi="Arial" w:cs="Arial"/>
        </w:rPr>
        <w:t xml:space="preserve"> </w:t>
      </w:r>
      <w:r w:rsidRPr="009B6EAB">
        <w:rPr>
          <w:rStyle w:val="s1"/>
          <w:rFonts w:ascii="Arial" w:hAnsi="Arial" w:cs="Arial"/>
        </w:rPr>
        <w:t>R&amp;D</w:t>
      </w:r>
      <w:r w:rsidRPr="009B6EAB">
        <w:rPr>
          <w:rStyle w:val="s2"/>
          <w:rFonts w:ascii="Arial" w:hAnsi="Arial" w:cs="Arial"/>
        </w:rPr>
        <w:t xml:space="preserve">, </w:t>
      </w:r>
      <w:r w:rsidRPr="009B6EAB">
        <w:rPr>
          <w:rStyle w:val="s1"/>
          <w:rFonts w:ascii="Arial" w:hAnsi="Arial" w:cs="Arial"/>
        </w:rPr>
        <w:t>Marketing</w:t>
      </w:r>
      <w:r w:rsidRPr="009B6EAB">
        <w:rPr>
          <w:rStyle w:val="s2"/>
          <w:rFonts w:ascii="Arial" w:hAnsi="Arial" w:cs="Arial"/>
        </w:rPr>
        <w:t xml:space="preserve">, </w:t>
      </w:r>
      <w:r w:rsidRPr="009B6EAB">
        <w:rPr>
          <w:rStyle w:val="s1"/>
          <w:rFonts w:ascii="Arial" w:hAnsi="Arial" w:cs="Arial"/>
        </w:rPr>
        <w:t>Healthcare Professionals</w:t>
      </w:r>
      <w:r w:rsidRPr="009B6EAB">
        <w:rPr>
          <w:rStyle w:val="s2"/>
          <w:rFonts w:ascii="Arial" w:hAnsi="Arial" w:cs="Arial"/>
        </w:rPr>
        <w:t xml:space="preserve">, and </w:t>
      </w:r>
      <w:r w:rsidRPr="009B6EAB">
        <w:rPr>
          <w:rStyle w:val="s1"/>
          <w:rFonts w:ascii="Arial" w:hAnsi="Arial" w:cs="Arial"/>
        </w:rPr>
        <w:t>Patients</w:t>
      </w:r>
      <w:r w:rsidRPr="009B6EAB">
        <w:rPr>
          <w:rStyle w:val="s2"/>
          <w:rFonts w:ascii="Arial" w:hAnsi="Arial" w:cs="Arial"/>
        </w:rPr>
        <w:t xml:space="preserve"> are highly engaged in the project’s day-to-day progress and outcomes. Transparent communication and feedback loops are essential to sustain motivation, trust, and collaboration.</w:t>
      </w:r>
    </w:p>
    <w:p w14:paraId="2759025F" w14:textId="59B34E26" w:rsidR="2D4C8B3F" w:rsidRDefault="00316A94" w:rsidP="4D2EEDED">
      <w:pPr>
        <w:pStyle w:val="p1"/>
        <w:numPr>
          <w:ilvl w:val="0"/>
          <w:numId w:val="14"/>
        </w:numPr>
        <w:rPr>
          <w:rFonts w:ascii="Arial" w:hAnsi="Arial" w:cs="Arial"/>
        </w:rPr>
      </w:pPr>
      <w:r w:rsidRPr="000B5DE4">
        <w:rPr>
          <w:rStyle w:val="s1"/>
          <w:rFonts w:ascii="Arial" w:hAnsi="Arial" w:cs="Arial"/>
        </w:rPr>
        <w:t>Low Power – Low Interest (Monitor):</w:t>
      </w:r>
      <w:r w:rsidR="009B6EAB">
        <w:rPr>
          <w:rFonts w:ascii="Arial" w:hAnsi="Arial" w:cs="Arial"/>
        </w:rPr>
        <w:t xml:space="preserve"> </w:t>
      </w:r>
      <w:r w:rsidRPr="009B6EAB">
        <w:rPr>
          <w:rStyle w:val="s1"/>
          <w:rFonts w:ascii="Arial" w:hAnsi="Arial" w:cs="Arial"/>
        </w:rPr>
        <w:t>Technology Partners</w:t>
      </w:r>
      <w:r w:rsidRPr="009B6EAB">
        <w:rPr>
          <w:rStyle w:val="s2"/>
          <w:rFonts w:ascii="Arial" w:hAnsi="Arial" w:cs="Arial"/>
        </w:rPr>
        <w:t xml:space="preserve"> and the </w:t>
      </w:r>
      <w:r w:rsidRPr="009B6EAB">
        <w:rPr>
          <w:rStyle w:val="s1"/>
          <w:rFonts w:ascii="Arial" w:hAnsi="Arial" w:cs="Arial"/>
        </w:rPr>
        <w:t>Finance Department</w:t>
      </w:r>
      <w:r w:rsidRPr="009B6EAB">
        <w:rPr>
          <w:rStyle w:val="s2"/>
          <w:rFonts w:ascii="Arial" w:hAnsi="Arial" w:cs="Arial"/>
        </w:rPr>
        <w:t xml:space="preserve"> have limited influence and interest in project operations. They should be updated periodically to maintain alignment and ensure readiness when their input becomes necessary.</w:t>
      </w:r>
    </w:p>
    <w:tbl>
      <w:tblPr>
        <w:tblStyle w:val="ListTable4-Accent1"/>
        <w:tblW w:w="0" w:type="auto"/>
        <w:tblLook w:val="04A0" w:firstRow="1" w:lastRow="0" w:firstColumn="1" w:lastColumn="0" w:noHBand="0" w:noVBand="1"/>
      </w:tblPr>
      <w:tblGrid>
        <w:gridCol w:w="2884"/>
        <w:gridCol w:w="1464"/>
        <w:gridCol w:w="1650"/>
        <w:gridCol w:w="1509"/>
        <w:gridCol w:w="1509"/>
      </w:tblGrid>
      <w:tr w:rsidR="00B46AF1" w:rsidRPr="000B5DE4" w14:paraId="31B991D6" w14:textId="77777777" w:rsidTr="00C347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2286BFCA" w14:textId="0975C86D" w:rsidR="00B46AF1" w:rsidRPr="000B5DE4" w:rsidRDefault="00B46AF1" w:rsidP="00B46AF1">
            <w:pPr>
              <w:pStyle w:val="p2"/>
              <w:rPr>
                <w:rFonts w:ascii="Arial" w:hAnsi="Arial" w:cs="Arial"/>
              </w:rPr>
            </w:pPr>
            <w:r w:rsidRPr="000B5DE4">
              <w:rPr>
                <w:rStyle w:val="s1"/>
                <w:rFonts w:ascii="Arial" w:hAnsi="Arial" w:cs="Arial"/>
                <w:b w:val="0"/>
                <w:bCs w:val="0"/>
              </w:rPr>
              <w:lastRenderedPageBreak/>
              <w:t>Stakeholder Group / Person</w:t>
            </w:r>
          </w:p>
        </w:tc>
        <w:tc>
          <w:tcPr>
            <w:tcW w:w="1564" w:type="dxa"/>
          </w:tcPr>
          <w:p w14:paraId="267870B1" w14:textId="0C3649C0" w:rsidR="00B46AF1" w:rsidRPr="000B5DE4" w:rsidRDefault="00B46AF1" w:rsidP="00B46AF1">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Level of Interest (H/M/L)</w:t>
            </w:r>
          </w:p>
        </w:tc>
        <w:tc>
          <w:tcPr>
            <w:tcW w:w="1686" w:type="dxa"/>
          </w:tcPr>
          <w:p w14:paraId="7587F4A3" w14:textId="19B7F563" w:rsidR="00B46AF1" w:rsidRPr="000B5DE4" w:rsidRDefault="00B46AF1" w:rsidP="00B46AF1">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Level of Involvement (H/M/L)</w:t>
            </w:r>
          </w:p>
        </w:tc>
        <w:tc>
          <w:tcPr>
            <w:tcW w:w="1590" w:type="dxa"/>
          </w:tcPr>
          <w:p w14:paraId="7BC11636" w14:textId="414D9801" w:rsidR="00B46AF1" w:rsidRPr="000B5DE4" w:rsidRDefault="00B46AF1" w:rsidP="00B46AF1">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Level of Influence (H/M/L)</w:t>
            </w:r>
          </w:p>
        </w:tc>
        <w:tc>
          <w:tcPr>
            <w:tcW w:w="1586" w:type="dxa"/>
          </w:tcPr>
          <w:p w14:paraId="397DFF57" w14:textId="58CD2B50" w:rsidR="00B46AF1" w:rsidRPr="000B5DE4" w:rsidRDefault="00B46AF1" w:rsidP="00B46AF1">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Level Impacted by Project (H/M/L)</w:t>
            </w:r>
          </w:p>
        </w:tc>
      </w:tr>
      <w:tr w:rsidR="00B46AF1" w:rsidRPr="000B5DE4" w14:paraId="09B9E0DC"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371C816E" w14:textId="52038ACE" w:rsidR="00B46AF1" w:rsidRPr="000B5DE4" w:rsidRDefault="00B46AF1" w:rsidP="00B46AF1">
            <w:pPr>
              <w:pStyle w:val="p2"/>
              <w:rPr>
                <w:rFonts w:ascii="Arial" w:hAnsi="Arial" w:cs="Arial"/>
              </w:rPr>
            </w:pPr>
            <w:r w:rsidRPr="000B5DE4">
              <w:rPr>
                <w:rStyle w:val="s1"/>
                <w:rFonts w:ascii="Arial" w:hAnsi="Arial" w:cs="Arial"/>
              </w:rPr>
              <w:t>Project Manager</w:t>
            </w:r>
          </w:p>
        </w:tc>
        <w:tc>
          <w:tcPr>
            <w:tcW w:w="1564" w:type="dxa"/>
          </w:tcPr>
          <w:p w14:paraId="5B9E25C3" w14:textId="6CF0EC81"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5D1B8AA5" w14:textId="71AE11BD"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590" w:type="dxa"/>
          </w:tcPr>
          <w:p w14:paraId="04A2CFDC" w14:textId="3DEB69AF"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586" w:type="dxa"/>
          </w:tcPr>
          <w:p w14:paraId="750CDE52" w14:textId="0B423951"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72F67BD4" w14:textId="77777777" w:rsidTr="00C34747">
        <w:tc>
          <w:tcPr>
            <w:cnfStyle w:val="001000000000" w:firstRow="0" w:lastRow="0" w:firstColumn="1" w:lastColumn="0" w:oddVBand="0" w:evenVBand="0" w:oddHBand="0" w:evenHBand="0" w:firstRowFirstColumn="0" w:firstRowLastColumn="0" w:lastRowFirstColumn="0" w:lastRowLastColumn="0"/>
            <w:tcW w:w="2590" w:type="dxa"/>
          </w:tcPr>
          <w:p w14:paraId="3AF40F25" w14:textId="069D8AA2" w:rsidR="00B46AF1" w:rsidRPr="000B5DE4" w:rsidRDefault="00B46AF1" w:rsidP="00B46AF1">
            <w:pPr>
              <w:pStyle w:val="p2"/>
              <w:rPr>
                <w:rFonts w:ascii="Arial" w:hAnsi="Arial" w:cs="Arial"/>
              </w:rPr>
            </w:pPr>
            <w:r w:rsidRPr="000B5DE4">
              <w:rPr>
                <w:rStyle w:val="s1"/>
                <w:rFonts w:ascii="Arial" w:hAnsi="Arial" w:cs="Arial"/>
              </w:rPr>
              <w:t>R&amp;D Team</w:t>
            </w:r>
          </w:p>
        </w:tc>
        <w:tc>
          <w:tcPr>
            <w:tcW w:w="1564" w:type="dxa"/>
          </w:tcPr>
          <w:p w14:paraId="3FF5D343" w14:textId="64DC10C9"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54B67C7E" w14:textId="697CE81A"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1590" w:type="dxa"/>
          </w:tcPr>
          <w:p w14:paraId="77D2CEBA" w14:textId="77E11BA9"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586" w:type="dxa"/>
          </w:tcPr>
          <w:p w14:paraId="6D51B76B" w14:textId="11EF2A05"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627D3796"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74F96CDF" w14:textId="1F2BAC74" w:rsidR="00B46AF1" w:rsidRPr="000B5DE4" w:rsidRDefault="00B46AF1" w:rsidP="00B46AF1">
            <w:pPr>
              <w:pStyle w:val="p2"/>
              <w:rPr>
                <w:rFonts w:ascii="Arial" w:hAnsi="Arial" w:cs="Arial"/>
              </w:rPr>
            </w:pPr>
            <w:r w:rsidRPr="000B5DE4">
              <w:rPr>
                <w:rStyle w:val="s1"/>
                <w:rFonts w:ascii="Arial" w:hAnsi="Arial" w:cs="Arial"/>
              </w:rPr>
              <w:t>Marketing Department</w:t>
            </w:r>
          </w:p>
        </w:tc>
        <w:tc>
          <w:tcPr>
            <w:tcW w:w="1564" w:type="dxa"/>
          </w:tcPr>
          <w:p w14:paraId="1FD2A6C4" w14:textId="69839F2D"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6F547B80" w14:textId="797E74A9"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590" w:type="dxa"/>
          </w:tcPr>
          <w:p w14:paraId="1712D696" w14:textId="034E6624"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586" w:type="dxa"/>
          </w:tcPr>
          <w:p w14:paraId="48BF0059" w14:textId="71B13862"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3112CBD6" w14:textId="77777777" w:rsidTr="00C34747">
        <w:tc>
          <w:tcPr>
            <w:cnfStyle w:val="001000000000" w:firstRow="0" w:lastRow="0" w:firstColumn="1" w:lastColumn="0" w:oddVBand="0" w:evenVBand="0" w:oddHBand="0" w:evenHBand="0" w:firstRowFirstColumn="0" w:firstRowLastColumn="0" w:lastRowFirstColumn="0" w:lastRowLastColumn="0"/>
            <w:tcW w:w="2590" w:type="dxa"/>
          </w:tcPr>
          <w:p w14:paraId="78CA6CDA" w14:textId="36CD087B" w:rsidR="00B46AF1" w:rsidRPr="000B5DE4" w:rsidRDefault="00B46AF1" w:rsidP="00B46AF1">
            <w:pPr>
              <w:pStyle w:val="p2"/>
              <w:rPr>
                <w:rFonts w:ascii="Arial" w:hAnsi="Arial" w:cs="Arial"/>
              </w:rPr>
            </w:pPr>
            <w:r w:rsidRPr="000B5DE4">
              <w:rPr>
                <w:rStyle w:val="s1"/>
                <w:rFonts w:ascii="Arial" w:hAnsi="Arial" w:cs="Arial"/>
              </w:rPr>
              <w:t>Finance Department</w:t>
            </w:r>
          </w:p>
        </w:tc>
        <w:tc>
          <w:tcPr>
            <w:tcW w:w="1564" w:type="dxa"/>
          </w:tcPr>
          <w:p w14:paraId="08BECE9A" w14:textId="72CB3145"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686" w:type="dxa"/>
          </w:tcPr>
          <w:p w14:paraId="1B089089" w14:textId="782E150E"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590" w:type="dxa"/>
          </w:tcPr>
          <w:p w14:paraId="329DA027" w14:textId="1AEAB6FE"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586" w:type="dxa"/>
          </w:tcPr>
          <w:p w14:paraId="6415BD7A" w14:textId="397B0052"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r>
      <w:tr w:rsidR="00B46AF1" w:rsidRPr="000B5DE4" w14:paraId="360B3A67"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39229467" w14:textId="3EC81FA8" w:rsidR="00B46AF1" w:rsidRPr="000B5DE4" w:rsidRDefault="00B46AF1" w:rsidP="00B46AF1">
            <w:pPr>
              <w:pStyle w:val="p2"/>
              <w:rPr>
                <w:rFonts w:ascii="Arial" w:hAnsi="Arial" w:cs="Arial"/>
              </w:rPr>
            </w:pPr>
            <w:r w:rsidRPr="000B5DE4">
              <w:rPr>
                <w:rStyle w:val="s1"/>
                <w:rFonts w:ascii="Arial" w:hAnsi="Arial" w:cs="Arial"/>
              </w:rPr>
              <w:t>Suppliers/Distributors</w:t>
            </w:r>
          </w:p>
        </w:tc>
        <w:tc>
          <w:tcPr>
            <w:tcW w:w="1564" w:type="dxa"/>
          </w:tcPr>
          <w:p w14:paraId="7EA40E14" w14:textId="1E735004"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686" w:type="dxa"/>
          </w:tcPr>
          <w:p w14:paraId="76BD0D39" w14:textId="48D17714"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590" w:type="dxa"/>
          </w:tcPr>
          <w:p w14:paraId="4DB13C91" w14:textId="26D21B00"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586" w:type="dxa"/>
          </w:tcPr>
          <w:p w14:paraId="236D6011" w14:textId="65629595"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r>
      <w:tr w:rsidR="00B46AF1" w:rsidRPr="000B5DE4" w14:paraId="2653C6B2" w14:textId="77777777" w:rsidTr="00C34747">
        <w:tc>
          <w:tcPr>
            <w:cnfStyle w:val="001000000000" w:firstRow="0" w:lastRow="0" w:firstColumn="1" w:lastColumn="0" w:oddVBand="0" w:evenVBand="0" w:oddHBand="0" w:evenHBand="0" w:firstRowFirstColumn="0" w:firstRowLastColumn="0" w:lastRowFirstColumn="0" w:lastRowLastColumn="0"/>
            <w:tcW w:w="2590" w:type="dxa"/>
          </w:tcPr>
          <w:p w14:paraId="67CC4D2B" w14:textId="12115304" w:rsidR="00B46AF1" w:rsidRPr="000B5DE4" w:rsidRDefault="00B46AF1" w:rsidP="00B46AF1">
            <w:pPr>
              <w:pStyle w:val="p2"/>
              <w:rPr>
                <w:rFonts w:ascii="Arial" w:hAnsi="Arial" w:cs="Arial"/>
              </w:rPr>
            </w:pPr>
            <w:r w:rsidRPr="000B5DE4">
              <w:rPr>
                <w:rStyle w:val="s1"/>
                <w:rFonts w:ascii="Arial" w:hAnsi="Arial" w:cs="Arial"/>
              </w:rPr>
              <w:t>Healthcare Professionals</w:t>
            </w:r>
          </w:p>
        </w:tc>
        <w:tc>
          <w:tcPr>
            <w:tcW w:w="1564" w:type="dxa"/>
          </w:tcPr>
          <w:p w14:paraId="23B95CF7" w14:textId="3DAA8AC8"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19302A41" w14:textId="529AFBB0"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590" w:type="dxa"/>
          </w:tcPr>
          <w:p w14:paraId="67D1ADC4" w14:textId="1EB67165"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1586" w:type="dxa"/>
          </w:tcPr>
          <w:p w14:paraId="72043435" w14:textId="5828FD17"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73FDBE66"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76FA74A6" w14:textId="37824D8C" w:rsidR="00B46AF1" w:rsidRPr="000B5DE4" w:rsidRDefault="00B46AF1" w:rsidP="00B46AF1">
            <w:pPr>
              <w:pStyle w:val="p2"/>
              <w:rPr>
                <w:rFonts w:ascii="Arial" w:hAnsi="Arial" w:cs="Arial"/>
              </w:rPr>
            </w:pPr>
            <w:r w:rsidRPr="000B5DE4">
              <w:rPr>
                <w:rStyle w:val="s1"/>
                <w:rFonts w:ascii="Arial" w:hAnsi="Arial" w:cs="Arial"/>
              </w:rPr>
              <w:t>Regulators (MHRA/NHS)</w:t>
            </w:r>
          </w:p>
        </w:tc>
        <w:tc>
          <w:tcPr>
            <w:tcW w:w="1564" w:type="dxa"/>
          </w:tcPr>
          <w:p w14:paraId="015A0A48" w14:textId="1CE5C6CF"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764916F0" w14:textId="3608A999"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590" w:type="dxa"/>
          </w:tcPr>
          <w:p w14:paraId="6D01EA86" w14:textId="055F277B"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586" w:type="dxa"/>
          </w:tcPr>
          <w:p w14:paraId="7D8F0D4A" w14:textId="2E7A4571"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34023038" w14:textId="77777777" w:rsidTr="00C34747">
        <w:tc>
          <w:tcPr>
            <w:cnfStyle w:val="001000000000" w:firstRow="0" w:lastRow="0" w:firstColumn="1" w:lastColumn="0" w:oddVBand="0" w:evenVBand="0" w:oddHBand="0" w:evenHBand="0" w:firstRowFirstColumn="0" w:firstRowLastColumn="0" w:lastRowFirstColumn="0" w:lastRowLastColumn="0"/>
            <w:tcW w:w="2590" w:type="dxa"/>
          </w:tcPr>
          <w:p w14:paraId="687E4C42" w14:textId="23C6DCE4" w:rsidR="00B46AF1" w:rsidRPr="000B5DE4" w:rsidRDefault="00B46AF1" w:rsidP="00B46AF1">
            <w:pPr>
              <w:pStyle w:val="p2"/>
              <w:rPr>
                <w:rFonts w:ascii="Arial" w:hAnsi="Arial" w:cs="Arial"/>
              </w:rPr>
            </w:pPr>
            <w:r w:rsidRPr="000B5DE4">
              <w:rPr>
                <w:rStyle w:val="s1"/>
                <w:rFonts w:ascii="Arial" w:hAnsi="Arial" w:cs="Arial"/>
              </w:rPr>
              <w:t>Patients/Customers</w:t>
            </w:r>
          </w:p>
        </w:tc>
        <w:tc>
          <w:tcPr>
            <w:tcW w:w="1564" w:type="dxa"/>
          </w:tcPr>
          <w:p w14:paraId="50406DE5" w14:textId="1F14CC54"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1686" w:type="dxa"/>
          </w:tcPr>
          <w:p w14:paraId="52C4D5F0" w14:textId="7BEF8083"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Low</w:t>
            </w:r>
          </w:p>
        </w:tc>
        <w:tc>
          <w:tcPr>
            <w:tcW w:w="1590" w:type="dxa"/>
          </w:tcPr>
          <w:p w14:paraId="645039AB" w14:textId="2E22252A"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Low</w:t>
            </w:r>
          </w:p>
        </w:tc>
        <w:tc>
          <w:tcPr>
            <w:tcW w:w="1586" w:type="dxa"/>
          </w:tcPr>
          <w:p w14:paraId="74C13B05" w14:textId="6EF89499" w:rsidR="00B46AF1" w:rsidRPr="000B5DE4" w:rsidRDefault="00B46AF1" w:rsidP="00B46AF1">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r>
      <w:tr w:rsidR="00B46AF1" w:rsidRPr="000B5DE4" w14:paraId="6988F51C"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90" w:type="dxa"/>
          </w:tcPr>
          <w:p w14:paraId="5300A27E" w14:textId="51699157" w:rsidR="00B46AF1" w:rsidRPr="000B5DE4" w:rsidRDefault="00B46AF1" w:rsidP="00B46AF1">
            <w:pPr>
              <w:pStyle w:val="p2"/>
              <w:rPr>
                <w:rFonts w:ascii="Arial" w:hAnsi="Arial" w:cs="Arial"/>
              </w:rPr>
            </w:pPr>
            <w:r w:rsidRPr="000B5DE4">
              <w:rPr>
                <w:rStyle w:val="s1"/>
                <w:rFonts w:ascii="Arial" w:hAnsi="Arial" w:cs="Arial"/>
              </w:rPr>
              <w:t>Investors/Shareholders</w:t>
            </w:r>
          </w:p>
        </w:tc>
        <w:tc>
          <w:tcPr>
            <w:tcW w:w="1564" w:type="dxa"/>
          </w:tcPr>
          <w:p w14:paraId="5A66A6EB" w14:textId="59F995B0"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1686" w:type="dxa"/>
          </w:tcPr>
          <w:p w14:paraId="2F1E7BD6" w14:textId="56F06E08"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Low</w:t>
            </w:r>
          </w:p>
        </w:tc>
        <w:tc>
          <w:tcPr>
            <w:tcW w:w="1590" w:type="dxa"/>
          </w:tcPr>
          <w:p w14:paraId="3F817AE3" w14:textId="60BA14BA"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1586" w:type="dxa"/>
          </w:tcPr>
          <w:p w14:paraId="65542E81" w14:textId="5DBA0C05" w:rsidR="00B46AF1" w:rsidRPr="000B5DE4" w:rsidRDefault="00B46AF1" w:rsidP="00B46AF1">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r>
    </w:tbl>
    <w:p w14:paraId="185E91AC" w14:textId="77777777" w:rsidR="00E453DC" w:rsidRPr="00E453DC" w:rsidRDefault="00E453DC" w:rsidP="00E453DC">
      <w:pPr>
        <w:spacing w:before="100" w:beforeAutospacing="1" w:after="100" w:afterAutospacing="1" w:line="240" w:lineRule="auto"/>
        <w:rPr>
          <w:rFonts w:ascii="Arial" w:eastAsia="Times New Roman" w:hAnsi="Arial" w:cs="Arial"/>
          <w:color w:val="000000" w:themeColor="text1"/>
          <w:sz w:val="24"/>
          <w:szCs w:val="24"/>
          <w:lang w:eastAsia="en-GB"/>
        </w:rPr>
      </w:pPr>
      <w:r w:rsidRPr="00E453DC">
        <w:rPr>
          <w:rFonts w:ascii="Arial" w:eastAsia="Times New Roman" w:hAnsi="Arial" w:cs="Arial"/>
          <w:color w:val="000000" w:themeColor="text1"/>
          <w:sz w:val="24"/>
          <w:szCs w:val="24"/>
          <w:lang w:eastAsia="en-GB"/>
        </w:rPr>
        <w:t>This assessment shows that internal stakeholders such as the Project Manager and R&amp;D team demonstrate the highest levels of involvement and interest, while external stakeholders — particularly regulators and investors — hold significant influence over the project’s outcome. Effective communication and collaboration among these groups are essential to meeting compliance requirements, maintaining product quality, and ensuring a successful market launch.</w:t>
      </w:r>
    </w:p>
    <w:p w14:paraId="705366A2" w14:textId="77777777" w:rsidR="00316A94" w:rsidRPr="000B5DE4" w:rsidRDefault="00316A94" w:rsidP="00316A94">
      <w:pPr>
        <w:pStyle w:val="p2"/>
        <w:rPr>
          <w:rFonts w:ascii="Arial" w:hAnsi="Arial" w:cs="Arial"/>
          <w:color w:val="000000" w:themeColor="text1"/>
        </w:rPr>
      </w:pPr>
    </w:p>
    <w:p w14:paraId="407E4084" w14:textId="77777777" w:rsidR="00484206" w:rsidRPr="000B5DE4" w:rsidRDefault="00484206" w:rsidP="004F7ED1">
      <w:pPr>
        <w:spacing w:before="100" w:beforeAutospacing="1" w:after="100" w:afterAutospacing="1" w:line="240" w:lineRule="auto"/>
        <w:rPr>
          <w:rFonts w:ascii="Arial" w:eastAsia="Times New Roman" w:hAnsi="Arial" w:cs="Arial"/>
          <w:sz w:val="24"/>
          <w:szCs w:val="24"/>
          <w:lang w:eastAsia="en-GB"/>
        </w:rPr>
      </w:pPr>
    </w:p>
    <w:p w14:paraId="4CCFC4A2" w14:textId="77777777" w:rsidR="00934EDB" w:rsidRPr="000B5DE4" w:rsidRDefault="00934EDB" w:rsidP="004F7ED1">
      <w:pPr>
        <w:spacing w:before="100" w:beforeAutospacing="1" w:after="100" w:afterAutospacing="1" w:line="240" w:lineRule="auto"/>
        <w:rPr>
          <w:rFonts w:ascii="Arial" w:eastAsia="Times New Roman" w:hAnsi="Arial" w:cs="Arial"/>
          <w:sz w:val="24"/>
          <w:szCs w:val="24"/>
          <w:lang w:eastAsia="en-GB"/>
        </w:rPr>
      </w:pPr>
    </w:p>
    <w:p w14:paraId="630A5FEC" w14:textId="77777777" w:rsidR="00484206" w:rsidRPr="000B5DE4" w:rsidRDefault="00484206" w:rsidP="004F7ED1">
      <w:pPr>
        <w:spacing w:before="100" w:beforeAutospacing="1" w:after="100" w:afterAutospacing="1" w:line="240" w:lineRule="auto"/>
        <w:rPr>
          <w:rFonts w:ascii="Arial" w:eastAsia="Times New Roman" w:hAnsi="Arial" w:cs="Arial"/>
          <w:sz w:val="24"/>
          <w:szCs w:val="24"/>
          <w:lang w:eastAsia="en-GB"/>
        </w:rPr>
      </w:pPr>
    </w:p>
    <w:p w14:paraId="70E761C3" w14:textId="77777777" w:rsidR="00484206" w:rsidRPr="000B5DE4" w:rsidRDefault="00484206" w:rsidP="004F7ED1">
      <w:pPr>
        <w:spacing w:before="100" w:beforeAutospacing="1" w:after="100" w:afterAutospacing="1" w:line="240" w:lineRule="auto"/>
        <w:rPr>
          <w:rFonts w:ascii="Arial" w:eastAsia="Times New Roman" w:hAnsi="Arial" w:cs="Arial"/>
          <w:sz w:val="24"/>
          <w:szCs w:val="24"/>
          <w:lang w:eastAsia="en-GB"/>
        </w:rPr>
      </w:pPr>
    </w:p>
    <w:p w14:paraId="10D94726" w14:textId="77777777" w:rsidR="00484206" w:rsidRPr="000B5DE4" w:rsidRDefault="00484206" w:rsidP="004F7ED1">
      <w:pPr>
        <w:spacing w:before="100" w:beforeAutospacing="1" w:after="100" w:afterAutospacing="1" w:line="240" w:lineRule="auto"/>
        <w:rPr>
          <w:rFonts w:ascii="Arial" w:eastAsia="Times New Roman" w:hAnsi="Arial" w:cs="Arial"/>
          <w:sz w:val="24"/>
          <w:szCs w:val="24"/>
          <w:lang w:eastAsia="en-GB"/>
        </w:rPr>
      </w:pPr>
    </w:p>
    <w:p w14:paraId="49F8BE1F" w14:textId="77777777" w:rsidR="00484206" w:rsidRPr="000B5DE4" w:rsidRDefault="00484206" w:rsidP="004F7ED1">
      <w:pPr>
        <w:spacing w:before="100" w:beforeAutospacing="1" w:after="100" w:afterAutospacing="1" w:line="240" w:lineRule="auto"/>
        <w:rPr>
          <w:rFonts w:ascii="Arial" w:eastAsia="Times New Roman" w:hAnsi="Arial" w:cs="Arial"/>
          <w:sz w:val="24"/>
          <w:szCs w:val="24"/>
          <w:lang w:eastAsia="en-GB"/>
        </w:rPr>
      </w:pPr>
    </w:p>
    <w:p w14:paraId="58E1FCB3" w14:textId="079D5CF5" w:rsidR="60FBEB8A" w:rsidRDefault="60FBEB8A" w:rsidP="60FBEB8A">
      <w:pPr>
        <w:spacing w:beforeAutospacing="1" w:afterAutospacing="1" w:line="240" w:lineRule="auto"/>
        <w:rPr>
          <w:rFonts w:ascii="Arial" w:eastAsia="Times New Roman" w:hAnsi="Arial" w:cs="Arial"/>
          <w:sz w:val="24"/>
          <w:szCs w:val="24"/>
          <w:lang w:eastAsia="en-GB"/>
        </w:rPr>
      </w:pPr>
    </w:p>
    <w:p w14:paraId="4339DDF6" w14:textId="34D605B8" w:rsidR="5A88CA6B" w:rsidRDefault="5A88CA6B" w:rsidP="5A88CA6B">
      <w:pPr>
        <w:spacing w:beforeAutospacing="1" w:afterAutospacing="1" w:line="240" w:lineRule="auto"/>
        <w:rPr>
          <w:rFonts w:ascii="Arial" w:eastAsia="Times New Roman" w:hAnsi="Arial" w:cs="Arial"/>
          <w:sz w:val="24"/>
          <w:szCs w:val="24"/>
          <w:lang w:eastAsia="en-GB"/>
        </w:rPr>
      </w:pPr>
    </w:p>
    <w:p w14:paraId="3CD3101D" w14:textId="741D6423" w:rsidR="5A88CA6B" w:rsidRDefault="5A88CA6B" w:rsidP="5A88CA6B">
      <w:pPr>
        <w:spacing w:beforeAutospacing="1" w:afterAutospacing="1" w:line="240" w:lineRule="auto"/>
        <w:rPr>
          <w:rFonts w:ascii="Arial" w:eastAsia="Times New Roman" w:hAnsi="Arial" w:cs="Arial"/>
          <w:sz w:val="24"/>
          <w:szCs w:val="24"/>
          <w:lang w:eastAsia="en-GB"/>
        </w:rPr>
      </w:pPr>
    </w:p>
    <w:p w14:paraId="5CBFE2F4" w14:textId="1C17FB4F" w:rsidR="5A88CA6B" w:rsidRDefault="5A88CA6B" w:rsidP="5A88CA6B">
      <w:pPr>
        <w:spacing w:beforeAutospacing="1" w:afterAutospacing="1" w:line="240" w:lineRule="auto"/>
        <w:rPr>
          <w:rFonts w:ascii="Arial" w:eastAsia="Times New Roman" w:hAnsi="Arial" w:cs="Arial"/>
          <w:sz w:val="24"/>
          <w:szCs w:val="24"/>
          <w:lang w:eastAsia="en-GB"/>
        </w:rPr>
      </w:pPr>
    </w:p>
    <w:p w14:paraId="69332FCF" w14:textId="6C285987" w:rsidR="5A88CA6B" w:rsidRDefault="5A88CA6B" w:rsidP="5A88CA6B">
      <w:pPr>
        <w:spacing w:beforeAutospacing="1" w:afterAutospacing="1" w:line="240" w:lineRule="auto"/>
        <w:rPr>
          <w:rFonts w:ascii="Arial" w:eastAsia="Times New Roman" w:hAnsi="Arial" w:cs="Arial"/>
          <w:sz w:val="24"/>
          <w:szCs w:val="24"/>
          <w:lang w:eastAsia="en-GB"/>
        </w:rPr>
      </w:pPr>
    </w:p>
    <w:p w14:paraId="158AAAA1" w14:textId="77777777" w:rsidR="00452F68" w:rsidRPr="000B5DE4" w:rsidRDefault="00452F68" w:rsidP="004F7ED1">
      <w:pPr>
        <w:spacing w:before="100" w:beforeAutospacing="1" w:after="100" w:afterAutospacing="1" w:line="240" w:lineRule="auto"/>
        <w:rPr>
          <w:rFonts w:ascii="Arial" w:eastAsia="Times New Roman" w:hAnsi="Arial" w:cs="Arial"/>
          <w:sz w:val="24"/>
          <w:szCs w:val="24"/>
          <w:lang w:eastAsia="en-GB"/>
        </w:rPr>
      </w:pPr>
    </w:p>
    <w:p w14:paraId="77833FCF" w14:textId="4A22B9F5" w:rsidR="00B32164" w:rsidRPr="00452F68" w:rsidRDefault="00B32164" w:rsidP="00452F68">
      <w:pPr>
        <w:pStyle w:val="Heading2"/>
        <w:rPr>
          <w:rFonts w:ascii="Arial" w:hAnsi="Arial" w:cs="Arial"/>
          <w:i/>
          <w:iCs/>
          <w:sz w:val="32"/>
          <w:szCs w:val="32"/>
        </w:rPr>
      </w:pPr>
      <w:bookmarkStart w:id="19" w:name="_Toc213403120"/>
      <w:r w:rsidRPr="00452F68">
        <w:rPr>
          <w:rStyle w:val="s1"/>
          <w:rFonts w:ascii="Arial" w:hAnsi="Arial" w:cs="Arial"/>
          <w:i/>
          <w:iCs/>
          <w:sz w:val="32"/>
          <w:szCs w:val="32"/>
        </w:rPr>
        <w:lastRenderedPageBreak/>
        <w:t>4.0 Managerial Roles in Stakeholder Engagement</w:t>
      </w:r>
      <w:bookmarkEnd w:id="19"/>
    </w:p>
    <w:p w14:paraId="558D629A" w14:textId="59CEACE1" w:rsidR="00F51F67" w:rsidRPr="00452F68" w:rsidRDefault="00F51F67" w:rsidP="00452F68">
      <w:pPr>
        <w:spacing w:beforeAutospacing="1" w:after="0" w:afterAutospacing="1" w:line="240" w:lineRule="auto"/>
        <w:rPr>
          <w:rStyle w:val="s1"/>
          <w:rFonts w:ascii="Arial" w:eastAsia="Times New Roman" w:hAnsi="Arial" w:cs="Arial"/>
          <w:sz w:val="24"/>
          <w:szCs w:val="24"/>
          <w:lang w:eastAsia="en-GB"/>
        </w:rPr>
      </w:pPr>
      <w:r w:rsidRPr="000B5DE4">
        <w:rPr>
          <w:rStyle w:val="s1"/>
          <w:rFonts w:ascii="Arial" w:hAnsi="Arial" w:cs="Arial"/>
          <w:sz w:val="24"/>
          <w:szCs w:val="24"/>
        </w:rPr>
        <w:t xml:space="preserve">Effective stakeholder engagement requires clear managerial roles, consistent communication, and collaborative planning. As the project manager for the new wearable health device, my primary responsibility is to </w:t>
      </w:r>
      <w:r w:rsidRPr="000B5DE4">
        <w:rPr>
          <w:rStyle w:val="s2"/>
          <w:rFonts w:ascii="Arial" w:hAnsi="Arial" w:cs="Arial"/>
          <w:sz w:val="24"/>
          <w:szCs w:val="24"/>
        </w:rPr>
        <w:t>coordinate internal and external stakeholders</w:t>
      </w:r>
      <w:r w:rsidRPr="000B5DE4">
        <w:rPr>
          <w:rStyle w:val="s1"/>
          <w:rFonts w:ascii="Arial" w:hAnsi="Arial" w:cs="Arial"/>
          <w:sz w:val="24"/>
          <w:szCs w:val="24"/>
        </w:rPr>
        <w:t xml:space="preserve"> </w:t>
      </w:r>
      <w:r w:rsidR="009F6935" w:rsidRPr="009F6935">
        <w:rPr>
          <w:rFonts w:ascii="Arial" w:eastAsia="Times New Roman" w:hAnsi="Arial" w:cs="Arial"/>
          <w:sz w:val="24"/>
          <w:szCs w:val="24"/>
          <w:lang w:eastAsia="en-GB"/>
        </w:rPr>
        <w:t>to ensure that project objectives are achieved on time, within budget, and in</w:t>
      </w:r>
      <w:r w:rsidR="009F6935" w:rsidRPr="000B5DE4">
        <w:rPr>
          <w:rFonts w:ascii="Arial" w:eastAsia="Times New Roman" w:hAnsi="Arial" w:cs="Arial"/>
          <w:sz w:val="24"/>
          <w:szCs w:val="24"/>
          <w:lang w:eastAsia="en-GB"/>
        </w:rPr>
        <w:t xml:space="preserve"> </w:t>
      </w:r>
      <w:r w:rsidR="009F6935" w:rsidRPr="009F6935">
        <w:rPr>
          <w:rFonts w:ascii="Arial" w:eastAsia="Times New Roman" w:hAnsi="Arial" w:cs="Arial"/>
          <w:sz w:val="24"/>
          <w:szCs w:val="24"/>
          <w:lang w:eastAsia="en-GB"/>
        </w:rPr>
        <w:t>compliance with regulatory standards.</w:t>
      </w:r>
    </w:p>
    <w:p w14:paraId="4205D363" w14:textId="66F12322" w:rsidR="00770787" w:rsidRPr="00452F68" w:rsidRDefault="00770787" w:rsidP="005D2400">
      <w:pPr>
        <w:pStyle w:val="Heading3"/>
        <w:rPr>
          <w:rFonts w:ascii="Arial" w:hAnsi="Arial" w:cs="Arial"/>
          <w:i/>
          <w:iCs/>
          <w:color w:val="4472C4" w:themeColor="accent1"/>
          <w:sz w:val="28"/>
          <w:szCs w:val="28"/>
        </w:rPr>
      </w:pPr>
      <w:bookmarkStart w:id="20" w:name="_Toc213403121"/>
      <w:r w:rsidRPr="00452F68">
        <w:rPr>
          <w:rStyle w:val="s1"/>
          <w:rFonts w:ascii="Arial" w:hAnsi="Arial" w:cs="Arial"/>
          <w:i/>
          <w:iCs/>
          <w:color w:val="4472C4" w:themeColor="accent1"/>
          <w:sz w:val="28"/>
          <w:szCs w:val="28"/>
        </w:rPr>
        <w:t>4.1 Communication and Collaboration Plan</w:t>
      </w:r>
      <w:bookmarkEnd w:id="20"/>
    </w:p>
    <w:p w14:paraId="6C388A04" w14:textId="77777777" w:rsidR="00C37E27" w:rsidRPr="000B5DE4" w:rsidRDefault="00C37E27" w:rsidP="00C37E27">
      <w:pPr>
        <w:pStyle w:val="Heading4"/>
        <w:rPr>
          <w:rFonts w:ascii="Arial" w:hAnsi="Arial" w:cs="Arial"/>
          <w:sz w:val="24"/>
          <w:szCs w:val="24"/>
        </w:rPr>
      </w:pPr>
      <w:r w:rsidRPr="000B5DE4">
        <w:rPr>
          <w:rStyle w:val="s1"/>
          <w:rFonts w:ascii="Arial" w:hAnsi="Arial" w:cs="Arial"/>
          <w:sz w:val="24"/>
          <w:szCs w:val="24"/>
        </w:rPr>
        <w:t>Communication Plan Table</w:t>
      </w:r>
    </w:p>
    <w:tbl>
      <w:tblPr>
        <w:tblStyle w:val="ListTable4-Accent1"/>
        <w:tblW w:w="0" w:type="auto"/>
        <w:tblLook w:val="04A0" w:firstRow="1" w:lastRow="0" w:firstColumn="1" w:lastColumn="0" w:noHBand="0" w:noVBand="1"/>
      </w:tblPr>
      <w:tblGrid>
        <w:gridCol w:w="1801"/>
        <w:gridCol w:w="1787"/>
        <w:gridCol w:w="1760"/>
        <w:gridCol w:w="1884"/>
        <w:gridCol w:w="1784"/>
      </w:tblGrid>
      <w:tr w:rsidR="002F67CF" w:rsidRPr="000B5DE4" w14:paraId="225C7015" w14:textId="77777777" w:rsidTr="00C347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1F3EE35" w14:textId="1BC5B1CA" w:rsidR="002F67CF" w:rsidRPr="000B5DE4" w:rsidRDefault="002F67CF" w:rsidP="002F67CF">
            <w:pPr>
              <w:rPr>
                <w:rStyle w:val="s1"/>
                <w:rFonts w:ascii="Arial" w:hAnsi="Arial" w:cs="Arial"/>
                <w:sz w:val="24"/>
                <w:szCs w:val="24"/>
              </w:rPr>
            </w:pPr>
            <w:r w:rsidRPr="000B5DE4">
              <w:rPr>
                <w:rStyle w:val="s1"/>
                <w:rFonts w:ascii="Arial" w:hAnsi="Arial" w:cs="Arial"/>
                <w:b w:val="0"/>
                <w:bCs w:val="0"/>
                <w:sz w:val="24"/>
                <w:szCs w:val="24"/>
              </w:rPr>
              <w:t>Stakeholder</w:t>
            </w:r>
          </w:p>
        </w:tc>
        <w:tc>
          <w:tcPr>
            <w:tcW w:w="1803" w:type="dxa"/>
          </w:tcPr>
          <w:p w14:paraId="46062F69" w14:textId="3D04F9B1" w:rsidR="002F67CF" w:rsidRPr="000B5DE4" w:rsidRDefault="002F67CF" w:rsidP="002F67CF">
            <w:pPr>
              <w:cnfStyle w:val="100000000000" w:firstRow="1"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b w:val="0"/>
                <w:bCs w:val="0"/>
                <w:sz w:val="24"/>
                <w:szCs w:val="24"/>
              </w:rPr>
              <w:t>Meeting Type</w:t>
            </w:r>
          </w:p>
        </w:tc>
        <w:tc>
          <w:tcPr>
            <w:tcW w:w="1803" w:type="dxa"/>
          </w:tcPr>
          <w:p w14:paraId="7655A5E9" w14:textId="02EBC2B6" w:rsidR="002F67CF" w:rsidRPr="000B5DE4" w:rsidRDefault="002F67CF" w:rsidP="002F67CF">
            <w:pPr>
              <w:cnfStyle w:val="100000000000" w:firstRow="1"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b w:val="0"/>
                <w:bCs w:val="0"/>
                <w:sz w:val="24"/>
                <w:szCs w:val="24"/>
              </w:rPr>
              <w:t>Frequency</w:t>
            </w:r>
          </w:p>
        </w:tc>
        <w:tc>
          <w:tcPr>
            <w:tcW w:w="1803" w:type="dxa"/>
          </w:tcPr>
          <w:p w14:paraId="4ECAC285" w14:textId="29997791" w:rsidR="002F67CF" w:rsidRPr="000B5DE4" w:rsidRDefault="002F67CF" w:rsidP="002F67CF">
            <w:pPr>
              <w:cnfStyle w:val="100000000000" w:firstRow="1"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b w:val="0"/>
                <w:bCs w:val="0"/>
                <w:sz w:val="24"/>
                <w:szCs w:val="24"/>
              </w:rPr>
              <w:t>Communication Method</w:t>
            </w:r>
          </w:p>
        </w:tc>
        <w:tc>
          <w:tcPr>
            <w:tcW w:w="1804" w:type="dxa"/>
          </w:tcPr>
          <w:p w14:paraId="5395514A" w14:textId="7F8CB909" w:rsidR="002F67CF" w:rsidRPr="000B5DE4" w:rsidRDefault="002F67CF" w:rsidP="002F67CF">
            <w:pPr>
              <w:cnfStyle w:val="100000000000" w:firstRow="1"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b w:val="0"/>
                <w:bCs w:val="0"/>
                <w:sz w:val="24"/>
                <w:szCs w:val="24"/>
              </w:rPr>
              <w:t>Report Type</w:t>
            </w:r>
          </w:p>
        </w:tc>
      </w:tr>
      <w:tr w:rsidR="002F67CF" w:rsidRPr="000B5DE4" w14:paraId="7AF76527"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F449432" w14:textId="54A38A6D"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Project Manager</w:t>
            </w:r>
          </w:p>
        </w:tc>
        <w:tc>
          <w:tcPr>
            <w:tcW w:w="1803" w:type="dxa"/>
          </w:tcPr>
          <w:p w14:paraId="14F60F58" w14:textId="210250B1"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Project Status Meeting</w:t>
            </w:r>
          </w:p>
        </w:tc>
        <w:tc>
          <w:tcPr>
            <w:tcW w:w="1803" w:type="dxa"/>
          </w:tcPr>
          <w:p w14:paraId="3EB759E4" w14:textId="70DE48A6"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Weekly</w:t>
            </w:r>
          </w:p>
        </w:tc>
        <w:tc>
          <w:tcPr>
            <w:tcW w:w="1803" w:type="dxa"/>
          </w:tcPr>
          <w:p w14:paraId="1B005F24" w14:textId="1A960AE8"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Face-to-Face / Video Call</w:t>
            </w:r>
          </w:p>
        </w:tc>
        <w:tc>
          <w:tcPr>
            <w:tcW w:w="1804" w:type="dxa"/>
          </w:tcPr>
          <w:p w14:paraId="784E9D59" w14:textId="092D30D7"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Weekly Report</w:t>
            </w:r>
          </w:p>
        </w:tc>
      </w:tr>
      <w:tr w:rsidR="002F67CF" w:rsidRPr="000B5DE4" w14:paraId="12C91FDC" w14:textId="77777777" w:rsidTr="00C34747">
        <w:tc>
          <w:tcPr>
            <w:cnfStyle w:val="001000000000" w:firstRow="0" w:lastRow="0" w:firstColumn="1" w:lastColumn="0" w:oddVBand="0" w:evenVBand="0" w:oddHBand="0" w:evenHBand="0" w:firstRowFirstColumn="0" w:firstRowLastColumn="0" w:lastRowFirstColumn="0" w:lastRowLastColumn="0"/>
            <w:tcW w:w="1803" w:type="dxa"/>
          </w:tcPr>
          <w:p w14:paraId="7FF072BD" w14:textId="25B75151"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R&amp;D Team</w:t>
            </w:r>
          </w:p>
        </w:tc>
        <w:tc>
          <w:tcPr>
            <w:tcW w:w="1803" w:type="dxa"/>
          </w:tcPr>
          <w:p w14:paraId="466EBA51" w14:textId="04B76686"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Technical Review</w:t>
            </w:r>
          </w:p>
        </w:tc>
        <w:tc>
          <w:tcPr>
            <w:tcW w:w="1803" w:type="dxa"/>
          </w:tcPr>
          <w:p w14:paraId="20EE806E" w14:textId="0AE4CAD8"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Weekly</w:t>
            </w:r>
          </w:p>
        </w:tc>
        <w:tc>
          <w:tcPr>
            <w:tcW w:w="1803" w:type="dxa"/>
          </w:tcPr>
          <w:p w14:paraId="78C1CEFA" w14:textId="064681BC"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Email / Intranet Updates</w:t>
            </w:r>
          </w:p>
        </w:tc>
        <w:tc>
          <w:tcPr>
            <w:tcW w:w="1804" w:type="dxa"/>
          </w:tcPr>
          <w:p w14:paraId="3E2E56EA" w14:textId="59EBC4CA"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Progress Summary</w:t>
            </w:r>
          </w:p>
        </w:tc>
      </w:tr>
      <w:tr w:rsidR="002F67CF" w:rsidRPr="000B5DE4" w14:paraId="65AB42E6"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8D7EE06" w14:textId="44E95BC4"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Marketing Department</w:t>
            </w:r>
          </w:p>
        </w:tc>
        <w:tc>
          <w:tcPr>
            <w:tcW w:w="1803" w:type="dxa"/>
          </w:tcPr>
          <w:p w14:paraId="1ED33160" w14:textId="477234A3"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Product Development Meeting</w:t>
            </w:r>
          </w:p>
        </w:tc>
        <w:tc>
          <w:tcPr>
            <w:tcW w:w="1803" w:type="dxa"/>
          </w:tcPr>
          <w:p w14:paraId="2719F782" w14:textId="035A212B"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Bi-weekly</w:t>
            </w:r>
          </w:p>
        </w:tc>
        <w:tc>
          <w:tcPr>
            <w:tcW w:w="1803" w:type="dxa"/>
          </w:tcPr>
          <w:p w14:paraId="2A390295" w14:textId="33B71AD4"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Video Conference</w:t>
            </w:r>
          </w:p>
        </w:tc>
        <w:tc>
          <w:tcPr>
            <w:tcW w:w="1804" w:type="dxa"/>
          </w:tcPr>
          <w:p w14:paraId="6824C520" w14:textId="128D174D"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Market Insights Report</w:t>
            </w:r>
          </w:p>
        </w:tc>
      </w:tr>
      <w:tr w:rsidR="002F67CF" w:rsidRPr="000B5DE4" w14:paraId="285FF3B7" w14:textId="77777777" w:rsidTr="00C34747">
        <w:tc>
          <w:tcPr>
            <w:cnfStyle w:val="001000000000" w:firstRow="0" w:lastRow="0" w:firstColumn="1" w:lastColumn="0" w:oddVBand="0" w:evenVBand="0" w:oddHBand="0" w:evenHBand="0" w:firstRowFirstColumn="0" w:firstRowLastColumn="0" w:lastRowFirstColumn="0" w:lastRowLastColumn="0"/>
            <w:tcW w:w="1803" w:type="dxa"/>
          </w:tcPr>
          <w:p w14:paraId="76326F6E" w14:textId="49C3A81C"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Finance Department</w:t>
            </w:r>
          </w:p>
        </w:tc>
        <w:tc>
          <w:tcPr>
            <w:tcW w:w="1803" w:type="dxa"/>
          </w:tcPr>
          <w:p w14:paraId="07E9D529" w14:textId="72150A6B"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Budget Review</w:t>
            </w:r>
          </w:p>
        </w:tc>
        <w:tc>
          <w:tcPr>
            <w:tcW w:w="1803" w:type="dxa"/>
          </w:tcPr>
          <w:p w14:paraId="30A345A9" w14:textId="2C3D9951"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Monthly</w:t>
            </w:r>
          </w:p>
        </w:tc>
        <w:tc>
          <w:tcPr>
            <w:tcW w:w="1803" w:type="dxa"/>
          </w:tcPr>
          <w:p w14:paraId="02B42DFA" w14:textId="522F8839"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Email / Dashboard</w:t>
            </w:r>
          </w:p>
        </w:tc>
        <w:tc>
          <w:tcPr>
            <w:tcW w:w="1804" w:type="dxa"/>
          </w:tcPr>
          <w:p w14:paraId="55549188" w14:textId="0489DDB5"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Financial Summary</w:t>
            </w:r>
          </w:p>
        </w:tc>
      </w:tr>
      <w:tr w:rsidR="002F67CF" w:rsidRPr="000B5DE4" w14:paraId="48A7FA4F"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4156DC7" w14:textId="380B2AEB"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Suppliers / Distributors</w:t>
            </w:r>
          </w:p>
        </w:tc>
        <w:tc>
          <w:tcPr>
            <w:tcW w:w="1803" w:type="dxa"/>
          </w:tcPr>
          <w:p w14:paraId="45212AE8" w14:textId="1F7A3BC3"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Procurement Meeting</w:t>
            </w:r>
          </w:p>
        </w:tc>
        <w:tc>
          <w:tcPr>
            <w:tcW w:w="1803" w:type="dxa"/>
          </w:tcPr>
          <w:p w14:paraId="2477E84A" w14:textId="2F5358C5"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Monthly</w:t>
            </w:r>
          </w:p>
        </w:tc>
        <w:tc>
          <w:tcPr>
            <w:tcW w:w="1803" w:type="dxa"/>
          </w:tcPr>
          <w:p w14:paraId="271728D7" w14:textId="2B81487F"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Video Conference / Email</w:t>
            </w:r>
          </w:p>
        </w:tc>
        <w:tc>
          <w:tcPr>
            <w:tcW w:w="1804" w:type="dxa"/>
          </w:tcPr>
          <w:p w14:paraId="3E867E4C" w14:textId="19C6FC31"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Supply Chain Report</w:t>
            </w:r>
          </w:p>
        </w:tc>
      </w:tr>
      <w:tr w:rsidR="002F67CF" w:rsidRPr="000B5DE4" w14:paraId="11308BD7" w14:textId="77777777" w:rsidTr="00C34747">
        <w:tc>
          <w:tcPr>
            <w:cnfStyle w:val="001000000000" w:firstRow="0" w:lastRow="0" w:firstColumn="1" w:lastColumn="0" w:oddVBand="0" w:evenVBand="0" w:oddHBand="0" w:evenHBand="0" w:firstRowFirstColumn="0" w:firstRowLastColumn="0" w:lastRowFirstColumn="0" w:lastRowLastColumn="0"/>
            <w:tcW w:w="1803" w:type="dxa"/>
          </w:tcPr>
          <w:p w14:paraId="6F3A7439" w14:textId="01C5A54B"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Healthcare Professionals</w:t>
            </w:r>
          </w:p>
        </w:tc>
        <w:tc>
          <w:tcPr>
            <w:tcW w:w="1803" w:type="dxa"/>
          </w:tcPr>
          <w:p w14:paraId="3089B282" w14:textId="1662D849"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Product Testing Feedback</w:t>
            </w:r>
          </w:p>
        </w:tc>
        <w:tc>
          <w:tcPr>
            <w:tcW w:w="1803" w:type="dxa"/>
          </w:tcPr>
          <w:p w14:paraId="2D91EC2F" w14:textId="6910182D"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Monthly</w:t>
            </w:r>
          </w:p>
        </w:tc>
        <w:tc>
          <w:tcPr>
            <w:tcW w:w="1803" w:type="dxa"/>
          </w:tcPr>
          <w:p w14:paraId="521EA170" w14:textId="297C54E9"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Email / Survey</w:t>
            </w:r>
          </w:p>
        </w:tc>
        <w:tc>
          <w:tcPr>
            <w:tcW w:w="1804" w:type="dxa"/>
          </w:tcPr>
          <w:p w14:paraId="7C2421C5" w14:textId="21D22AF7"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Evaluation Report</w:t>
            </w:r>
          </w:p>
        </w:tc>
      </w:tr>
      <w:tr w:rsidR="002F67CF" w:rsidRPr="000B5DE4" w14:paraId="5CF7B02D"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E716198" w14:textId="16C701AD"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Regulators (MHRA/NHS)</w:t>
            </w:r>
          </w:p>
        </w:tc>
        <w:tc>
          <w:tcPr>
            <w:tcW w:w="1803" w:type="dxa"/>
          </w:tcPr>
          <w:p w14:paraId="2EB9B752" w14:textId="6B98094F"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Compliance Review</w:t>
            </w:r>
          </w:p>
        </w:tc>
        <w:tc>
          <w:tcPr>
            <w:tcW w:w="1803" w:type="dxa"/>
          </w:tcPr>
          <w:p w14:paraId="25BA99FC" w14:textId="42AA1622"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Quarterly</w:t>
            </w:r>
          </w:p>
        </w:tc>
        <w:tc>
          <w:tcPr>
            <w:tcW w:w="1803" w:type="dxa"/>
          </w:tcPr>
          <w:p w14:paraId="02B2202F" w14:textId="121FE88D"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Formal Documentation / Video Conference</w:t>
            </w:r>
          </w:p>
        </w:tc>
        <w:tc>
          <w:tcPr>
            <w:tcW w:w="1804" w:type="dxa"/>
          </w:tcPr>
          <w:p w14:paraId="06895111" w14:textId="6D2926A9"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Certification Report</w:t>
            </w:r>
          </w:p>
        </w:tc>
      </w:tr>
      <w:tr w:rsidR="002F67CF" w:rsidRPr="000B5DE4" w14:paraId="48BA8B87" w14:textId="77777777" w:rsidTr="00C34747">
        <w:tc>
          <w:tcPr>
            <w:cnfStyle w:val="001000000000" w:firstRow="0" w:lastRow="0" w:firstColumn="1" w:lastColumn="0" w:oddVBand="0" w:evenVBand="0" w:oddHBand="0" w:evenHBand="0" w:firstRowFirstColumn="0" w:firstRowLastColumn="0" w:lastRowFirstColumn="0" w:lastRowLastColumn="0"/>
            <w:tcW w:w="1803" w:type="dxa"/>
          </w:tcPr>
          <w:p w14:paraId="252E8543" w14:textId="5EBD1F7F"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Patients / Customers</w:t>
            </w:r>
          </w:p>
        </w:tc>
        <w:tc>
          <w:tcPr>
            <w:tcW w:w="1803" w:type="dxa"/>
          </w:tcPr>
          <w:p w14:paraId="04BB2227" w14:textId="186E3FF4"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Feedback Collection</w:t>
            </w:r>
          </w:p>
        </w:tc>
        <w:tc>
          <w:tcPr>
            <w:tcW w:w="1803" w:type="dxa"/>
          </w:tcPr>
          <w:p w14:paraId="1A19D83C" w14:textId="58982DEF"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After Launch</w:t>
            </w:r>
          </w:p>
        </w:tc>
        <w:tc>
          <w:tcPr>
            <w:tcW w:w="1803" w:type="dxa"/>
          </w:tcPr>
          <w:p w14:paraId="6C8933C3" w14:textId="61270FCD"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Online Surveys / App Feedback</w:t>
            </w:r>
          </w:p>
        </w:tc>
        <w:tc>
          <w:tcPr>
            <w:tcW w:w="1804" w:type="dxa"/>
          </w:tcPr>
          <w:p w14:paraId="6693A1FE" w14:textId="32960D7B" w:rsidR="002F67CF" w:rsidRPr="000B5DE4" w:rsidRDefault="002F67CF" w:rsidP="002F67CF">
            <w:pPr>
              <w:cnfStyle w:val="000000000000" w:firstRow="0" w:lastRow="0" w:firstColumn="0" w:lastColumn="0" w:oddVBand="0" w:evenVBand="0" w:oddHBand="0"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Satisfaction Report</w:t>
            </w:r>
          </w:p>
        </w:tc>
      </w:tr>
      <w:tr w:rsidR="002F67CF" w:rsidRPr="000B5DE4" w14:paraId="11475505"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787965B" w14:textId="418FF1A3" w:rsidR="002F67CF" w:rsidRPr="000B5DE4" w:rsidRDefault="002F67CF" w:rsidP="002F67CF">
            <w:pPr>
              <w:rPr>
                <w:rStyle w:val="s1"/>
                <w:rFonts w:ascii="Arial" w:hAnsi="Arial" w:cs="Arial"/>
                <w:sz w:val="24"/>
                <w:szCs w:val="24"/>
              </w:rPr>
            </w:pPr>
            <w:r w:rsidRPr="000B5DE4">
              <w:rPr>
                <w:rStyle w:val="s1"/>
                <w:rFonts w:ascii="Arial" w:hAnsi="Arial" w:cs="Arial"/>
                <w:sz w:val="24"/>
                <w:szCs w:val="24"/>
              </w:rPr>
              <w:t>Investors / Shareholders</w:t>
            </w:r>
          </w:p>
        </w:tc>
        <w:tc>
          <w:tcPr>
            <w:tcW w:w="1803" w:type="dxa"/>
          </w:tcPr>
          <w:p w14:paraId="679FF281" w14:textId="4A35DEC5"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Project Update Meeting</w:t>
            </w:r>
          </w:p>
        </w:tc>
        <w:tc>
          <w:tcPr>
            <w:tcW w:w="1803" w:type="dxa"/>
          </w:tcPr>
          <w:p w14:paraId="7E2729B5" w14:textId="0FAFFC44"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Quarterly</w:t>
            </w:r>
          </w:p>
        </w:tc>
        <w:tc>
          <w:tcPr>
            <w:tcW w:w="1803" w:type="dxa"/>
          </w:tcPr>
          <w:p w14:paraId="3F7805B5" w14:textId="6D6D883A"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Presentation / Report</w:t>
            </w:r>
          </w:p>
        </w:tc>
        <w:tc>
          <w:tcPr>
            <w:tcW w:w="1804" w:type="dxa"/>
          </w:tcPr>
          <w:p w14:paraId="7A7FBB74" w14:textId="1E101CDF" w:rsidR="002F67CF" w:rsidRPr="000B5DE4" w:rsidRDefault="002F67CF" w:rsidP="002F67CF">
            <w:pPr>
              <w:cnfStyle w:val="000000100000" w:firstRow="0" w:lastRow="0" w:firstColumn="0" w:lastColumn="0" w:oddVBand="0" w:evenVBand="0" w:oddHBand="1" w:evenHBand="0" w:firstRowFirstColumn="0" w:firstRowLastColumn="0" w:lastRowFirstColumn="0" w:lastRowLastColumn="0"/>
              <w:rPr>
                <w:rStyle w:val="s1"/>
                <w:rFonts w:ascii="Arial" w:hAnsi="Arial" w:cs="Arial"/>
                <w:sz w:val="24"/>
                <w:szCs w:val="24"/>
              </w:rPr>
            </w:pPr>
            <w:r w:rsidRPr="000B5DE4">
              <w:rPr>
                <w:rStyle w:val="s1"/>
                <w:rFonts w:ascii="Arial" w:hAnsi="Arial" w:cs="Arial"/>
                <w:sz w:val="24"/>
                <w:szCs w:val="24"/>
              </w:rPr>
              <w:t>Performance Report</w:t>
            </w:r>
          </w:p>
        </w:tc>
      </w:tr>
    </w:tbl>
    <w:p w14:paraId="50D9DAA6" w14:textId="77777777" w:rsidR="00770787" w:rsidRPr="00770787" w:rsidRDefault="00770787" w:rsidP="00770787">
      <w:pPr>
        <w:spacing w:before="100" w:beforeAutospacing="1" w:after="100" w:afterAutospacing="1" w:line="240" w:lineRule="auto"/>
        <w:rPr>
          <w:rFonts w:ascii="Arial" w:eastAsia="Times New Roman" w:hAnsi="Arial" w:cs="Arial"/>
          <w:sz w:val="24"/>
          <w:szCs w:val="24"/>
          <w:lang w:eastAsia="en-GB"/>
        </w:rPr>
      </w:pPr>
      <w:r w:rsidRPr="00770787">
        <w:rPr>
          <w:rFonts w:ascii="Arial" w:eastAsia="Times New Roman" w:hAnsi="Arial" w:cs="Arial"/>
          <w:sz w:val="24"/>
          <w:szCs w:val="24"/>
          <w:lang w:eastAsia="en-GB"/>
        </w:rPr>
        <w:t>Key:</w:t>
      </w:r>
    </w:p>
    <w:p w14:paraId="50A60219" w14:textId="2108E610" w:rsidR="00770787" w:rsidRPr="00770787" w:rsidRDefault="00770787" w:rsidP="00770787">
      <w:pPr>
        <w:numPr>
          <w:ilvl w:val="0"/>
          <w:numId w:val="15"/>
        </w:numPr>
        <w:spacing w:before="100" w:beforeAutospacing="1" w:after="100" w:afterAutospacing="1" w:line="240" w:lineRule="auto"/>
        <w:rPr>
          <w:rFonts w:ascii="Arial" w:eastAsia="Times New Roman" w:hAnsi="Arial" w:cs="Arial"/>
          <w:sz w:val="24"/>
          <w:szCs w:val="24"/>
          <w:lang w:eastAsia="en-GB"/>
        </w:rPr>
      </w:pPr>
      <w:r w:rsidRPr="00770787">
        <w:rPr>
          <w:rFonts w:ascii="Arial" w:eastAsia="Times New Roman" w:hAnsi="Arial" w:cs="Arial"/>
          <w:sz w:val="24"/>
          <w:szCs w:val="24"/>
          <w:lang w:eastAsia="en-GB"/>
        </w:rPr>
        <w:t>F2F = Face-to-Face</w:t>
      </w:r>
      <w:r w:rsidR="00252514" w:rsidRPr="000B5DE4">
        <w:rPr>
          <w:rFonts w:ascii="Arial" w:eastAsia="Times New Roman" w:hAnsi="Arial" w:cs="Arial"/>
          <w:sz w:val="24"/>
          <w:szCs w:val="24"/>
          <w:lang w:eastAsia="en-GB"/>
        </w:rPr>
        <w:t xml:space="preserve"> </w:t>
      </w:r>
      <w:r w:rsidR="001D34D9" w:rsidRPr="000B5DE4">
        <w:rPr>
          <w:rFonts w:ascii="Arial" w:eastAsia="Times New Roman" w:hAnsi="Arial" w:cs="Arial"/>
          <w:sz w:val="24"/>
          <w:szCs w:val="24"/>
          <w:lang w:eastAsia="en-GB"/>
        </w:rPr>
        <w:t>Me</w:t>
      </w:r>
      <w:r w:rsidR="00FF5DF1" w:rsidRPr="000B5DE4">
        <w:rPr>
          <w:rFonts w:ascii="Arial" w:eastAsia="Times New Roman" w:hAnsi="Arial" w:cs="Arial"/>
          <w:sz w:val="24"/>
          <w:szCs w:val="24"/>
          <w:lang w:eastAsia="en-GB"/>
        </w:rPr>
        <w:t>e</w:t>
      </w:r>
      <w:r w:rsidR="001D34D9" w:rsidRPr="000B5DE4">
        <w:rPr>
          <w:rFonts w:ascii="Arial" w:eastAsia="Times New Roman" w:hAnsi="Arial" w:cs="Arial"/>
          <w:sz w:val="24"/>
          <w:szCs w:val="24"/>
          <w:lang w:eastAsia="en-GB"/>
        </w:rPr>
        <w:t>ting</w:t>
      </w:r>
    </w:p>
    <w:p w14:paraId="0BAB6A3A" w14:textId="77777777" w:rsidR="00770787" w:rsidRPr="00770787" w:rsidRDefault="00770787" w:rsidP="00770787">
      <w:pPr>
        <w:numPr>
          <w:ilvl w:val="0"/>
          <w:numId w:val="15"/>
        </w:numPr>
        <w:spacing w:before="100" w:beforeAutospacing="1" w:after="100" w:afterAutospacing="1" w:line="240" w:lineRule="auto"/>
        <w:rPr>
          <w:rFonts w:ascii="Arial" w:eastAsia="Times New Roman" w:hAnsi="Arial" w:cs="Arial"/>
          <w:sz w:val="24"/>
          <w:szCs w:val="24"/>
          <w:lang w:eastAsia="en-GB"/>
        </w:rPr>
      </w:pPr>
      <w:r w:rsidRPr="00770787">
        <w:rPr>
          <w:rFonts w:ascii="Arial" w:eastAsia="Times New Roman" w:hAnsi="Arial" w:cs="Arial"/>
          <w:sz w:val="24"/>
          <w:szCs w:val="24"/>
          <w:lang w:eastAsia="en-GB"/>
        </w:rPr>
        <w:t>VC = Video Conference</w:t>
      </w:r>
    </w:p>
    <w:p w14:paraId="4A16F130" w14:textId="77777777" w:rsidR="00770787" w:rsidRPr="00770787" w:rsidRDefault="00770787" w:rsidP="00770787">
      <w:pPr>
        <w:numPr>
          <w:ilvl w:val="0"/>
          <w:numId w:val="15"/>
        </w:numPr>
        <w:spacing w:before="100" w:beforeAutospacing="1" w:after="100" w:afterAutospacing="1" w:line="240" w:lineRule="auto"/>
        <w:rPr>
          <w:rFonts w:ascii="Arial" w:eastAsia="Times New Roman" w:hAnsi="Arial" w:cs="Arial"/>
          <w:sz w:val="24"/>
          <w:szCs w:val="24"/>
          <w:lang w:eastAsia="en-GB"/>
        </w:rPr>
      </w:pPr>
      <w:r w:rsidRPr="00770787">
        <w:rPr>
          <w:rFonts w:ascii="Arial" w:eastAsia="Times New Roman" w:hAnsi="Arial" w:cs="Arial"/>
          <w:sz w:val="24"/>
          <w:szCs w:val="24"/>
          <w:lang w:eastAsia="en-GB"/>
        </w:rPr>
        <w:t>TC = Teleconference</w:t>
      </w:r>
    </w:p>
    <w:p w14:paraId="5387A945" w14:textId="351DA891" w:rsidR="00770787" w:rsidRPr="00770787" w:rsidRDefault="00770787" w:rsidP="0082261D">
      <w:pPr>
        <w:spacing w:after="0" w:line="240" w:lineRule="auto"/>
        <w:rPr>
          <w:rFonts w:ascii="Arial" w:eastAsia="Times New Roman" w:hAnsi="Arial" w:cs="Arial"/>
          <w:sz w:val="24"/>
          <w:szCs w:val="24"/>
          <w:lang w:eastAsia="en-GB"/>
        </w:rPr>
      </w:pPr>
      <w:r w:rsidRPr="00770787">
        <w:rPr>
          <w:rFonts w:ascii="Arial" w:eastAsia="Times New Roman" w:hAnsi="Arial" w:cs="Arial"/>
          <w:sz w:val="24"/>
          <w:szCs w:val="24"/>
          <w:lang w:eastAsia="en-GB"/>
        </w:rPr>
        <w:t xml:space="preserve">The goal of this communication plan is to enhance transparency, ensure consistent updates, and strengthen collaboration among teams. Each stakeholder group receives information tailored to their role and level of influence, following the guidance of Whittington et al. </w:t>
      </w:r>
      <w:r w:rsidRPr="00770787">
        <w:rPr>
          <w:rFonts w:ascii="Arial" w:eastAsia="Times New Roman" w:hAnsi="Arial" w:cs="Arial"/>
          <w:color w:val="000000" w:themeColor="text1"/>
          <w:sz w:val="24"/>
          <w:szCs w:val="24"/>
          <w:lang w:eastAsia="en-GB"/>
        </w:rPr>
        <w:t>(2017).</w:t>
      </w:r>
    </w:p>
    <w:p w14:paraId="70256A22" w14:textId="7435C1D3" w:rsidR="00EF28B3" w:rsidRDefault="00A05785" w:rsidP="0082261D">
      <w:pPr>
        <w:spacing w:before="100" w:beforeAutospacing="1" w:after="100" w:afterAutospacing="1" w:line="240" w:lineRule="auto"/>
        <w:rPr>
          <w:rFonts w:ascii="Arial" w:eastAsia="Times New Roman" w:hAnsi="Arial" w:cs="Arial"/>
          <w:color w:val="000000" w:themeColor="text1"/>
          <w:sz w:val="24"/>
          <w:szCs w:val="24"/>
          <w:lang w:eastAsia="en-GB"/>
        </w:rPr>
      </w:pPr>
      <w:r w:rsidRPr="00A05785">
        <w:rPr>
          <w:rFonts w:ascii="Arial" w:eastAsia="Times New Roman" w:hAnsi="Arial" w:cs="Arial"/>
          <w:color w:val="000000" w:themeColor="text1"/>
          <w:sz w:val="24"/>
          <w:szCs w:val="24"/>
          <w:lang w:eastAsia="en-GB"/>
        </w:rPr>
        <w:lastRenderedPageBreak/>
        <w:t>Regular meetings and progress reports will enable stakeholders to track performance, share feedback, and address potential issues early. This structured approach promotes accountability, enhances coordination, and supports informed decision-making at all project levels.</w:t>
      </w:r>
    </w:p>
    <w:p w14:paraId="5ADC6749" w14:textId="77777777" w:rsidR="0082261D" w:rsidRPr="0082261D" w:rsidRDefault="0082261D" w:rsidP="0082261D">
      <w:pPr>
        <w:spacing w:before="100" w:beforeAutospacing="1" w:after="100" w:afterAutospacing="1" w:line="240" w:lineRule="auto"/>
        <w:rPr>
          <w:rFonts w:ascii="Arial" w:eastAsia="Times New Roman" w:hAnsi="Arial" w:cs="Arial"/>
          <w:color w:val="000000" w:themeColor="text1"/>
          <w:sz w:val="24"/>
          <w:szCs w:val="24"/>
          <w:lang w:eastAsia="en-GB"/>
        </w:rPr>
      </w:pPr>
    </w:p>
    <w:p w14:paraId="53128BA8" w14:textId="77777777" w:rsidR="00511E47" w:rsidRPr="0082261D" w:rsidRDefault="00511E47" w:rsidP="00511E47">
      <w:pPr>
        <w:pStyle w:val="Heading3"/>
        <w:rPr>
          <w:rFonts w:ascii="Arial" w:hAnsi="Arial" w:cs="Arial"/>
          <w:i/>
          <w:iCs/>
          <w:color w:val="4472C4" w:themeColor="accent1"/>
          <w:sz w:val="28"/>
          <w:szCs w:val="28"/>
        </w:rPr>
      </w:pPr>
      <w:bookmarkStart w:id="21" w:name="_Toc213403122"/>
      <w:r w:rsidRPr="0082261D">
        <w:rPr>
          <w:rStyle w:val="s1"/>
          <w:rFonts w:ascii="Arial" w:hAnsi="Arial" w:cs="Arial"/>
          <w:i/>
          <w:iCs/>
          <w:color w:val="4472C4" w:themeColor="accent1"/>
          <w:sz w:val="28"/>
          <w:szCs w:val="28"/>
        </w:rPr>
        <w:t>4.2 Engagement Levels and Participation</w:t>
      </w:r>
      <w:bookmarkEnd w:id="21"/>
    </w:p>
    <w:p w14:paraId="0102D8B4" w14:textId="7D559465" w:rsidR="005D2400" w:rsidRPr="000B5DE4" w:rsidRDefault="009E5059" w:rsidP="009E5059">
      <w:pPr>
        <w:spacing w:before="100" w:beforeAutospacing="1" w:after="100" w:afterAutospacing="1" w:line="240" w:lineRule="auto"/>
        <w:rPr>
          <w:rFonts w:ascii="Arial" w:eastAsia="Times New Roman" w:hAnsi="Arial" w:cs="Arial"/>
          <w:color w:val="000000" w:themeColor="text1"/>
          <w:sz w:val="24"/>
          <w:szCs w:val="24"/>
          <w:lang w:eastAsia="en-GB"/>
        </w:rPr>
      </w:pPr>
      <w:r w:rsidRPr="009E5059">
        <w:rPr>
          <w:rFonts w:ascii="Arial" w:eastAsia="Times New Roman" w:hAnsi="Arial" w:cs="Arial"/>
          <w:color w:val="000000" w:themeColor="text1"/>
          <w:sz w:val="24"/>
          <w:szCs w:val="24"/>
          <w:lang w:eastAsia="en-GB"/>
        </w:rPr>
        <w:t>Stakeholder engagement levels describe how actively each stakeholder participates in the project and the degree of collaboration required to achieve success.</w:t>
      </w:r>
      <w:r w:rsidR="005D2400" w:rsidRPr="000B5DE4">
        <w:rPr>
          <w:rStyle w:val="s1"/>
          <w:rFonts w:ascii="Arial" w:hAnsi="Arial" w:cs="Arial"/>
          <w:color w:val="000000" w:themeColor="text1"/>
          <w:sz w:val="24"/>
          <w:szCs w:val="24"/>
        </w:rPr>
        <w:t xml:space="preserve"> </w:t>
      </w:r>
      <w:r w:rsidR="000F64A5" w:rsidRPr="000B5DE4">
        <w:rPr>
          <w:rFonts w:ascii="Arial" w:eastAsia="Times New Roman" w:hAnsi="Arial" w:cs="Arial"/>
          <w:color w:val="000000" w:themeColor="text1"/>
          <w:sz w:val="24"/>
          <w:szCs w:val="24"/>
          <w:lang w:eastAsia="en-GB"/>
        </w:rPr>
        <w:t>According to Bourne (2015), effective stakeholder participation depends on understanding each group’s needs, expectations, and influence.</w:t>
      </w:r>
    </w:p>
    <w:p w14:paraId="00AAEF5A" w14:textId="77777777" w:rsidR="001A5123" w:rsidRPr="000B5DE4" w:rsidRDefault="001A5123" w:rsidP="001A5123">
      <w:pPr>
        <w:pStyle w:val="p1"/>
        <w:rPr>
          <w:rFonts w:ascii="Arial" w:hAnsi="Arial" w:cs="Arial"/>
        </w:rPr>
      </w:pPr>
      <w:r w:rsidRPr="000B5DE4">
        <w:rPr>
          <w:rStyle w:val="s1"/>
          <w:rFonts w:ascii="Arial" w:hAnsi="Arial" w:cs="Arial"/>
        </w:rPr>
        <w:t xml:space="preserve">The following table outlines the </w:t>
      </w:r>
      <w:r w:rsidRPr="000B5DE4">
        <w:rPr>
          <w:rStyle w:val="s2"/>
          <w:rFonts w:ascii="Arial" w:hAnsi="Arial" w:cs="Arial"/>
        </w:rPr>
        <w:t>levels of engagement</w:t>
      </w:r>
      <w:r w:rsidRPr="000B5DE4">
        <w:rPr>
          <w:rStyle w:val="s1"/>
          <w:rFonts w:ascii="Arial" w:hAnsi="Arial" w:cs="Arial"/>
        </w:rPr>
        <w:t xml:space="preserve"> for each key stakeholder group in the Owen Mumford Ltd project.</w:t>
      </w:r>
    </w:p>
    <w:tbl>
      <w:tblPr>
        <w:tblStyle w:val="ListTable4-Accent1"/>
        <w:tblW w:w="0" w:type="auto"/>
        <w:tblLook w:val="04A0" w:firstRow="1" w:lastRow="0" w:firstColumn="1" w:lastColumn="0" w:noHBand="0" w:noVBand="1"/>
      </w:tblPr>
      <w:tblGrid>
        <w:gridCol w:w="2254"/>
        <w:gridCol w:w="2254"/>
        <w:gridCol w:w="2254"/>
        <w:gridCol w:w="2254"/>
      </w:tblGrid>
      <w:tr w:rsidR="009E13A8" w:rsidRPr="000B5DE4" w14:paraId="0AB91BA6" w14:textId="77777777" w:rsidTr="00C347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562459C" w14:textId="3CD444CE" w:rsidR="009E13A8" w:rsidRPr="000B5DE4" w:rsidRDefault="009E13A8" w:rsidP="009E13A8">
            <w:pPr>
              <w:pStyle w:val="p2"/>
              <w:rPr>
                <w:rFonts w:ascii="Arial" w:hAnsi="Arial" w:cs="Arial"/>
              </w:rPr>
            </w:pPr>
            <w:r w:rsidRPr="000B5DE4">
              <w:rPr>
                <w:rStyle w:val="s1"/>
                <w:rFonts w:ascii="Arial" w:hAnsi="Arial" w:cs="Arial"/>
                <w:b w:val="0"/>
                <w:bCs w:val="0"/>
              </w:rPr>
              <w:t>Stakeholder Group</w:t>
            </w:r>
          </w:p>
        </w:tc>
        <w:tc>
          <w:tcPr>
            <w:tcW w:w="2254" w:type="dxa"/>
          </w:tcPr>
          <w:p w14:paraId="46152D64" w14:textId="4D1F20F8" w:rsidR="009E13A8" w:rsidRPr="000B5DE4" w:rsidRDefault="009E13A8" w:rsidP="009E13A8">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Level of Engagement</w:t>
            </w:r>
          </w:p>
        </w:tc>
        <w:tc>
          <w:tcPr>
            <w:tcW w:w="2254" w:type="dxa"/>
          </w:tcPr>
          <w:p w14:paraId="357B2640" w14:textId="3E40AF66" w:rsidR="009E13A8" w:rsidRPr="000B5DE4" w:rsidRDefault="009E13A8" w:rsidP="009E13A8">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Type of Participation</w:t>
            </w:r>
          </w:p>
        </w:tc>
        <w:tc>
          <w:tcPr>
            <w:tcW w:w="2254" w:type="dxa"/>
          </w:tcPr>
          <w:p w14:paraId="507745AF" w14:textId="5295A5B5" w:rsidR="009E13A8" w:rsidRPr="000B5DE4" w:rsidRDefault="009E13A8" w:rsidP="009E13A8">
            <w:pPr>
              <w:pStyle w:val="p2"/>
              <w:cnfStyle w:val="100000000000" w:firstRow="1"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b w:val="0"/>
                <w:bCs w:val="0"/>
              </w:rPr>
              <w:t>Engagement Strategy</w:t>
            </w:r>
          </w:p>
        </w:tc>
      </w:tr>
      <w:tr w:rsidR="009E13A8" w:rsidRPr="000B5DE4" w14:paraId="54CFEF15"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A66774F" w14:textId="5202FFCC" w:rsidR="009E13A8" w:rsidRPr="000B5DE4" w:rsidRDefault="009E13A8" w:rsidP="009E13A8">
            <w:pPr>
              <w:pStyle w:val="p2"/>
              <w:rPr>
                <w:rFonts w:ascii="Arial" w:hAnsi="Arial" w:cs="Arial"/>
              </w:rPr>
            </w:pPr>
            <w:r w:rsidRPr="000B5DE4">
              <w:rPr>
                <w:rStyle w:val="s1"/>
                <w:rFonts w:ascii="Arial" w:hAnsi="Arial" w:cs="Arial"/>
              </w:rPr>
              <w:t>Executive Board</w:t>
            </w:r>
          </w:p>
        </w:tc>
        <w:tc>
          <w:tcPr>
            <w:tcW w:w="2254" w:type="dxa"/>
          </w:tcPr>
          <w:p w14:paraId="47FC00E5" w14:textId="581C164A"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2254" w:type="dxa"/>
          </w:tcPr>
          <w:p w14:paraId="29BB19F3" w14:textId="48900546"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Decision-making and strategic oversight</w:t>
            </w:r>
          </w:p>
        </w:tc>
        <w:tc>
          <w:tcPr>
            <w:tcW w:w="2254" w:type="dxa"/>
          </w:tcPr>
          <w:p w14:paraId="09DF4111" w14:textId="582739F3"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Engage through formal presentations, quarterly reviews, and progress updates to align corporate strategy with project outcomes.</w:t>
            </w:r>
          </w:p>
        </w:tc>
      </w:tr>
      <w:tr w:rsidR="009E13A8" w:rsidRPr="000B5DE4" w14:paraId="7A9C2A97" w14:textId="77777777" w:rsidTr="00C34747">
        <w:tc>
          <w:tcPr>
            <w:cnfStyle w:val="001000000000" w:firstRow="0" w:lastRow="0" w:firstColumn="1" w:lastColumn="0" w:oddVBand="0" w:evenVBand="0" w:oddHBand="0" w:evenHBand="0" w:firstRowFirstColumn="0" w:firstRowLastColumn="0" w:lastRowFirstColumn="0" w:lastRowLastColumn="0"/>
            <w:tcW w:w="2254" w:type="dxa"/>
          </w:tcPr>
          <w:p w14:paraId="4813E487" w14:textId="73E71237" w:rsidR="009E13A8" w:rsidRPr="000B5DE4" w:rsidRDefault="009E13A8" w:rsidP="009E13A8">
            <w:pPr>
              <w:pStyle w:val="p2"/>
              <w:rPr>
                <w:rFonts w:ascii="Arial" w:hAnsi="Arial" w:cs="Arial"/>
              </w:rPr>
            </w:pPr>
            <w:r w:rsidRPr="000B5DE4">
              <w:rPr>
                <w:rStyle w:val="s1"/>
                <w:rFonts w:ascii="Arial" w:hAnsi="Arial" w:cs="Arial"/>
              </w:rPr>
              <w:t>Project Manager</w:t>
            </w:r>
          </w:p>
        </w:tc>
        <w:tc>
          <w:tcPr>
            <w:tcW w:w="2254" w:type="dxa"/>
          </w:tcPr>
          <w:p w14:paraId="3E32D819" w14:textId="02B2BA40"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2254" w:type="dxa"/>
          </w:tcPr>
          <w:p w14:paraId="3F9914BE" w14:textId="1D9FDCE1"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Coordination and leadership</w:t>
            </w:r>
          </w:p>
        </w:tc>
        <w:tc>
          <w:tcPr>
            <w:tcW w:w="2254" w:type="dxa"/>
          </w:tcPr>
          <w:p w14:paraId="6EBD98CF" w14:textId="18E95CFD"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Lead all stakeholder interactions, ensure effective communication and manage performance monitoring.</w:t>
            </w:r>
          </w:p>
        </w:tc>
      </w:tr>
      <w:tr w:rsidR="009E13A8" w:rsidRPr="000B5DE4" w14:paraId="07232820"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41AEA8D" w14:textId="4BA117B2" w:rsidR="009E13A8" w:rsidRPr="000B5DE4" w:rsidRDefault="009E13A8" w:rsidP="009E13A8">
            <w:pPr>
              <w:pStyle w:val="p2"/>
              <w:rPr>
                <w:rFonts w:ascii="Arial" w:hAnsi="Arial" w:cs="Arial"/>
              </w:rPr>
            </w:pPr>
            <w:r w:rsidRPr="000B5DE4">
              <w:rPr>
                <w:rStyle w:val="s1"/>
                <w:rFonts w:ascii="Arial" w:hAnsi="Arial" w:cs="Arial"/>
              </w:rPr>
              <w:t>R&amp;D Department</w:t>
            </w:r>
          </w:p>
        </w:tc>
        <w:tc>
          <w:tcPr>
            <w:tcW w:w="2254" w:type="dxa"/>
          </w:tcPr>
          <w:p w14:paraId="27A4FB44" w14:textId="7E16F3EF"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High</w:t>
            </w:r>
          </w:p>
        </w:tc>
        <w:tc>
          <w:tcPr>
            <w:tcW w:w="2254" w:type="dxa"/>
          </w:tcPr>
          <w:p w14:paraId="7F482396" w14:textId="519903B8"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Active collaboration</w:t>
            </w:r>
          </w:p>
        </w:tc>
        <w:tc>
          <w:tcPr>
            <w:tcW w:w="2254" w:type="dxa"/>
          </w:tcPr>
          <w:p w14:paraId="0D8A2110" w14:textId="76309942"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Involve in product design, technical testing, and continuous improvement meetings.</w:t>
            </w:r>
          </w:p>
        </w:tc>
      </w:tr>
      <w:tr w:rsidR="009E13A8" w:rsidRPr="000B5DE4" w14:paraId="6ADD6D01" w14:textId="77777777" w:rsidTr="00C34747">
        <w:tc>
          <w:tcPr>
            <w:cnfStyle w:val="001000000000" w:firstRow="0" w:lastRow="0" w:firstColumn="1" w:lastColumn="0" w:oddVBand="0" w:evenVBand="0" w:oddHBand="0" w:evenHBand="0" w:firstRowFirstColumn="0" w:firstRowLastColumn="0" w:lastRowFirstColumn="0" w:lastRowLastColumn="0"/>
            <w:tcW w:w="2254" w:type="dxa"/>
          </w:tcPr>
          <w:p w14:paraId="6AC707C6" w14:textId="41747D00" w:rsidR="009E13A8" w:rsidRPr="000B5DE4" w:rsidRDefault="009E13A8" w:rsidP="009E13A8">
            <w:pPr>
              <w:pStyle w:val="p2"/>
              <w:rPr>
                <w:rFonts w:ascii="Arial" w:hAnsi="Arial" w:cs="Arial"/>
              </w:rPr>
            </w:pPr>
            <w:r w:rsidRPr="000B5DE4">
              <w:rPr>
                <w:rStyle w:val="s1"/>
                <w:rFonts w:ascii="Arial" w:hAnsi="Arial" w:cs="Arial"/>
              </w:rPr>
              <w:t>Marketing Department</w:t>
            </w:r>
          </w:p>
        </w:tc>
        <w:tc>
          <w:tcPr>
            <w:tcW w:w="2254" w:type="dxa"/>
          </w:tcPr>
          <w:p w14:paraId="708220F3" w14:textId="01138BAF"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r w:rsidR="00B47362" w:rsidRPr="000B5DE4">
              <w:rPr>
                <w:rStyle w:val="s1"/>
                <w:rFonts w:ascii="Arial" w:hAnsi="Arial" w:cs="Arial"/>
              </w:rPr>
              <w:t xml:space="preserve"> </w:t>
            </w:r>
            <w:r w:rsidRPr="000B5DE4">
              <w:rPr>
                <w:rStyle w:val="s1"/>
                <w:rFonts w:ascii="Arial" w:hAnsi="Arial" w:cs="Arial"/>
              </w:rPr>
              <w:t>–</w:t>
            </w:r>
            <w:r w:rsidR="00B47362" w:rsidRPr="000B5DE4">
              <w:rPr>
                <w:rStyle w:val="s1"/>
                <w:rFonts w:ascii="Arial" w:hAnsi="Arial" w:cs="Arial"/>
              </w:rPr>
              <w:t xml:space="preserve"> </w:t>
            </w:r>
            <w:r w:rsidRPr="000B5DE4">
              <w:rPr>
                <w:rStyle w:val="s1"/>
                <w:rFonts w:ascii="Arial" w:hAnsi="Arial" w:cs="Arial"/>
              </w:rPr>
              <w:t>High</w:t>
            </w:r>
          </w:p>
        </w:tc>
        <w:tc>
          <w:tcPr>
            <w:tcW w:w="2254" w:type="dxa"/>
          </w:tcPr>
          <w:p w14:paraId="4B370B61" w14:textId="7F17C069"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Consultation and feedback</w:t>
            </w:r>
          </w:p>
        </w:tc>
        <w:tc>
          <w:tcPr>
            <w:tcW w:w="2254" w:type="dxa"/>
          </w:tcPr>
          <w:p w14:paraId="19BC60E2" w14:textId="4D3D83D7"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Engage through bi-weekly meetings and shared campaign development plans.</w:t>
            </w:r>
          </w:p>
        </w:tc>
      </w:tr>
      <w:tr w:rsidR="009E13A8" w:rsidRPr="000B5DE4" w14:paraId="754D29ED"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BABB453" w14:textId="4BF7A725" w:rsidR="009E13A8" w:rsidRPr="000B5DE4" w:rsidRDefault="009E13A8" w:rsidP="009E13A8">
            <w:pPr>
              <w:pStyle w:val="p2"/>
              <w:rPr>
                <w:rFonts w:ascii="Arial" w:hAnsi="Arial" w:cs="Arial"/>
              </w:rPr>
            </w:pPr>
            <w:r w:rsidRPr="000B5DE4">
              <w:rPr>
                <w:rStyle w:val="s1"/>
                <w:rFonts w:ascii="Arial" w:hAnsi="Arial" w:cs="Arial"/>
              </w:rPr>
              <w:t>Finance Department</w:t>
            </w:r>
          </w:p>
        </w:tc>
        <w:tc>
          <w:tcPr>
            <w:tcW w:w="2254" w:type="dxa"/>
          </w:tcPr>
          <w:p w14:paraId="1531C2D3" w14:textId="76D420B0"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2254" w:type="dxa"/>
          </w:tcPr>
          <w:p w14:paraId="310BD6FE" w14:textId="42F6EF82"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Monitoring and approval</w:t>
            </w:r>
          </w:p>
        </w:tc>
        <w:tc>
          <w:tcPr>
            <w:tcW w:w="2254" w:type="dxa"/>
          </w:tcPr>
          <w:p w14:paraId="2E43ACE9" w14:textId="164F138A"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 xml:space="preserve">Participate in budget allocation, </w:t>
            </w:r>
            <w:r w:rsidRPr="000B5DE4">
              <w:rPr>
                <w:rStyle w:val="s1"/>
                <w:rFonts w:ascii="Arial" w:hAnsi="Arial" w:cs="Arial"/>
              </w:rPr>
              <w:lastRenderedPageBreak/>
              <w:t>cost control, and financial reporting sessions.</w:t>
            </w:r>
          </w:p>
        </w:tc>
      </w:tr>
      <w:tr w:rsidR="009E13A8" w:rsidRPr="000B5DE4" w14:paraId="64935D2A" w14:textId="77777777" w:rsidTr="00C34747">
        <w:tc>
          <w:tcPr>
            <w:cnfStyle w:val="001000000000" w:firstRow="0" w:lastRow="0" w:firstColumn="1" w:lastColumn="0" w:oddVBand="0" w:evenVBand="0" w:oddHBand="0" w:evenHBand="0" w:firstRowFirstColumn="0" w:firstRowLastColumn="0" w:lastRowFirstColumn="0" w:lastRowLastColumn="0"/>
            <w:tcW w:w="2254" w:type="dxa"/>
          </w:tcPr>
          <w:p w14:paraId="2C4E6DA6" w14:textId="72AD4948" w:rsidR="009E13A8" w:rsidRPr="000B5DE4" w:rsidRDefault="009E13A8" w:rsidP="009E13A8">
            <w:pPr>
              <w:pStyle w:val="p2"/>
              <w:rPr>
                <w:rFonts w:ascii="Arial" w:hAnsi="Arial" w:cs="Arial"/>
              </w:rPr>
            </w:pPr>
            <w:r w:rsidRPr="000B5DE4">
              <w:rPr>
                <w:rStyle w:val="s1"/>
                <w:rFonts w:ascii="Arial" w:hAnsi="Arial" w:cs="Arial"/>
              </w:rPr>
              <w:lastRenderedPageBreak/>
              <w:t>Suppliers / Distributors</w:t>
            </w:r>
          </w:p>
        </w:tc>
        <w:tc>
          <w:tcPr>
            <w:tcW w:w="2254" w:type="dxa"/>
          </w:tcPr>
          <w:p w14:paraId="57D13938" w14:textId="7CE1392D"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Medium</w:t>
            </w:r>
          </w:p>
        </w:tc>
        <w:tc>
          <w:tcPr>
            <w:tcW w:w="2254" w:type="dxa"/>
          </w:tcPr>
          <w:p w14:paraId="108CF0DD" w14:textId="675B7472"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Coordination</w:t>
            </w:r>
          </w:p>
        </w:tc>
        <w:tc>
          <w:tcPr>
            <w:tcW w:w="2254" w:type="dxa"/>
          </w:tcPr>
          <w:p w14:paraId="0A0107C2" w14:textId="3A8F386B"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Maintain communication through monthly procurement meetings and ensure timely material delivery.</w:t>
            </w:r>
          </w:p>
        </w:tc>
      </w:tr>
      <w:tr w:rsidR="009E13A8" w:rsidRPr="000B5DE4" w14:paraId="3C289084"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469FD3C" w14:textId="23743624" w:rsidR="009E13A8" w:rsidRPr="000B5DE4" w:rsidRDefault="009E13A8" w:rsidP="009E13A8">
            <w:pPr>
              <w:pStyle w:val="p2"/>
              <w:rPr>
                <w:rFonts w:ascii="Arial" w:hAnsi="Arial" w:cs="Arial"/>
              </w:rPr>
            </w:pPr>
            <w:r w:rsidRPr="000B5DE4">
              <w:rPr>
                <w:rStyle w:val="s1"/>
                <w:rFonts w:ascii="Arial" w:hAnsi="Arial" w:cs="Arial"/>
              </w:rPr>
              <w:t>Healthcare Professionals</w:t>
            </w:r>
          </w:p>
        </w:tc>
        <w:tc>
          <w:tcPr>
            <w:tcW w:w="2254" w:type="dxa"/>
          </w:tcPr>
          <w:p w14:paraId="7124ACA1" w14:textId="5218EEA8"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r w:rsidR="00B47362" w:rsidRPr="000B5DE4">
              <w:rPr>
                <w:rStyle w:val="s1"/>
                <w:rFonts w:ascii="Arial" w:hAnsi="Arial" w:cs="Arial"/>
              </w:rPr>
              <w:t xml:space="preserve"> </w:t>
            </w:r>
            <w:r w:rsidRPr="000B5DE4">
              <w:rPr>
                <w:rStyle w:val="s1"/>
                <w:rFonts w:ascii="Arial" w:hAnsi="Arial" w:cs="Arial"/>
              </w:rPr>
              <w:t>–</w:t>
            </w:r>
            <w:r w:rsidR="00B47362" w:rsidRPr="000B5DE4">
              <w:rPr>
                <w:rStyle w:val="s1"/>
                <w:rFonts w:ascii="Arial" w:hAnsi="Arial" w:cs="Arial"/>
              </w:rPr>
              <w:t xml:space="preserve"> </w:t>
            </w:r>
            <w:r w:rsidRPr="000B5DE4">
              <w:rPr>
                <w:rStyle w:val="s1"/>
                <w:rFonts w:ascii="Arial" w:hAnsi="Arial" w:cs="Arial"/>
              </w:rPr>
              <w:t>High</w:t>
            </w:r>
          </w:p>
        </w:tc>
        <w:tc>
          <w:tcPr>
            <w:tcW w:w="2254" w:type="dxa"/>
          </w:tcPr>
          <w:p w14:paraId="26FF816B" w14:textId="1071C872"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Consultation and validation</w:t>
            </w:r>
          </w:p>
        </w:tc>
        <w:tc>
          <w:tcPr>
            <w:tcW w:w="2254" w:type="dxa"/>
          </w:tcPr>
          <w:p w14:paraId="3314B320" w14:textId="782374C8"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Involve in clinical testing, ethical assessments, and feedback sessions to ensure medical credibility.</w:t>
            </w:r>
          </w:p>
        </w:tc>
      </w:tr>
      <w:tr w:rsidR="009E13A8" w:rsidRPr="000B5DE4" w14:paraId="609066F0" w14:textId="77777777" w:rsidTr="00C34747">
        <w:tc>
          <w:tcPr>
            <w:cnfStyle w:val="001000000000" w:firstRow="0" w:lastRow="0" w:firstColumn="1" w:lastColumn="0" w:oddVBand="0" w:evenVBand="0" w:oddHBand="0" w:evenHBand="0" w:firstRowFirstColumn="0" w:firstRowLastColumn="0" w:lastRowFirstColumn="0" w:lastRowLastColumn="0"/>
            <w:tcW w:w="2254" w:type="dxa"/>
          </w:tcPr>
          <w:p w14:paraId="7B3CF323" w14:textId="034425C7" w:rsidR="009E13A8" w:rsidRPr="000B5DE4" w:rsidRDefault="009E13A8" w:rsidP="009E13A8">
            <w:pPr>
              <w:pStyle w:val="p2"/>
              <w:rPr>
                <w:rFonts w:ascii="Arial" w:hAnsi="Arial" w:cs="Arial"/>
              </w:rPr>
            </w:pPr>
            <w:r w:rsidRPr="000B5DE4">
              <w:rPr>
                <w:rStyle w:val="s1"/>
                <w:rFonts w:ascii="Arial" w:hAnsi="Arial" w:cs="Arial"/>
              </w:rPr>
              <w:t>Regulators (MHRA/NHS)</w:t>
            </w:r>
          </w:p>
        </w:tc>
        <w:tc>
          <w:tcPr>
            <w:tcW w:w="2254" w:type="dxa"/>
          </w:tcPr>
          <w:p w14:paraId="6C488816" w14:textId="686A0634"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High</w:t>
            </w:r>
          </w:p>
        </w:tc>
        <w:tc>
          <w:tcPr>
            <w:tcW w:w="2254" w:type="dxa"/>
          </w:tcPr>
          <w:p w14:paraId="3599B64B" w14:textId="467CDA99"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Formal approval and evaluation</w:t>
            </w:r>
          </w:p>
        </w:tc>
        <w:tc>
          <w:tcPr>
            <w:tcW w:w="2254" w:type="dxa"/>
          </w:tcPr>
          <w:p w14:paraId="64F3304A" w14:textId="3EDB0B08"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Maintain regular contact and compliance documentation to meet certification requirements.</w:t>
            </w:r>
          </w:p>
        </w:tc>
      </w:tr>
      <w:tr w:rsidR="009E13A8" w:rsidRPr="000B5DE4" w14:paraId="79F30D81"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CA0026" w14:textId="7442F783" w:rsidR="009E13A8" w:rsidRPr="000B5DE4" w:rsidRDefault="009E13A8" w:rsidP="009E13A8">
            <w:pPr>
              <w:pStyle w:val="p2"/>
              <w:rPr>
                <w:rFonts w:ascii="Arial" w:hAnsi="Arial" w:cs="Arial"/>
              </w:rPr>
            </w:pPr>
            <w:r w:rsidRPr="000B5DE4">
              <w:rPr>
                <w:rStyle w:val="s1"/>
                <w:rFonts w:ascii="Arial" w:hAnsi="Arial" w:cs="Arial"/>
              </w:rPr>
              <w:t>Patients / Customers</w:t>
            </w:r>
          </w:p>
        </w:tc>
        <w:tc>
          <w:tcPr>
            <w:tcW w:w="2254" w:type="dxa"/>
          </w:tcPr>
          <w:p w14:paraId="4674680D" w14:textId="481E52FA"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Medium</w:t>
            </w:r>
          </w:p>
        </w:tc>
        <w:tc>
          <w:tcPr>
            <w:tcW w:w="2254" w:type="dxa"/>
          </w:tcPr>
          <w:p w14:paraId="7AC8A80A" w14:textId="4E621A5C"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Feedback and user testing</w:t>
            </w:r>
          </w:p>
        </w:tc>
        <w:tc>
          <w:tcPr>
            <w:tcW w:w="2254" w:type="dxa"/>
          </w:tcPr>
          <w:p w14:paraId="7EE3885B" w14:textId="249A1796" w:rsidR="009E13A8" w:rsidRPr="000B5DE4" w:rsidRDefault="009E13A8" w:rsidP="009E13A8">
            <w:pPr>
              <w:pStyle w:val="p2"/>
              <w:cnfStyle w:val="000000100000" w:firstRow="0" w:lastRow="0" w:firstColumn="0" w:lastColumn="0" w:oddVBand="0" w:evenVBand="0" w:oddHBand="1" w:evenHBand="0" w:firstRowFirstColumn="0" w:firstRowLastColumn="0" w:lastRowFirstColumn="0" w:lastRowLastColumn="0"/>
              <w:rPr>
                <w:rFonts w:ascii="Arial" w:hAnsi="Arial" w:cs="Arial"/>
              </w:rPr>
            </w:pPr>
            <w:r w:rsidRPr="000B5DE4">
              <w:rPr>
                <w:rStyle w:val="s1"/>
                <w:rFonts w:ascii="Arial" w:hAnsi="Arial" w:cs="Arial"/>
              </w:rPr>
              <w:t>Engage post-launch through surveys, focus groups, and product usability feedback.</w:t>
            </w:r>
          </w:p>
        </w:tc>
      </w:tr>
      <w:tr w:rsidR="009E13A8" w:rsidRPr="000B5DE4" w14:paraId="5E5BFEB0" w14:textId="77777777" w:rsidTr="00C34747">
        <w:tc>
          <w:tcPr>
            <w:cnfStyle w:val="001000000000" w:firstRow="0" w:lastRow="0" w:firstColumn="1" w:lastColumn="0" w:oddVBand="0" w:evenVBand="0" w:oddHBand="0" w:evenHBand="0" w:firstRowFirstColumn="0" w:firstRowLastColumn="0" w:lastRowFirstColumn="0" w:lastRowLastColumn="0"/>
            <w:tcW w:w="2254" w:type="dxa"/>
          </w:tcPr>
          <w:p w14:paraId="7C5A1734" w14:textId="46879901" w:rsidR="009E13A8" w:rsidRPr="000B5DE4" w:rsidRDefault="009E13A8" w:rsidP="009E13A8">
            <w:pPr>
              <w:pStyle w:val="p2"/>
              <w:rPr>
                <w:rFonts w:ascii="Arial" w:hAnsi="Arial" w:cs="Arial"/>
              </w:rPr>
            </w:pPr>
            <w:r w:rsidRPr="000B5DE4">
              <w:rPr>
                <w:rStyle w:val="s1"/>
                <w:rFonts w:ascii="Arial" w:hAnsi="Arial" w:cs="Arial"/>
              </w:rPr>
              <w:t>Investors / Shareholders</w:t>
            </w:r>
          </w:p>
        </w:tc>
        <w:tc>
          <w:tcPr>
            <w:tcW w:w="2254" w:type="dxa"/>
          </w:tcPr>
          <w:p w14:paraId="27392426" w14:textId="0D7B998E"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Low</w:t>
            </w:r>
            <w:r w:rsidR="00B47362" w:rsidRPr="000B5DE4">
              <w:rPr>
                <w:rStyle w:val="s1"/>
                <w:rFonts w:ascii="Arial" w:hAnsi="Arial" w:cs="Arial"/>
              </w:rPr>
              <w:t xml:space="preserve"> </w:t>
            </w:r>
            <w:r w:rsidRPr="000B5DE4">
              <w:rPr>
                <w:rStyle w:val="s1"/>
                <w:rFonts w:ascii="Arial" w:hAnsi="Arial" w:cs="Arial"/>
              </w:rPr>
              <w:t>–</w:t>
            </w:r>
            <w:r w:rsidR="00B47362" w:rsidRPr="000B5DE4">
              <w:rPr>
                <w:rStyle w:val="s1"/>
                <w:rFonts w:ascii="Arial" w:hAnsi="Arial" w:cs="Arial"/>
              </w:rPr>
              <w:t xml:space="preserve"> </w:t>
            </w:r>
            <w:r w:rsidRPr="000B5DE4">
              <w:rPr>
                <w:rStyle w:val="s1"/>
                <w:rFonts w:ascii="Arial" w:hAnsi="Arial" w:cs="Arial"/>
              </w:rPr>
              <w:t>Medium</w:t>
            </w:r>
          </w:p>
        </w:tc>
        <w:tc>
          <w:tcPr>
            <w:tcW w:w="2254" w:type="dxa"/>
          </w:tcPr>
          <w:p w14:paraId="562C7BD4" w14:textId="7E42B431"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Review and monitoring</w:t>
            </w:r>
          </w:p>
        </w:tc>
        <w:tc>
          <w:tcPr>
            <w:tcW w:w="2254" w:type="dxa"/>
          </w:tcPr>
          <w:p w14:paraId="03974C6F" w14:textId="6007B3D6" w:rsidR="009E13A8" w:rsidRPr="000B5DE4" w:rsidRDefault="009E13A8" w:rsidP="009E13A8">
            <w:pPr>
              <w:pStyle w:val="p2"/>
              <w:cnfStyle w:val="000000000000" w:firstRow="0" w:lastRow="0" w:firstColumn="0" w:lastColumn="0" w:oddVBand="0" w:evenVBand="0" w:oddHBand="0" w:evenHBand="0" w:firstRowFirstColumn="0" w:firstRowLastColumn="0" w:lastRowFirstColumn="0" w:lastRowLastColumn="0"/>
              <w:rPr>
                <w:rFonts w:ascii="Arial" w:hAnsi="Arial" w:cs="Arial"/>
              </w:rPr>
            </w:pPr>
            <w:r w:rsidRPr="000B5DE4">
              <w:rPr>
                <w:rStyle w:val="s1"/>
                <w:rFonts w:ascii="Arial" w:hAnsi="Arial" w:cs="Arial"/>
              </w:rPr>
              <w:t>Keep informed through quarterly progress reports and performance updates.</w:t>
            </w:r>
          </w:p>
        </w:tc>
      </w:tr>
    </w:tbl>
    <w:p w14:paraId="3EF6B8F8" w14:textId="77777777" w:rsidR="00F52F10" w:rsidRPr="00F52F10" w:rsidRDefault="00F52F10" w:rsidP="00F52F10">
      <w:pPr>
        <w:spacing w:before="100" w:beforeAutospacing="1" w:after="100" w:afterAutospacing="1" w:line="240" w:lineRule="auto"/>
        <w:rPr>
          <w:rFonts w:ascii="Arial" w:eastAsia="Times New Roman" w:hAnsi="Arial" w:cs="Arial"/>
          <w:color w:val="000000" w:themeColor="text1"/>
          <w:sz w:val="24"/>
          <w:szCs w:val="24"/>
          <w:lang w:eastAsia="en-GB"/>
        </w:rPr>
      </w:pPr>
      <w:r w:rsidRPr="00F52F10">
        <w:rPr>
          <w:rFonts w:ascii="Arial" w:eastAsia="Times New Roman" w:hAnsi="Arial" w:cs="Arial"/>
          <w:color w:val="000000" w:themeColor="text1"/>
          <w:sz w:val="24"/>
          <w:szCs w:val="24"/>
          <w:lang w:eastAsia="en-GB"/>
        </w:rPr>
        <w:t>The engagement levels indicate that Executive Management, the Project Manager, R&amp;D, and Regulators require the highest degree of collaboration. Transparent and consistent communication with these groups is essential to prevent delays and ensure compliance with both technical and ethical standards. Lower-engagement stakeholders, such as investors or distributors, should still receive regular updates to maintain confidence and commitment. This approach aligns with the Stakeholder Salience Model (Mitchell, Agle and Wood, 1997), which prioritises stakeholders based on their power, legitimacy, and urgency.</w:t>
      </w:r>
    </w:p>
    <w:p w14:paraId="09848E0B" w14:textId="77777777" w:rsidR="00511E47" w:rsidRDefault="00511E47" w:rsidP="00F52F10">
      <w:pPr>
        <w:pStyle w:val="p2"/>
        <w:rPr>
          <w:rFonts w:ascii="Arial" w:hAnsi="Arial" w:cs="Arial"/>
          <w:color w:val="000000" w:themeColor="text1"/>
        </w:rPr>
      </w:pPr>
    </w:p>
    <w:p w14:paraId="42854FCC" w14:textId="6C40D087" w:rsidR="272EB69F" w:rsidRDefault="272EB69F" w:rsidP="272EB69F">
      <w:pPr>
        <w:pStyle w:val="p2"/>
        <w:rPr>
          <w:rFonts w:ascii="Arial" w:hAnsi="Arial" w:cs="Arial"/>
          <w:color w:val="000000" w:themeColor="text1"/>
        </w:rPr>
      </w:pPr>
    </w:p>
    <w:p w14:paraId="496F8F1C" w14:textId="77777777" w:rsidR="0082261D" w:rsidRPr="000B5DE4" w:rsidRDefault="0082261D" w:rsidP="00F52F10">
      <w:pPr>
        <w:pStyle w:val="p2"/>
        <w:rPr>
          <w:rFonts w:ascii="Arial" w:hAnsi="Arial" w:cs="Arial"/>
          <w:color w:val="000000" w:themeColor="text1"/>
        </w:rPr>
      </w:pPr>
    </w:p>
    <w:p w14:paraId="6BDA9B8B" w14:textId="77777777" w:rsidR="00294BC0" w:rsidRPr="0082261D" w:rsidRDefault="00294BC0" w:rsidP="00294BC0">
      <w:pPr>
        <w:pStyle w:val="Heading3"/>
        <w:rPr>
          <w:rFonts w:ascii="Arial" w:hAnsi="Arial" w:cs="Arial"/>
          <w:i/>
          <w:iCs/>
          <w:sz w:val="28"/>
          <w:szCs w:val="28"/>
        </w:rPr>
      </w:pPr>
      <w:bookmarkStart w:id="22" w:name="_Toc213403123"/>
      <w:r w:rsidRPr="0082261D">
        <w:rPr>
          <w:rStyle w:val="s1"/>
          <w:rFonts w:ascii="Arial" w:hAnsi="Arial" w:cs="Arial"/>
          <w:i/>
          <w:iCs/>
          <w:color w:val="4472C4" w:themeColor="accent1"/>
          <w:sz w:val="28"/>
          <w:szCs w:val="28"/>
        </w:rPr>
        <w:lastRenderedPageBreak/>
        <w:t>4.3 RACI Responsibility Matrix</w:t>
      </w:r>
      <w:bookmarkEnd w:id="22"/>
    </w:p>
    <w:p w14:paraId="60340DF4" w14:textId="2CD144D9" w:rsidR="00C57168" w:rsidRDefault="00C57168" w:rsidP="007367E7">
      <w:pPr>
        <w:spacing w:before="100" w:beforeAutospacing="1" w:after="100" w:afterAutospacing="1" w:line="240" w:lineRule="auto"/>
        <w:rPr>
          <w:rStyle w:val="s1"/>
          <w:rFonts w:ascii="Arial" w:hAnsi="Arial" w:cs="Arial"/>
          <w:color w:val="000000" w:themeColor="text1"/>
          <w:sz w:val="24"/>
          <w:szCs w:val="24"/>
        </w:rPr>
      </w:pPr>
      <w:r w:rsidRPr="000B5DE4">
        <w:rPr>
          <w:rStyle w:val="s1"/>
          <w:rFonts w:ascii="Arial" w:hAnsi="Arial" w:cs="Arial"/>
          <w:color w:val="000000" w:themeColor="text1"/>
          <w:sz w:val="24"/>
          <w:szCs w:val="24"/>
        </w:rPr>
        <w:t xml:space="preserve">A </w:t>
      </w:r>
      <w:r w:rsidRPr="000B5DE4">
        <w:rPr>
          <w:rStyle w:val="s2"/>
          <w:rFonts w:ascii="Arial" w:hAnsi="Arial" w:cs="Arial"/>
          <w:color w:val="000000" w:themeColor="text1"/>
          <w:sz w:val="24"/>
          <w:szCs w:val="24"/>
        </w:rPr>
        <w:t>RACI matrix</w:t>
      </w:r>
      <w:r w:rsidRPr="000B5DE4">
        <w:rPr>
          <w:rStyle w:val="s1"/>
          <w:rFonts w:ascii="Arial" w:hAnsi="Arial" w:cs="Arial"/>
          <w:color w:val="000000" w:themeColor="text1"/>
          <w:sz w:val="24"/>
          <w:szCs w:val="24"/>
        </w:rPr>
        <w:t xml:space="preserve"> (Responsible, Accountable, Consulted, and Informed) is a management tool that clarifies team roles and responsibilities within a project. </w:t>
      </w:r>
      <w:r w:rsidR="007367E7" w:rsidRPr="000B5DE4">
        <w:rPr>
          <w:rFonts w:ascii="Arial" w:eastAsia="Times New Roman" w:hAnsi="Arial" w:cs="Arial"/>
          <w:color w:val="000000" w:themeColor="text1"/>
          <w:sz w:val="24"/>
          <w:szCs w:val="24"/>
          <w:lang w:eastAsia="en-GB"/>
        </w:rPr>
        <w:t>It ensures that each task is clearly assigned to the appropriate stakeholders, avoiding duplication of work and communication gaps.</w:t>
      </w:r>
      <w:r w:rsidRPr="000B5DE4">
        <w:rPr>
          <w:rStyle w:val="s1"/>
          <w:rFonts w:ascii="Arial" w:hAnsi="Arial" w:cs="Arial"/>
          <w:color w:val="000000" w:themeColor="text1"/>
          <w:sz w:val="24"/>
          <w:szCs w:val="24"/>
        </w:rPr>
        <w:t>(PMI, 2021). For this project, the RACI matrix identifies who is directly involved in the design, development, regulation, and launch of the new wearable health device.</w:t>
      </w:r>
    </w:p>
    <w:p w14:paraId="1DF651C0" w14:textId="77777777" w:rsidR="00C34747" w:rsidRPr="00C34747" w:rsidRDefault="00C34747" w:rsidP="007367E7">
      <w:pPr>
        <w:spacing w:before="100" w:beforeAutospacing="1" w:after="100" w:afterAutospacing="1" w:line="240" w:lineRule="auto"/>
        <w:rPr>
          <w:rFonts w:ascii="Arial" w:hAnsi="Arial" w:cs="Arial"/>
          <w:color w:val="000000" w:themeColor="text1"/>
          <w:sz w:val="24"/>
          <w:szCs w:val="24"/>
        </w:rPr>
      </w:pPr>
    </w:p>
    <w:p w14:paraId="1E7D6330" w14:textId="77777777" w:rsidR="00C57168" w:rsidRPr="000B5DE4" w:rsidRDefault="00C57168" w:rsidP="00C57168">
      <w:pPr>
        <w:pStyle w:val="Heading4"/>
        <w:rPr>
          <w:rFonts w:ascii="Arial" w:hAnsi="Arial" w:cs="Arial"/>
          <w:sz w:val="24"/>
          <w:szCs w:val="24"/>
        </w:rPr>
      </w:pPr>
      <w:r w:rsidRPr="000B5DE4">
        <w:rPr>
          <w:rStyle w:val="s1"/>
          <w:rFonts w:ascii="Arial" w:hAnsi="Arial" w:cs="Arial"/>
          <w:color w:val="000000" w:themeColor="text1"/>
          <w:sz w:val="24"/>
          <w:szCs w:val="24"/>
        </w:rPr>
        <w:t xml:space="preserve">RACI Matrix </w:t>
      </w:r>
      <w:r w:rsidRPr="000B5DE4">
        <w:rPr>
          <w:rStyle w:val="s1"/>
          <w:rFonts w:ascii="Arial" w:hAnsi="Arial" w:cs="Arial"/>
          <w:sz w:val="24"/>
          <w:szCs w:val="24"/>
        </w:rPr>
        <w:t>for Owen Mumford Ltd</w:t>
      </w:r>
    </w:p>
    <w:tbl>
      <w:tblPr>
        <w:tblStyle w:val="ListTable4-Accent1"/>
        <w:tblW w:w="0" w:type="auto"/>
        <w:tblLook w:val="04A0" w:firstRow="1" w:lastRow="0" w:firstColumn="1" w:lastColumn="0" w:noHBand="0" w:noVBand="1"/>
      </w:tblPr>
      <w:tblGrid>
        <w:gridCol w:w="1156"/>
        <w:gridCol w:w="806"/>
        <w:gridCol w:w="997"/>
        <w:gridCol w:w="997"/>
        <w:gridCol w:w="997"/>
        <w:gridCol w:w="972"/>
        <w:gridCol w:w="1114"/>
        <w:gridCol w:w="1113"/>
        <w:gridCol w:w="864"/>
      </w:tblGrid>
      <w:tr w:rsidR="00E31C0D" w:rsidRPr="000B5DE4" w14:paraId="599FCB51" w14:textId="77777777" w:rsidTr="00C3474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14250815" w14:textId="64B0C09B" w:rsidR="00E31C0D" w:rsidRPr="000B5DE4" w:rsidRDefault="00E31C0D" w:rsidP="00E31C0D">
            <w:pPr>
              <w:pStyle w:val="p3"/>
              <w:rPr>
                <w:rStyle w:val="s2"/>
                <w:rFonts w:ascii="Arial" w:hAnsi="Arial" w:cs="Arial"/>
              </w:rPr>
            </w:pPr>
            <w:r w:rsidRPr="000B5DE4">
              <w:rPr>
                <w:rStyle w:val="s1"/>
                <w:rFonts w:ascii="Arial" w:hAnsi="Arial" w:cs="Arial"/>
                <w:b w:val="0"/>
                <w:bCs w:val="0"/>
              </w:rPr>
              <w:t>Project Activity</w:t>
            </w:r>
          </w:p>
        </w:tc>
        <w:tc>
          <w:tcPr>
            <w:tcW w:w="796" w:type="dxa"/>
          </w:tcPr>
          <w:p w14:paraId="6BB3DC87" w14:textId="5204F81F"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Project Manager</w:t>
            </w:r>
          </w:p>
        </w:tc>
        <w:tc>
          <w:tcPr>
            <w:tcW w:w="985" w:type="dxa"/>
          </w:tcPr>
          <w:p w14:paraId="6E200B25" w14:textId="23AF9C59"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R&amp;D Department</w:t>
            </w:r>
          </w:p>
        </w:tc>
        <w:tc>
          <w:tcPr>
            <w:tcW w:w="985" w:type="dxa"/>
          </w:tcPr>
          <w:p w14:paraId="5E587E0E" w14:textId="230DC911"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Marketing Department</w:t>
            </w:r>
          </w:p>
        </w:tc>
        <w:tc>
          <w:tcPr>
            <w:tcW w:w="985" w:type="dxa"/>
          </w:tcPr>
          <w:p w14:paraId="03E8C36B" w14:textId="62E756A2"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Finance Department</w:t>
            </w:r>
          </w:p>
        </w:tc>
        <w:tc>
          <w:tcPr>
            <w:tcW w:w="995" w:type="dxa"/>
          </w:tcPr>
          <w:p w14:paraId="139D9BAB" w14:textId="5FF36D4D"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Suppliers / Distributors</w:t>
            </w:r>
          </w:p>
        </w:tc>
        <w:tc>
          <w:tcPr>
            <w:tcW w:w="1085" w:type="dxa"/>
          </w:tcPr>
          <w:p w14:paraId="2069A0A7" w14:textId="18B504C2"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Healthcare Professionals</w:t>
            </w:r>
          </w:p>
        </w:tc>
        <w:tc>
          <w:tcPr>
            <w:tcW w:w="1185" w:type="dxa"/>
          </w:tcPr>
          <w:p w14:paraId="0F44DC9F" w14:textId="73843B86"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Regulators (MHRA/NHS)</w:t>
            </w:r>
          </w:p>
        </w:tc>
        <w:tc>
          <w:tcPr>
            <w:tcW w:w="868" w:type="dxa"/>
          </w:tcPr>
          <w:p w14:paraId="5FD06AD8" w14:textId="32EC7499" w:rsidR="00E31C0D" w:rsidRPr="000B5DE4" w:rsidRDefault="00E31C0D" w:rsidP="00E31C0D">
            <w:pPr>
              <w:pStyle w:val="p3"/>
              <w:cnfStyle w:val="100000000000" w:firstRow="1"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b w:val="0"/>
                <w:bCs w:val="0"/>
              </w:rPr>
              <w:t>Executive Board</w:t>
            </w:r>
          </w:p>
        </w:tc>
      </w:tr>
      <w:tr w:rsidR="00E31C0D" w:rsidRPr="000B5DE4" w14:paraId="12845ECA"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6247BD03" w14:textId="3441E13B" w:rsidR="00E31C0D" w:rsidRPr="000B5DE4" w:rsidRDefault="00E31C0D" w:rsidP="00E31C0D">
            <w:pPr>
              <w:pStyle w:val="p3"/>
              <w:rPr>
                <w:rStyle w:val="s2"/>
                <w:rFonts w:ascii="Arial" w:hAnsi="Arial" w:cs="Arial"/>
              </w:rPr>
            </w:pPr>
            <w:r w:rsidRPr="000B5DE4">
              <w:rPr>
                <w:rStyle w:val="s1"/>
                <w:rFonts w:ascii="Arial" w:hAnsi="Arial" w:cs="Arial"/>
              </w:rPr>
              <w:t>Project Planning</w:t>
            </w:r>
          </w:p>
        </w:tc>
        <w:tc>
          <w:tcPr>
            <w:tcW w:w="796" w:type="dxa"/>
          </w:tcPr>
          <w:p w14:paraId="752B0D14" w14:textId="5E6A717E"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A</w:t>
            </w:r>
          </w:p>
        </w:tc>
        <w:tc>
          <w:tcPr>
            <w:tcW w:w="985" w:type="dxa"/>
          </w:tcPr>
          <w:p w14:paraId="0FA1B52D" w14:textId="3490DF8B"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49B02B08" w14:textId="34DC9922"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066FA7C7" w14:textId="0DEB8BB1"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95" w:type="dxa"/>
          </w:tcPr>
          <w:p w14:paraId="048436EB" w14:textId="205AACB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085" w:type="dxa"/>
          </w:tcPr>
          <w:p w14:paraId="5F3B7CA2" w14:textId="51A0B0C9"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08293396" w14:textId="1CAAF3BA"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2FACC813" w14:textId="6554DED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60642763" w14:textId="77777777" w:rsidTr="00C34747">
        <w:tc>
          <w:tcPr>
            <w:cnfStyle w:val="001000000000" w:firstRow="0" w:lastRow="0" w:firstColumn="1" w:lastColumn="0" w:oddVBand="0" w:evenVBand="0" w:oddHBand="0" w:evenHBand="0" w:firstRowFirstColumn="0" w:firstRowLastColumn="0" w:lastRowFirstColumn="0" w:lastRowLastColumn="0"/>
            <w:tcW w:w="1132" w:type="dxa"/>
          </w:tcPr>
          <w:p w14:paraId="7B3535B5" w14:textId="03F5C7C2" w:rsidR="00E31C0D" w:rsidRPr="000B5DE4" w:rsidRDefault="00E31C0D" w:rsidP="00E31C0D">
            <w:pPr>
              <w:pStyle w:val="p3"/>
              <w:rPr>
                <w:rStyle w:val="s2"/>
                <w:rFonts w:ascii="Arial" w:hAnsi="Arial" w:cs="Arial"/>
              </w:rPr>
            </w:pPr>
            <w:r w:rsidRPr="000B5DE4">
              <w:rPr>
                <w:rStyle w:val="s1"/>
                <w:rFonts w:ascii="Arial" w:hAnsi="Arial" w:cs="Arial"/>
              </w:rPr>
              <w:t>Product Design &amp; Development</w:t>
            </w:r>
          </w:p>
        </w:tc>
        <w:tc>
          <w:tcPr>
            <w:tcW w:w="796" w:type="dxa"/>
          </w:tcPr>
          <w:p w14:paraId="435A6826" w14:textId="06FD154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7E5A5C55" w14:textId="3626EAD0"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R/A</w:t>
            </w:r>
          </w:p>
        </w:tc>
        <w:tc>
          <w:tcPr>
            <w:tcW w:w="985" w:type="dxa"/>
          </w:tcPr>
          <w:p w14:paraId="6B95239C" w14:textId="0E0AFE1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538405BE" w14:textId="56C35C20"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95" w:type="dxa"/>
          </w:tcPr>
          <w:p w14:paraId="0ADD1D6C" w14:textId="1FB21D4E"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085" w:type="dxa"/>
          </w:tcPr>
          <w:p w14:paraId="5FBE7214" w14:textId="0F1AFF79"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185" w:type="dxa"/>
          </w:tcPr>
          <w:p w14:paraId="282B4BCC" w14:textId="19C77909"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2007A57B" w14:textId="147B0AF7"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366E9E3C"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7D47FAA5" w14:textId="4F605E27" w:rsidR="00E31C0D" w:rsidRPr="000B5DE4" w:rsidRDefault="00E31C0D" w:rsidP="00E31C0D">
            <w:pPr>
              <w:pStyle w:val="p3"/>
              <w:rPr>
                <w:rStyle w:val="s2"/>
                <w:rFonts w:ascii="Arial" w:hAnsi="Arial" w:cs="Arial"/>
              </w:rPr>
            </w:pPr>
            <w:r w:rsidRPr="000B5DE4">
              <w:rPr>
                <w:rStyle w:val="s1"/>
                <w:rFonts w:ascii="Arial" w:hAnsi="Arial" w:cs="Arial"/>
              </w:rPr>
              <w:t>Prototype Testing</w:t>
            </w:r>
          </w:p>
        </w:tc>
        <w:tc>
          <w:tcPr>
            <w:tcW w:w="796" w:type="dxa"/>
          </w:tcPr>
          <w:p w14:paraId="4D678B8B" w14:textId="3F08CF64"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A</w:t>
            </w:r>
          </w:p>
        </w:tc>
        <w:tc>
          <w:tcPr>
            <w:tcW w:w="985" w:type="dxa"/>
          </w:tcPr>
          <w:p w14:paraId="18613A3A" w14:textId="50090545"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R</w:t>
            </w:r>
          </w:p>
        </w:tc>
        <w:tc>
          <w:tcPr>
            <w:tcW w:w="985" w:type="dxa"/>
          </w:tcPr>
          <w:p w14:paraId="650377AB" w14:textId="051C0F06"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5112C897" w14:textId="2078FC53"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95" w:type="dxa"/>
          </w:tcPr>
          <w:p w14:paraId="58A63128" w14:textId="5C74B6E5"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085" w:type="dxa"/>
          </w:tcPr>
          <w:p w14:paraId="7AB89F5F" w14:textId="0499589F"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185" w:type="dxa"/>
          </w:tcPr>
          <w:p w14:paraId="17C70988" w14:textId="09E96EAF"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49C57036" w14:textId="5B47D569"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19325FB8" w14:textId="77777777" w:rsidTr="00C34747">
        <w:tc>
          <w:tcPr>
            <w:cnfStyle w:val="001000000000" w:firstRow="0" w:lastRow="0" w:firstColumn="1" w:lastColumn="0" w:oddVBand="0" w:evenVBand="0" w:oddHBand="0" w:evenHBand="0" w:firstRowFirstColumn="0" w:firstRowLastColumn="0" w:lastRowFirstColumn="0" w:lastRowLastColumn="0"/>
            <w:tcW w:w="1132" w:type="dxa"/>
          </w:tcPr>
          <w:p w14:paraId="4CB93CBC" w14:textId="6DD312EE" w:rsidR="00E31C0D" w:rsidRPr="000B5DE4" w:rsidRDefault="00E31C0D" w:rsidP="00E31C0D">
            <w:pPr>
              <w:pStyle w:val="p3"/>
              <w:rPr>
                <w:rStyle w:val="s2"/>
                <w:rFonts w:ascii="Arial" w:hAnsi="Arial" w:cs="Arial"/>
              </w:rPr>
            </w:pPr>
            <w:r w:rsidRPr="000B5DE4">
              <w:rPr>
                <w:rStyle w:val="s1"/>
                <w:rFonts w:ascii="Arial" w:hAnsi="Arial" w:cs="Arial"/>
              </w:rPr>
              <w:t>Regulatory Compliance</w:t>
            </w:r>
          </w:p>
        </w:tc>
        <w:tc>
          <w:tcPr>
            <w:tcW w:w="796" w:type="dxa"/>
          </w:tcPr>
          <w:p w14:paraId="795BE96F" w14:textId="558A22FB"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5617522A" w14:textId="2F6CCE07"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57B8056D" w14:textId="7C28AA05"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49B4FD37" w14:textId="3F0F8CF5"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95" w:type="dxa"/>
          </w:tcPr>
          <w:p w14:paraId="3F62FFEC" w14:textId="529F78AE"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085" w:type="dxa"/>
          </w:tcPr>
          <w:p w14:paraId="5400CB83" w14:textId="4AE597B5"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185" w:type="dxa"/>
          </w:tcPr>
          <w:p w14:paraId="3D8C4512" w14:textId="64F9D531"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868" w:type="dxa"/>
          </w:tcPr>
          <w:p w14:paraId="49428D45" w14:textId="5F749BDB"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7350AA28"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3C8ECC8B" w14:textId="178BFF58" w:rsidR="00E31C0D" w:rsidRPr="000B5DE4" w:rsidRDefault="00E31C0D" w:rsidP="00E31C0D">
            <w:pPr>
              <w:pStyle w:val="p3"/>
              <w:rPr>
                <w:rStyle w:val="s2"/>
                <w:rFonts w:ascii="Arial" w:hAnsi="Arial" w:cs="Arial"/>
              </w:rPr>
            </w:pPr>
            <w:r w:rsidRPr="000B5DE4">
              <w:rPr>
                <w:rStyle w:val="s1"/>
                <w:rFonts w:ascii="Arial" w:hAnsi="Arial" w:cs="Arial"/>
              </w:rPr>
              <w:t>Marketing Strategy</w:t>
            </w:r>
          </w:p>
        </w:tc>
        <w:tc>
          <w:tcPr>
            <w:tcW w:w="796" w:type="dxa"/>
          </w:tcPr>
          <w:p w14:paraId="4D49BAE6" w14:textId="70CFA430"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2093F18F" w14:textId="68DAC1BE"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66A6B2EB" w14:textId="2B477D0D"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985" w:type="dxa"/>
          </w:tcPr>
          <w:p w14:paraId="242AD583" w14:textId="70952C31"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95" w:type="dxa"/>
          </w:tcPr>
          <w:p w14:paraId="1A4DCAE6" w14:textId="25CD572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085" w:type="dxa"/>
          </w:tcPr>
          <w:p w14:paraId="356D97E5" w14:textId="519536AD"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48690AD3" w14:textId="645F7DF0"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00D12A4E" w14:textId="3E6F3A0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2E2FDCCC" w14:textId="77777777" w:rsidTr="00C34747">
        <w:tc>
          <w:tcPr>
            <w:cnfStyle w:val="001000000000" w:firstRow="0" w:lastRow="0" w:firstColumn="1" w:lastColumn="0" w:oddVBand="0" w:evenVBand="0" w:oddHBand="0" w:evenHBand="0" w:firstRowFirstColumn="0" w:firstRowLastColumn="0" w:lastRowFirstColumn="0" w:lastRowLastColumn="0"/>
            <w:tcW w:w="1132" w:type="dxa"/>
          </w:tcPr>
          <w:p w14:paraId="789CA6BB" w14:textId="4C11F037" w:rsidR="00E31C0D" w:rsidRPr="000B5DE4" w:rsidRDefault="00E31C0D" w:rsidP="00E31C0D">
            <w:pPr>
              <w:pStyle w:val="p3"/>
              <w:rPr>
                <w:rStyle w:val="s2"/>
                <w:rFonts w:ascii="Arial" w:hAnsi="Arial" w:cs="Arial"/>
              </w:rPr>
            </w:pPr>
            <w:r w:rsidRPr="000B5DE4">
              <w:rPr>
                <w:rStyle w:val="s1"/>
                <w:rFonts w:ascii="Arial" w:hAnsi="Arial" w:cs="Arial"/>
              </w:rPr>
              <w:t>Budget Control</w:t>
            </w:r>
          </w:p>
        </w:tc>
        <w:tc>
          <w:tcPr>
            <w:tcW w:w="796" w:type="dxa"/>
          </w:tcPr>
          <w:p w14:paraId="2CB55663" w14:textId="6739475E"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43BFD095" w14:textId="1B73D5B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30B1BBF2" w14:textId="45DB7F6A"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2D840842" w14:textId="10B3D17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995" w:type="dxa"/>
          </w:tcPr>
          <w:p w14:paraId="3D3DA18C" w14:textId="5D7862E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085" w:type="dxa"/>
          </w:tcPr>
          <w:p w14:paraId="006B3BF9" w14:textId="6E7818FA"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2CE87735" w14:textId="10632AD4"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6D31E520" w14:textId="476ED22B"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53C32421"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7D364A02" w14:textId="01819C95" w:rsidR="00E31C0D" w:rsidRPr="000B5DE4" w:rsidRDefault="00E31C0D" w:rsidP="00E31C0D">
            <w:pPr>
              <w:pStyle w:val="p3"/>
              <w:rPr>
                <w:rStyle w:val="s2"/>
                <w:rFonts w:ascii="Arial" w:hAnsi="Arial" w:cs="Arial"/>
              </w:rPr>
            </w:pPr>
            <w:r w:rsidRPr="000B5DE4">
              <w:rPr>
                <w:rStyle w:val="s1"/>
                <w:rFonts w:ascii="Arial" w:hAnsi="Arial" w:cs="Arial"/>
              </w:rPr>
              <w:t>Procurement &amp; Supply Chain</w:t>
            </w:r>
          </w:p>
        </w:tc>
        <w:tc>
          <w:tcPr>
            <w:tcW w:w="796" w:type="dxa"/>
          </w:tcPr>
          <w:p w14:paraId="26C22F01" w14:textId="6460B540"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02921202" w14:textId="6D165022"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38C985A2" w14:textId="0C0D25A3"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26186675" w14:textId="6F69864D"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95" w:type="dxa"/>
          </w:tcPr>
          <w:p w14:paraId="111F4F61" w14:textId="3E5218A1"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1085" w:type="dxa"/>
          </w:tcPr>
          <w:p w14:paraId="7934EA8A" w14:textId="6E87BE7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7E16BA13" w14:textId="68A2BD3C"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48ED542D" w14:textId="4642971D"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02BE62D6" w14:textId="77777777" w:rsidTr="00C34747">
        <w:tc>
          <w:tcPr>
            <w:cnfStyle w:val="001000000000" w:firstRow="0" w:lastRow="0" w:firstColumn="1" w:lastColumn="0" w:oddVBand="0" w:evenVBand="0" w:oddHBand="0" w:evenHBand="0" w:firstRowFirstColumn="0" w:firstRowLastColumn="0" w:lastRowFirstColumn="0" w:lastRowLastColumn="0"/>
            <w:tcW w:w="1132" w:type="dxa"/>
          </w:tcPr>
          <w:p w14:paraId="004DE168" w14:textId="03AC1818" w:rsidR="00E31C0D" w:rsidRPr="000B5DE4" w:rsidRDefault="00E31C0D" w:rsidP="00E31C0D">
            <w:pPr>
              <w:pStyle w:val="p3"/>
              <w:rPr>
                <w:rStyle w:val="s2"/>
                <w:rFonts w:ascii="Arial" w:hAnsi="Arial" w:cs="Arial"/>
              </w:rPr>
            </w:pPr>
            <w:r w:rsidRPr="000B5DE4">
              <w:rPr>
                <w:rStyle w:val="s1"/>
                <w:rFonts w:ascii="Arial" w:hAnsi="Arial" w:cs="Arial"/>
              </w:rPr>
              <w:t>Quality Assurance</w:t>
            </w:r>
          </w:p>
        </w:tc>
        <w:tc>
          <w:tcPr>
            <w:tcW w:w="796" w:type="dxa"/>
          </w:tcPr>
          <w:p w14:paraId="46CCF6F9" w14:textId="7C24FB0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A</w:t>
            </w:r>
          </w:p>
        </w:tc>
        <w:tc>
          <w:tcPr>
            <w:tcW w:w="985" w:type="dxa"/>
          </w:tcPr>
          <w:p w14:paraId="402B7E08" w14:textId="31C0139D"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R</w:t>
            </w:r>
          </w:p>
        </w:tc>
        <w:tc>
          <w:tcPr>
            <w:tcW w:w="985" w:type="dxa"/>
          </w:tcPr>
          <w:p w14:paraId="5F8EDD62" w14:textId="30BD4B79"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85" w:type="dxa"/>
          </w:tcPr>
          <w:p w14:paraId="06CFE8B3" w14:textId="690527D6"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995" w:type="dxa"/>
          </w:tcPr>
          <w:p w14:paraId="711EC44F" w14:textId="05D63681"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085" w:type="dxa"/>
          </w:tcPr>
          <w:p w14:paraId="445E0E20" w14:textId="05F5ACB6"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185" w:type="dxa"/>
          </w:tcPr>
          <w:p w14:paraId="6750AC07" w14:textId="3CEF7E49"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868" w:type="dxa"/>
          </w:tcPr>
          <w:p w14:paraId="1CE4708C" w14:textId="4ACC8AE3"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5C3D9A06" w14:textId="77777777" w:rsidTr="00C347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32" w:type="dxa"/>
          </w:tcPr>
          <w:p w14:paraId="5CE25327" w14:textId="23F91489" w:rsidR="00E31C0D" w:rsidRPr="000B5DE4" w:rsidRDefault="00E31C0D" w:rsidP="00E31C0D">
            <w:pPr>
              <w:pStyle w:val="p3"/>
              <w:rPr>
                <w:rStyle w:val="s2"/>
                <w:rFonts w:ascii="Arial" w:hAnsi="Arial" w:cs="Arial"/>
              </w:rPr>
            </w:pPr>
            <w:r w:rsidRPr="000B5DE4">
              <w:rPr>
                <w:rStyle w:val="s1"/>
                <w:rFonts w:ascii="Arial" w:hAnsi="Arial" w:cs="Arial"/>
              </w:rPr>
              <w:t>Product Launch</w:t>
            </w:r>
          </w:p>
        </w:tc>
        <w:tc>
          <w:tcPr>
            <w:tcW w:w="796" w:type="dxa"/>
          </w:tcPr>
          <w:p w14:paraId="719CEDD6" w14:textId="25959F1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985" w:type="dxa"/>
          </w:tcPr>
          <w:p w14:paraId="2C5D2673" w14:textId="78050E98"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0C98DF6D" w14:textId="750DC3DE"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5FBFFD50" w14:textId="2C201602"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95" w:type="dxa"/>
          </w:tcPr>
          <w:p w14:paraId="6365C00D" w14:textId="65F91607"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1085" w:type="dxa"/>
          </w:tcPr>
          <w:p w14:paraId="51859255" w14:textId="1FCEF970"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0C4B9808" w14:textId="624410EE"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4B141384" w14:textId="684A7318" w:rsidR="00E31C0D" w:rsidRPr="000B5DE4" w:rsidRDefault="00E31C0D" w:rsidP="00E31C0D">
            <w:pPr>
              <w:pStyle w:val="p3"/>
              <w:cnfStyle w:val="000000100000" w:firstRow="0" w:lastRow="0" w:firstColumn="0" w:lastColumn="0" w:oddVBand="0" w:evenVBand="0" w:oddHBand="1" w:evenHBand="0" w:firstRowFirstColumn="0" w:firstRowLastColumn="0" w:lastRowFirstColumn="0" w:lastRowLastColumn="0"/>
              <w:rPr>
                <w:rStyle w:val="s2"/>
                <w:rFonts w:ascii="Arial" w:hAnsi="Arial" w:cs="Arial"/>
              </w:rPr>
            </w:pPr>
            <w:r w:rsidRPr="000B5DE4">
              <w:rPr>
                <w:rStyle w:val="s1"/>
                <w:rFonts w:ascii="Arial" w:hAnsi="Arial" w:cs="Arial"/>
              </w:rPr>
              <w:t>I</w:t>
            </w:r>
          </w:p>
        </w:tc>
      </w:tr>
      <w:tr w:rsidR="00E31C0D" w:rsidRPr="000B5DE4" w14:paraId="70C9516A" w14:textId="77777777" w:rsidTr="00C34747">
        <w:tc>
          <w:tcPr>
            <w:cnfStyle w:val="001000000000" w:firstRow="0" w:lastRow="0" w:firstColumn="1" w:lastColumn="0" w:oddVBand="0" w:evenVBand="0" w:oddHBand="0" w:evenHBand="0" w:firstRowFirstColumn="0" w:firstRowLastColumn="0" w:lastRowFirstColumn="0" w:lastRowLastColumn="0"/>
            <w:tcW w:w="1132" w:type="dxa"/>
          </w:tcPr>
          <w:p w14:paraId="424AC7AC" w14:textId="0B2E4A7F" w:rsidR="00E31C0D" w:rsidRPr="000B5DE4" w:rsidRDefault="00E31C0D" w:rsidP="00E31C0D">
            <w:pPr>
              <w:pStyle w:val="p3"/>
              <w:rPr>
                <w:rStyle w:val="s2"/>
                <w:rFonts w:ascii="Arial" w:hAnsi="Arial" w:cs="Arial"/>
              </w:rPr>
            </w:pPr>
            <w:r w:rsidRPr="000B5DE4">
              <w:rPr>
                <w:rStyle w:val="s1"/>
                <w:rFonts w:ascii="Arial" w:hAnsi="Arial" w:cs="Arial"/>
              </w:rPr>
              <w:t>Stakeholder Reporting</w:t>
            </w:r>
          </w:p>
        </w:tc>
        <w:tc>
          <w:tcPr>
            <w:tcW w:w="796" w:type="dxa"/>
          </w:tcPr>
          <w:p w14:paraId="49DAF61D" w14:textId="09EC9766"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A/R</w:t>
            </w:r>
          </w:p>
        </w:tc>
        <w:tc>
          <w:tcPr>
            <w:tcW w:w="985" w:type="dxa"/>
          </w:tcPr>
          <w:p w14:paraId="70208E33" w14:textId="5478CC71"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2BFC284D" w14:textId="3947E138"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85" w:type="dxa"/>
          </w:tcPr>
          <w:p w14:paraId="03A2C980" w14:textId="1597F6D7"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C</w:t>
            </w:r>
          </w:p>
        </w:tc>
        <w:tc>
          <w:tcPr>
            <w:tcW w:w="995" w:type="dxa"/>
          </w:tcPr>
          <w:p w14:paraId="1718D778" w14:textId="01E55340"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085" w:type="dxa"/>
          </w:tcPr>
          <w:p w14:paraId="2F0ED144" w14:textId="55B77A1E"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1185" w:type="dxa"/>
          </w:tcPr>
          <w:p w14:paraId="667ED9CB" w14:textId="7AD4AFC2"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c>
          <w:tcPr>
            <w:tcW w:w="868" w:type="dxa"/>
          </w:tcPr>
          <w:p w14:paraId="2B763483" w14:textId="4C6794AB" w:rsidR="00E31C0D" w:rsidRPr="000B5DE4" w:rsidRDefault="00E31C0D" w:rsidP="00E31C0D">
            <w:pPr>
              <w:pStyle w:val="p3"/>
              <w:cnfStyle w:val="000000000000" w:firstRow="0" w:lastRow="0" w:firstColumn="0" w:lastColumn="0" w:oddVBand="0" w:evenVBand="0" w:oddHBand="0" w:evenHBand="0" w:firstRowFirstColumn="0" w:firstRowLastColumn="0" w:lastRowFirstColumn="0" w:lastRowLastColumn="0"/>
              <w:rPr>
                <w:rStyle w:val="s2"/>
                <w:rFonts w:ascii="Arial" w:hAnsi="Arial" w:cs="Arial"/>
              </w:rPr>
            </w:pPr>
            <w:r w:rsidRPr="000B5DE4">
              <w:rPr>
                <w:rStyle w:val="s1"/>
                <w:rFonts w:ascii="Arial" w:hAnsi="Arial" w:cs="Arial"/>
              </w:rPr>
              <w:t>I</w:t>
            </w:r>
          </w:p>
        </w:tc>
      </w:tr>
    </w:tbl>
    <w:p w14:paraId="4B88D6AE" w14:textId="77777777" w:rsidR="0082228F" w:rsidRPr="000B5DE4" w:rsidRDefault="00E31C0D" w:rsidP="005C7ECE">
      <w:pPr>
        <w:spacing w:before="100" w:beforeAutospacing="1" w:after="100" w:afterAutospacing="1" w:line="240" w:lineRule="auto"/>
        <w:rPr>
          <w:rFonts w:ascii="Arial" w:eastAsia="Times New Roman" w:hAnsi="Arial" w:cs="Arial"/>
          <w:color w:val="000000" w:themeColor="text1"/>
          <w:sz w:val="24"/>
          <w:szCs w:val="24"/>
          <w:lang w:eastAsia="en-GB"/>
        </w:rPr>
      </w:pPr>
      <w:r w:rsidRPr="00E31C0D">
        <w:rPr>
          <w:rFonts w:ascii="Arial" w:eastAsia="Times New Roman" w:hAnsi="Arial" w:cs="Arial"/>
          <w:color w:val="000000" w:themeColor="text1"/>
          <w:sz w:val="24"/>
          <w:szCs w:val="24"/>
          <w:lang w:eastAsia="en-GB"/>
        </w:rPr>
        <w:lastRenderedPageBreak/>
        <w:t>Legend:</w:t>
      </w:r>
      <w:r w:rsidR="005C7ECE" w:rsidRPr="000B5DE4">
        <w:rPr>
          <w:rFonts w:ascii="Arial" w:eastAsia="Times New Roman" w:hAnsi="Arial" w:cs="Arial"/>
          <w:color w:val="000000" w:themeColor="text1"/>
          <w:sz w:val="24"/>
          <w:szCs w:val="24"/>
          <w:lang w:eastAsia="en-GB"/>
        </w:rPr>
        <w:t xml:space="preserve"> </w:t>
      </w:r>
    </w:p>
    <w:p w14:paraId="74A83767" w14:textId="09A23656" w:rsidR="00E31C0D" w:rsidRPr="00E31C0D" w:rsidRDefault="005C7ECE" w:rsidP="00E31C0D">
      <w:pPr>
        <w:spacing w:before="100" w:beforeAutospacing="1" w:after="100" w:afterAutospacing="1" w:line="240" w:lineRule="auto"/>
        <w:rPr>
          <w:rFonts w:ascii="Arial" w:eastAsia="Times New Roman" w:hAnsi="Arial" w:cs="Arial"/>
          <w:color w:val="000000" w:themeColor="text1"/>
          <w:sz w:val="24"/>
          <w:szCs w:val="24"/>
          <w:lang w:eastAsia="en-GB"/>
        </w:rPr>
      </w:pPr>
      <w:r w:rsidRPr="000B5DE4">
        <w:rPr>
          <w:rFonts w:ascii="Arial" w:eastAsia="Times New Roman" w:hAnsi="Arial" w:cs="Arial"/>
          <w:color w:val="000000" w:themeColor="text1"/>
          <w:sz w:val="24"/>
          <w:szCs w:val="24"/>
          <w:lang w:eastAsia="en-GB"/>
        </w:rPr>
        <w:t>The following abbreviations are used in the RACI matrix:</w:t>
      </w:r>
    </w:p>
    <w:p w14:paraId="746259C2" w14:textId="77777777" w:rsidR="00E31C0D" w:rsidRPr="00E31C0D" w:rsidRDefault="00E31C0D" w:rsidP="00E31C0D">
      <w:pPr>
        <w:numPr>
          <w:ilvl w:val="0"/>
          <w:numId w:val="16"/>
        </w:numPr>
        <w:spacing w:before="100" w:beforeAutospacing="1" w:after="100" w:afterAutospacing="1" w:line="240" w:lineRule="auto"/>
        <w:rPr>
          <w:rFonts w:ascii="Arial" w:eastAsia="Times New Roman" w:hAnsi="Arial" w:cs="Arial"/>
          <w:sz w:val="24"/>
          <w:szCs w:val="24"/>
          <w:lang w:eastAsia="en-GB"/>
        </w:rPr>
      </w:pPr>
      <w:r w:rsidRPr="00E31C0D">
        <w:rPr>
          <w:rFonts w:ascii="Arial" w:eastAsia="Times New Roman" w:hAnsi="Arial" w:cs="Arial"/>
          <w:color w:val="000000" w:themeColor="text1"/>
          <w:sz w:val="24"/>
          <w:szCs w:val="24"/>
          <w:lang w:eastAsia="en-GB"/>
        </w:rPr>
        <w:t xml:space="preserve">R – </w:t>
      </w:r>
      <w:r w:rsidRPr="00E31C0D">
        <w:rPr>
          <w:rFonts w:ascii="Arial" w:eastAsia="Times New Roman" w:hAnsi="Arial" w:cs="Arial"/>
          <w:sz w:val="24"/>
          <w:szCs w:val="24"/>
          <w:lang w:eastAsia="en-GB"/>
        </w:rPr>
        <w:t>Responsible: Executes the task.</w:t>
      </w:r>
    </w:p>
    <w:p w14:paraId="7C1A6487" w14:textId="77777777" w:rsidR="00E31C0D" w:rsidRPr="00E31C0D" w:rsidRDefault="00E31C0D" w:rsidP="00E31C0D">
      <w:pPr>
        <w:numPr>
          <w:ilvl w:val="0"/>
          <w:numId w:val="16"/>
        </w:numPr>
        <w:spacing w:before="100" w:beforeAutospacing="1" w:after="100" w:afterAutospacing="1" w:line="240" w:lineRule="auto"/>
        <w:rPr>
          <w:rFonts w:ascii="Arial" w:eastAsia="Times New Roman" w:hAnsi="Arial" w:cs="Arial"/>
          <w:sz w:val="24"/>
          <w:szCs w:val="24"/>
          <w:lang w:eastAsia="en-GB"/>
        </w:rPr>
      </w:pPr>
      <w:r w:rsidRPr="00E31C0D">
        <w:rPr>
          <w:rFonts w:ascii="Arial" w:eastAsia="Times New Roman" w:hAnsi="Arial" w:cs="Arial"/>
          <w:sz w:val="24"/>
          <w:szCs w:val="24"/>
          <w:lang w:eastAsia="en-GB"/>
        </w:rPr>
        <w:t>A – Accountable: Ultimately answerable for the outcome.</w:t>
      </w:r>
    </w:p>
    <w:p w14:paraId="1B8F9564" w14:textId="77777777" w:rsidR="00E31C0D" w:rsidRPr="00E31C0D" w:rsidRDefault="00E31C0D" w:rsidP="00E31C0D">
      <w:pPr>
        <w:numPr>
          <w:ilvl w:val="0"/>
          <w:numId w:val="16"/>
        </w:numPr>
        <w:spacing w:before="100" w:beforeAutospacing="1" w:after="100" w:afterAutospacing="1" w:line="240" w:lineRule="auto"/>
        <w:rPr>
          <w:rFonts w:ascii="Arial" w:eastAsia="Times New Roman" w:hAnsi="Arial" w:cs="Arial"/>
          <w:sz w:val="24"/>
          <w:szCs w:val="24"/>
          <w:lang w:eastAsia="en-GB"/>
        </w:rPr>
      </w:pPr>
      <w:r w:rsidRPr="00E31C0D">
        <w:rPr>
          <w:rFonts w:ascii="Arial" w:eastAsia="Times New Roman" w:hAnsi="Arial" w:cs="Arial"/>
          <w:sz w:val="24"/>
          <w:szCs w:val="24"/>
          <w:lang w:eastAsia="en-GB"/>
        </w:rPr>
        <w:t>C – Consulted: Provides input, expertise, or approval.</w:t>
      </w:r>
    </w:p>
    <w:p w14:paraId="6E62EB07" w14:textId="77777777" w:rsidR="00E31C0D" w:rsidRPr="00E31C0D" w:rsidRDefault="00E31C0D" w:rsidP="00E31C0D">
      <w:pPr>
        <w:numPr>
          <w:ilvl w:val="0"/>
          <w:numId w:val="16"/>
        </w:numPr>
        <w:spacing w:before="100" w:beforeAutospacing="1" w:after="100" w:afterAutospacing="1" w:line="240" w:lineRule="auto"/>
        <w:rPr>
          <w:rFonts w:ascii="Arial" w:eastAsia="Times New Roman" w:hAnsi="Arial" w:cs="Arial"/>
          <w:color w:val="000000" w:themeColor="text1"/>
          <w:sz w:val="24"/>
          <w:szCs w:val="24"/>
          <w:lang w:eastAsia="en-GB"/>
        </w:rPr>
      </w:pPr>
      <w:r w:rsidRPr="00E31C0D">
        <w:rPr>
          <w:rFonts w:ascii="Arial" w:eastAsia="Times New Roman" w:hAnsi="Arial" w:cs="Arial"/>
          <w:color w:val="000000" w:themeColor="text1"/>
          <w:sz w:val="24"/>
          <w:szCs w:val="24"/>
          <w:lang w:eastAsia="en-GB"/>
        </w:rPr>
        <w:t>I – Informed: Receives updates on progress and results.</w:t>
      </w:r>
    </w:p>
    <w:p w14:paraId="3B95EB88" w14:textId="4ABDE6C8" w:rsidR="0082228F" w:rsidRPr="0082228F" w:rsidRDefault="0082228F" w:rsidP="0082228F">
      <w:pPr>
        <w:spacing w:after="0" w:line="240" w:lineRule="auto"/>
        <w:rPr>
          <w:rFonts w:ascii="Arial" w:eastAsia="Times New Roman" w:hAnsi="Arial" w:cs="Arial"/>
          <w:color w:val="000000" w:themeColor="text1"/>
          <w:sz w:val="24"/>
          <w:szCs w:val="24"/>
          <w:lang w:eastAsia="en-GB"/>
        </w:rPr>
      </w:pPr>
      <w:r w:rsidRPr="0082228F">
        <w:rPr>
          <w:rFonts w:ascii="Arial" w:eastAsia="Times New Roman" w:hAnsi="Arial" w:cs="Arial"/>
          <w:color w:val="000000" w:themeColor="text1"/>
          <w:sz w:val="24"/>
          <w:szCs w:val="24"/>
          <w:lang w:eastAsia="en-GB"/>
        </w:rPr>
        <w:t>The RACI matrix identifies the Project Manager as the central coordinator, holding both Accountable and Responsible roles in most activities. The R&amp;D team supports the project through technical development, while the Marketing Department manages commercial execution. This structure promotes clarity, accountability, and effective communication across all project phases.</w:t>
      </w:r>
    </w:p>
    <w:p w14:paraId="0179A590" w14:textId="77777777" w:rsidR="0082228F" w:rsidRPr="0082228F" w:rsidRDefault="0082228F" w:rsidP="002B3D13">
      <w:pPr>
        <w:spacing w:before="100" w:beforeAutospacing="1" w:after="100" w:afterAutospacing="1" w:line="240" w:lineRule="auto"/>
        <w:rPr>
          <w:rFonts w:ascii="Arial" w:eastAsia="Times New Roman" w:hAnsi="Arial" w:cs="Arial"/>
          <w:color w:val="000000" w:themeColor="text1"/>
          <w:sz w:val="24"/>
          <w:szCs w:val="24"/>
          <w:lang w:eastAsia="en-GB"/>
        </w:rPr>
      </w:pPr>
      <w:r w:rsidRPr="0082228F">
        <w:rPr>
          <w:rFonts w:ascii="Arial" w:eastAsia="Times New Roman" w:hAnsi="Arial" w:cs="Arial"/>
          <w:color w:val="000000" w:themeColor="text1"/>
          <w:sz w:val="24"/>
          <w:szCs w:val="24"/>
          <w:lang w:eastAsia="en-GB"/>
        </w:rPr>
        <w:t>According to Kerzner (2017), clearly defined responsibilities reduce duplication, improve collaboration, and strengthen project control — all critical for achieving time, cost, and quality objectives during the product launch.</w:t>
      </w:r>
    </w:p>
    <w:p w14:paraId="76168504" w14:textId="77777777" w:rsidR="00480A55" w:rsidRPr="000B5DE4" w:rsidRDefault="00480A55" w:rsidP="007B70A4">
      <w:pPr>
        <w:pStyle w:val="p3"/>
        <w:rPr>
          <w:rStyle w:val="s2"/>
          <w:rFonts w:ascii="Arial" w:hAnsi="Arial" w:cs="Arial"/>
          <w:color w:val="000000" w:themeColor="text1"/>
        </w:rPr>
      </w:pPr>
    </w:p>
    <w:p w14:paraId="3B4214CD" w14:textId="77777777" w:rsidR="00480A55" w:rsidRDefault="00480A55" w:rsidP="007B70A4">
      <w:pPr>
        <w:pStyle w:val="p3"/>
        <w:rPr>
          <w:rStyle w:val="s2"/>
          <w:rFonts w:ascii="Arial" w:hAnsi="Arial" w:cs="Arial"/>
          <w:color w:val="000000" w:themeColor="text1"/>
        </w:rPr>
      </w:pPr>
    </w:p>
    <w:p w14:paraId="0A6ABD14" w14:textId="77777777" w:rsidR="00772398" w:rsidRDefault="00772398" w:rsidP="007B70A4">
      <w:pPr>
        <w:pStyle w:val="p3"/>
        <w:rPr>
          <w:rStyle w:val="s2"/>
          <w:rFonts w:ascii="Arial" w:hAnsi="Arial" w:cs="Arial"/>
          <w:color w:val="000000" w:themeColor="text1"/>
        </w:rPr>
      </w:pPr>
    </w:p>
    <w:p w14:paraId="44DC5FF6" w14:textId="77777777" w:rsidR="00772398" w:rsidRDefault="00772398" w:rsidP="007B70A4">
      <w:pPr>
        <w:pStyle w:val="p3"/>
        <w:rPr>
          <w:rStyle w:val="s2"/>
          <w:rFonts w:ascii="Arial" w:hAnsi="Arial" w:cs="Arial"/>
          <w:color w:val="000000" w:themeColor="text1"/>
        </w:rPr>
      </w:pPr>
    </w:p>
    <w:p w14:paraId="74960DFA" w14:textId="77777777" w:rsidR="00772398" w:rsidRDefault="00772398" w:rsidP="007B70A4">
      <w:pPr>
        <w:pStyle w:val="p3"/>
        <w:rPr>
          <w:rStyle w:val="s2"/>
          <w:rFonts w:ascii="Arial" w:hAnsi="Arial" w:cs="Arial"/>
          <w:color w:val="000000" w:themeColor="text1"/>
        </w:rPr>
      </w:pPr>
    </w:p>
    <w:p w14:paraId="418FD5F6" w14:textId="77777777" w:rsidR="00772398" w:rsidRDefault="00772398" w:rsidP="007B70A4">
      <w:pPr>
        <w:pStyle w:val="p3"/>
        <w:rPr>
          <w:rStyle w:val="s2"/>
          <w:rFonts w:ascii="Arial" w:hAnsi="Arial" w:cs="Arial"/>
          <w:color w:val="000000" w:themeColor="text1"/>
        </w:rPr>
      </w:pPr>
    </w:p>
    <w:p w14:paraId="0A73F7AA" w14:textId="77777777" w:rsidR="00772398" w:rsidRDefault="00772398" w:rsidP="007B70A4">
      <w:pPr>
        <w:pStyle w:val="p3"/>
        <w:rPr>
          <w:rStyle w:val="s2"/>
          <w:rFonts w:ascii="Arial" w:hAnsi="Arial" w:cs="Arial"/>
          <w:color w:val="000000" w:themeColor="text1"/>
        </w:rPr>
      </w:pPr>
    </w:p>
    <w:p w14:paraId="7D3A7481" w14:textId="77777777" w:rsidR="00772398" w:rsidRDefault="00772398" w:rsidP="007B70A4">
      <w:pPr>
        <w:pStyle w:val="p3"/>
        <w:rPr>
          <w:rStyle w:val="s2"/>
          <w:rFonts w:ascii="Arial" w:hAnsi="Arial" w:cs="Arial"/>
          <w:color w:val="000000" w:themeColor="text1"/>
        </w:rPr>
      </w:pPr>
    </w:p>
    <w:p w14:paraId="514F6E86" w14:textId="77777777" w:rsidR="00772398" w:rsidRDefault="00772398" w:rsidP="007B70A4">
      <w:pPr>
        <w:pStyle w:val="p3"/>
        <w:rPr>
          <w:rStyle w:val="s2"/>
          <w:rFonts w:ascii="Arial" w:hAnsi="Arial" w:cs="Arial"/>
          <w:color w:val="000000" w:themeColor="text1"/>
        </w:rPr>
      </w:pPr>
    </w:p>
    <w:p w14:paraId="7BA21029" w14:textId="77777777" w:rsidR="00772398" w:rsidRDefault="00772398" w:rsidP="007B70A4">
      <w:pPr>
        <w:pStyle w:val="p3"/>
        <w:rPr>
          <w:rStyle w:val="s2"/>
          <w:rFonts w:ascii="Arial" w:hAnsi="Arial" w:cs="Arial"/>
          <w:color w:val="000000" w:themeColor="text1"/>
        </w:rPr>
      </w:pPr>
    </w:p>
    <w:p w14:paraId="2DBB0C4D" w14:textId="77777777" w:rsidR="00772398" w:rsidRDefault="00772398" w:rsidP="007B70A4">
      <w:pPr>
        <w:pStyle w:val="p3"/>
        <w:rPr>
          <w:rStyle w:val="s2"/>
          <w:rFonts w:ascii="Arial" w:hAnsi="Arial" w:cs="Arial"/>
          <w:color w:val="000000" w:themeColor="text1"/>
        </w:rPr>
      </w:pPr>
    </w:p>
    <w:p w14:paraId="59C349BE" w14:textId="77777777" w:rsidR="00772398" w:rsidRDefault="00772398" w:rsidP="007B70A4">
      <w:pPr>
        <w:pStyle w:val="p3"/>
        <w:rPr>
          <w:rStyle w:val="s2"/>
          <w:rFonts w:ascii="Arial" w:hAnsi="Arial" w:cs="Arial"/>
          <w:color w:val="000000" w:themeColor="text1"/>
        </w:rPr>
      </w:pPr>
    </w:p>
    <w:p w14:paraId="3E26ABE9" w14:textId="77777777" w:rsidR="00772398" w:rsidRDefault="00772398" w:rsidP="007B70A4">
      <w:pPr>
        <w:pStyle w:val="p3"/>
        <w:rPr>
          <w:rStyle w:val="s2"/>
          <w:rFonts w:ascii="Arial" w:hAnsi="Arial" w:cs="Arial"/>
          <w:color w:val="000000" w:themeColor="text1"/>
        </w:rPr>
      </w:pPr>
    </w:p>
    <w:p w14:paraId="4279537B" w14:textId="77777777" w:rsidR="00772398" w:rsidRDefault="00772398" w:rsidP="007B70A4">
      <w:pPr>
        <w:pStyle w:val="p3"/>
        <w:rPr>
          <w:rStyle w:val="s2"/>
          <w:rFonts w:ascii="Arial" w:hAnsi="Arial" w:cs="Arial"/>
          <w:color w:val="000000" w:themeColor="text1"/>
        </w:rPr>
      </w:pPr>
    </w:p>
    <w:p w14:paraId="057A60BF" w14:textId="77777777" w:rsidR="00C34747" w:rsidRDefault="00C34747" w:rsidP="0082261D">
      <w:pPr>
        <w:pStyle w:val="Heading2"/>
        <w:rPr>
          <w:rStyle w:val="s1"/>
          <w:rFonts w:ascii="Arial" w:hAnsi="Arial" w:cs="Arial"/>
          <w:i/>
          <w:iCs/>
          <w:sz w:val="32"/>
          <w:szCs w:val="32"/>
        </w:rPr>
      </w:pPr>
      <w:bookmarkStart w:id="23" w:name="_Toc213403124"/>
    </w:p>
    <w:p w14:paraId="5C4943E5" w14:textId="396C2954" w:rsidR="00480A55" w:rsidRPr="0082261D" w:rsidRDefault="00480A55" w:rsidP="0082261D">
      <w:pPr>
        <w:pStyle w:val="Heading2"/>
        <w:rPr>
          <w:rFonts w:ascii="Arial" w:hAnsi="Arial" w:cs="Arial"/>
          <w:i/>
          <w:iCs/>
          <w:sz w:val="32"/>
          <w:szCs w:val="32"/>
        </w:rPr>
      </w:pPr>
      <w:r w:rsidRPr="0082261D">
        <w:rPr>
          <w:rStyle w:val="s1"/>
          <w:rFonts w:ascii="Arial" w:hAnsi="Arial" w:cs="Arial"/>
          <w:i/>
          <w:iCs/>
          <w:sz w:val="32"/>
          <w:szCs w:val="32"/>
        </w:rPr>
        <w:lastRenderedPageBreak/>
        <w:t>5.0 The Value of Stakeholder Engagement for Organisational Success</w:t>
      </w:r>
      <w:bookmarkEnd w:id="23"/>
    </w:p>
    <w:p w14:paraId="1BC310B6" w14:textId="77777777" w:rsidR="008551D6" w:rsidRPr="0082261D" w:rsidRDefault="008551D6" w:rsidP="008551D6">
      <w:pPr>
        <w:pStyle w:val="Heading3"/>
        <w:rPr>
          <w:rFonts w:ascii="Arial" w:hAnsi="Arial" w:cs="Arial"/>
          <w:i/>
          <w:iCs/>
          <w:color w:val="4472C4" w:themeColor="accent1"/>
          <w:sz w:val="28"/>
          <w:szCs w:val="28"/>
        </w:rPr>
      </w:pPr>
      <w:bookmarkStart w:id="24" w:name="_Toc213403125"/>
      <w:r w:rsidRPr="0082261D">
        <w:rPr>
          <w:rStyle w:val="s1"/>
          <w:rFonts w:ascii="Arial" w:hAnsi="Arial" w:cs="Arial"/>
          <w:i/>
          <w:iCs/>
          <w:color w:val="4472C4" w:themeColor="accent1"/>
          <w:sz w:val="28"/>
          <w:szCs w:val="28"/>
        </w:rPr>
        <w:t>5.1 Importance and Theoretical Justification</w:t>
      </w:r>
      <w:bookmarkStart w:id="25" w:name="OLE_LINK15"/>
      <w:bookmarkEnd w:id="24"/>
    </w:p>
    <w:bookmarkEnd w:id="25"/>
    <w:p w14:paraId="01C481F8" w14:textId="47486226" w:rsidR="0010453F" w:rsidRPr="000B5DE4" w:rsidRDefault="0010453F" w:rsidP="0010453F">
      <w:pPr>
        <w:pStyle w:val="p2"/>
        <w:rPr>
          <w:rFonts w:ascii="Arial" w:hAnsi="Arial" w:cs="Arial"/>
        </w:rPr>
      </w:pPr>
      <w:r w:rsidRPr="000B5DE4">
        <w:rPr>
          <w:rFonts w:ascii="Arial" w:hAnsi="Arial" w:cs="Arial"/>
        </w:rPr>
        <w:t>Stakeholder engagement is a strategic imperative in healthcare innovation. According to Freeman (1984), organisations achieve long-term success by balancing the needs and expectations of all stakeholders. For Owen Mumford Ltd, close collaboration with regulators, healthcare professionals, and customers ensures regulatory compliance, ethical integrity, and public trust.</w:t>
      </w:r>
    </w:p>
    <w:p w14:paraId="4424BB06" w14:textId="6ABAA9DC" w:rsidR="008551D6" w:rsidRPr="000B5DE4" w:rsidRDefault="0010453F" w:rsidP="0010453F">
      <w:pPr>
        <w:pStyle w:val="p2"/>
        <w:rPr>
          <w:rFonts w:ascii="Arial" w:hAnsi="Arial" w:cs="Arial"/>
        </w:rPr>
      </w:pPr>
      <w:r w:rsidRPr="000B5DE4">
        <w:rPr>
          <w:rFonts w:ascii="Arial" w:hAnsi="Arial" w:cs="Arial"/>
        </w:rPr>
        <w:t>Drawing on Ashcroft’s Relational Lens (2017) and Greenwood’s Communication Theory (2007), effective engagement fosters shared understanding, ethical conduct, and organisational reliability. Continuous two-way dialogue enables the company to integrate stakeholder feedback into decision-making, enhance innovation, and minimise operational and reputational risks.</w:t>
      </w:r>
    </w:p>
    <w:p w14:paraId="5027AABF" w14:textId="77777777" w:rsidR="008551D6" w:rsidRPr="0082261D" w:rsidRDefault="008551D6" w:rsidP="008551D6">
      <w:pPr>
        <w:pStyle w:val="Heading3"/>
        <w:rPr>
          <w:rFonts w:ascii="Arial" w:hAnsi="Arial" w:cs="Arial"/>
          <w:i/>
          <w:iCs/>
          <w:sz w:val="28"/>
          <w:szCs w:val="28"/>
        </w:rPr>
      </w:pPr>
      <w:bookmarkStart w:id="26" w:name="_Toc213403126"/>
      <w:bookmarkStart w:id="27" w:name="OLE_LINK16"/>
      <w:r w:rsidRPr="0082261D">
        <w:rPr>
          <w:rStyle w:val="s1"/>
          <w:rFonts w:ascii="Arial" w:hAnsi="Arial" w:cs="Arial"/>
          <w:i/>
          <w:iCs/>
          <w:color w:val="4472C4" w:themeColor="accent1"/>
          <w:sz w:val="28"/>
          <w:szCs w:val="28"/>
        </w:rPr>
        <w:t>5.2 Impact on Performance and Sustainability</w:t>
      </w:r>
      <w:bookmarkEnd w:id="26"/>
    </w:p>
    <w:bookmarkEnd w:id="27"/>
    <w:p w14:paraId="59F72BC9" w14:textId="2A20A950" w:rsidR="0063503C" w:rsidRPr="000B5DE4" w:rsidRDefault="0063503C" w:rsidP="0063503C">
      <w:pPr>
        <w:pStyle w:val="p2"/>
        <w:rPr>
          <w:rFonts w:ascii="Arial" w:hAnsi="Arial" w:cs="Arial"/>
        </w:rPr>
      </w:pPr>
      <w:r w:rsidRPr="000B5DE4">
        <w:rPr>
          <w:rFonts w:ascii="Arial" w:hAnsi="Arial" w:cs="Arial"/>
        </w:rPr>
        <w:t>Effective stakeholder engagement enhances organisational performance by improving product quality, decision-making speed, and regulatory compliance. Internal collaboration between the R&amp;D, Marketing, and Quality Assurance departments enables faster problem-solving and innovation. Close cooperation with regulatory bodies such as the MHRA and NHS ensures product certification and adherence to safety standards, while patient feedback directly contributes to improved usability and user experience.</w:t>
      </w:r>
    </w:p>
    <w:p w14:paraId="1168F68F" w14:textId="1BB26F6D" w:rsidR="0063503C" w:rsidRPr="000B5DE4" w:rsidRDefault="0063503C" w:rsidP="0063503C">
      <w:pPr>
        <w:pStyle w:val="p2"/>
        <w:rPr>
          <w:rFonts w:ascii="Arial" w:hAnsi="Arial" w:cs="Arial"/>
        </w:rPr>
      </w:pPr>
      <w:r w:rsidRPr="000B5DE4">
        <w:rPr>
          <w:rFonts w:ascii="Arial" w:hAnsi="Arial" w:cs="Arial"/>
        </w:rPr>
        <w:t>According to Kerzner (2017), high-performing projects rely on transparent communication and shared accountability among all stakeholders. Sustainability outcomes are also strengthened through the Triple Bottom Line framework (Elkington, 1997), which emphasises innovation that benefits people, the planet, and profit. Supplier partnerships promote eco-friendly production methods and uphold ethical manufacturing standards.</w:t>
      </w:r>
    </w:p>
    <w:p w14:paraId="07861C71" w14:textId="02C775B0" w:rsidR="00480A55" w:rsidRDefault="0063503C" w:rsidP="0063503C">
      <w:pPr>
        <w:pStyle w:val="p2"/>
        <w:rPr>
          <w:rFonts w:ascii="Arial" w:hAnsi="Arial" w:cs="Arial"/>
        </w:rPr>
      </w:pPr>
      <w:r w:rsidRPr="000B5DE4">
        <w:rPr>
          <w:rFonts w:ascii="Arial" w:hAnsi="Arial" w:cs="Arial"/>
        </w:rPr>
        <w:t>By engaging employees, investors, and end-users throughout the project lifecycle, Owen Mumford Ltd fosters motivation, confidence, and loyalty. Strong stakeholder engagement therefore drives operational efficiency, trust, and long-term organisational reputation, positioning the company as a responsible leader in digital healthcare innovation.</w:t>
      </w:r>
    </w:p>
    <w:p w14:paraId="5D5EBACA" w14:textId="77777777" w:rsidR="0082261D" w:rsidRDefault="0082261D" w:rsidP="0063503C">
      <w:pPr>
        <w:pStyle w:val="p2"/>
        <w:rPr>
          <w:rFonts w:ascii="Arial" w:hAnsi="Arial" w:cs="Arial"/>
        </w:rPr>
      </w:pPr>
    </w:p>
    <w:p w14:paraId="665BFA3F" w14:textId="77777777" w:rsidR="0082261D" w:rsidRDefault="0082261D" w:rsidP="0063503C">
      <w:pPr>
        <w:pStyle w:val="p2"/>
        <w:rPr>
          <w:rFonts w:ascii="Arial" w:hAnsi="Arial" w:cs="Arial"/>
        </w:rPr>
      </w:pPr>
    </w:p>
    <w:p w14:paraId="28A5D861" w14:textId="77777777" w:rsidR="0082261D" w:rsidRDefault="0082261D" w:rsidP="0063503C">
      <w:pPr>
        <w:pStyle w:val="p2"/>
        <w:rPr>
          <w:rFonts w:ascii="Arial" w:hAnsi="Arial" w:cs="Arial"/>
        </w:rPr>
      </w:pPr>
    </w:p>
    <w:p w14:paraId="374A31E4" w14:textId="77777777" w:rsidR="00772398" w:rsidRPr="000B5DE4" w:rsidRDefault="00772398" w:rsidP="0063503C">
      <w:pPr>
        <w:pStyle w:val="p2"/>
        <w:rPr>
          <w:rFonts w:ascii="Arial" w:hAnsi="Arial" w:cs="Arial"/>
        </w:rPr>
      </w:pPr>
    </w:p>
    <w:p w14:paraId="31A3E5DB" w14:textId="4C735928" w:rsidR="00AE2F21" w:rsidRPr="0082261D" w:rsidRDefault="00AE2F21" w:rsidP="0082261D">
      <w:pPr>
        <w:pStyle w:val="Heading2"/>
        <w:rPr>
          <w:rFonts w:ascii="Arial" w:hAnsi="Arial" w:cs="Arial"/>
          <w:i/>
          <w:iCs/>
          <w:sz w:val="32"/>
          <w:szCs w:val="32"/>
        </w:rPr>
      </w:pPr>
      <w:bookmarkStart w:id="28" w:name="_Toc213403127"/>
      <w:bookmarkStart w:id="29" w:name="OLE_LINK18"/>
      <w:bookmarkStart w:id="30" w:name="OLE_LINK17"/>
      <w:r w:rsidRPr="0082261D">
        <w:rPr>
          <w:rStyle w:val="s1"/>
          <w:rFonts w:ascii="Arial" w:hAnsi="Arial" w:cs="Arial"/>
          <w:i/>
          <w:iCs/>
          <w:sz w:val="32"/>
          <w:szCs w:val="32"/>
        </w:rPr>
        <w:lastRenderedPageBreak/>
        <w:t>6.0 Strategic Recommendations for Enhanced Engagement</w:t>
      </w:r>
      <w:bookmarkEnd w:id="28"/>
    </w:p>
    <w:p w14:paraId="1A63AFDF" w14:textId="5D637700" w:rsidR="00742CA7" w:rsidRPr="0082261D" w:rsidRDefault="00AE2F21" w:rsidP="0082261D">
      <w:pPr>
        <w:pStyle w:val="Heading3"/>
        <w:rPr>
          <w:rFonts w:ascii="Arial" w:hAnsi="Arial" w:cs="Arial"/>
          <w:i/>
          <w:iCs/>
          <w:color w:val="4472C4" w:themeColor="accent1"/>
          <w:sz w:val="28"/>
          <w:szCs w:val="28"/>
        </w:rPr>
      </w:pPr>
      <w:bookmarkStart w:id="31" w:name="_Toc213403128"/>
      <w:r w:rsidRPr="0082261D">
        <w:rPr>
          <w:rStyle w:val="s1"/>
          <w:rFonts w:ascii="Arial" w:hAnsi="Arial" w:cs="Arial"/>
          <w:i/>
          <w:iCs/>
          <w:color w:val="4472C4" w:themeColor="accent1"/>
          <w:sz w:val="28"/>
          <w:szCs w:val="28"/>
        </w:rPr>
        <w:t>6.1 Internal Strategies</w:t>
      </w:r>
      <w:bookmarkEnd w:id="31"/>
    </w:p>
    <w:p w14:paraId="4F7FD9AA" w14:textId="77777777" w:rsidR="0082261D" w:rsidRDefault="00742CA7" w:rsidP="0082261D">
      <w:pPr>
        <w:pStyle w:val="p1"/>
        <w:rPr>
          <w:rStyle w:val="s1"/>
          <w:rFonts w:ascii="Arial" w:hAnsi="Arial" w:cs="Arial"/>
        </w:rPr>
      </w:pPr>
      <w:r w:rsidRPr="000B5DE4">
        <w:rPr>
          <w:rStyle w:val="s1"/>
          <w:rFonts w:ascii="Arial" w:hAnsi="Arial" w:cs="Arial"/>
        </w:rPr>
        <w:t>To enhance internal stakeholder engagement, Owen Mumford Ltd must strengthen communication, leadership, and collaboration mechanisms within the organisation. Internal stakeholders — such as the Executive Board, Project Manager, R&amp;D, Marketing, and Finance departments — directly influence the project’s outcome. Implementing the following strategies will ensure alignment, efficiency, and shared ownership of objectives</w:t>
      </w:r>
      <w:bookmarkEnd w:id="29"/>
    </w:p>
    <w:p w14:paraId="248D7A81" w14:textId="2650BDB0" w:rsidR="0082261D" w:rsidRDefault="008C21AF" w:rsidP="00F45CAC">
      <w:pPr>
        <w:pStyle w:val="p1"/>
        <w:numPr>
          <w:ilvl w:val="0"/>
          <w:numId w:val="32"/>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Establishing a Cross-Functional Communication Platform</w:t>
      </w:r>
    </w:p>
    <w:p w14:paraId="2F647F03" w14:textId="77777777" w:rsidR="003D1B48" w:rsidRDefault="008C21AF" w:rsidP="003D1B48">
      <w:pPr>
        <w:pStyle w:val="p1"/>
        <w:rPr>
          <w:rStyle w:val="s1"/>
          <w:rFonts w:ascii="Arial" w:hAnsi="Arial" w:cs="Arial"/>
          <w:color w:val="000000" w:themeColor="text1"/>
        </w:rPr>
      </w:pPr>
      <w:r w:rsidRPr="000B5DE4">
        <w:rPr>
          <w:rStyle w:val="s1"/>
          <w:rFonts w:ascii="Arial" w:hAnsi="Arial" w:cs="Arial"/>
          <w:color w:val="000000" w:themeColor="text1"/>
        </w:rPr>
        <w:t>Developing an integrated digital communication system (such as Microsoft Teams or Slack) will enable departments to share updates, reports and feedback in real time. This approach promotes transparency, reduces duplication of effort and ensures that all teams remain informed about project progress. According to Bourne (2015), internal engagement improves significantly when employees have access to shared information and clear communication channels.</w:t>
      </w:r>
    </w:p>
    <w:p w14:paraId="2827DDF1" w14:textId="75FF33C6" w:rsidR="003D1B48" w:rsidRDefault="008C21AF" w:rsidP="00F45CAC">
      <w:pPr>
        <w:pStyle w:val="p1"/>
        <w:numPr>
          <w:ilvl w:val="0"/>
          <w:numId w:val="32"/>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Introducing Regular Interdepartmental Review Meetings</w:t>
      </w:r>
    </w:p>
    <w:p w14:paraId="76B87D36" w14:textId="77777777" w:rsidR="003D1B48" w:rsidRDefault="008C21AF" w:rsidP="003D1B48">
      <w:pPr>
        <w:pStyle w:val="p1"/>
        <w:rPr>
          <w:rStyle w:val="s1"/>
          <w:rFonts w:ascii="Arial" w:hAnsi="Arial" w:cs="Arial"/>
          <w:color w:val="000000" w:themeColor="text1"/>
        </w:rPr>
      </w:pPr>
      <w:r w:rsidRPr="000B5DE4">
        <w:rPr>
          <w:rStyle w:val="s1"/>
          <w:rFonts w:ascii="Arial" w:hAnsi="Arial" w:cs="Arial"/>
          <w:color w:val="000000" w:themeColor="text1"/>
        </w:rPr>
        <w:t>Monthly cross-departmental meetings should be organised to review progress, address challenges and celebrate achievements. These sessions will encourage knowledge sharing and continuous learning between R&amp;D, Marketing and Quality Assurance teams. Active participation from the Executive Board during these reviews will reinforce the organisation’s commitment to collaboration and accountability.</w:t>
      </w:r>
    </w:p>
    <w:p w14:paraId="42D55AA8" w14:textId="3C8F1DEE" w:rsidR="003D1B48" w:rsidRDefault="008C21AF" w:rsidP="00F45CAC">
      <w:pPr>
        <w:pStyle w:val="p1"/>
        <w:numPr>
          <w:ilvl w:val="0"/>
          <w:numId w:val="32"/>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Enhancing Employee Training and Motivation</w:t>
      </w:r>
    </w:p>
    <w:p w14:paraId="320744B7" w14:textId="77777777" w:rsidR="003D1B48" w:rsidRDefault="008C21AF" w:rsidP="003D1B48">
      <w:pPr>
        <w:pStyle w:val="p1"/>
        <w:rPr>
          <w:rStyle w:val="s1"/>
          <w:rFonts w:ascii="Arial" w:hAnsi="Arial" w:cs="Arial"/>
          <w:color w:val="000000" w:themeColor="text1"/>
        </w:rPr>
      </w:pPr>
      <w:r w:rsidRPr="000B5DE4">
        <w:rPr>
          <w:rStyle w:val="s1"/>
          <w:rFonts w:ascii="Arial" w:hAnsi="Arial" w:cs="Arial"/>
          <w:color w:val="000000" w:themeColor="text1"/>
        </w:rPr>
        <w:t>Providing professional development programmes focused on innovation, digital health technologies and teamwork can strengthen employee engagement. Training in stakeholder management, communication and project planning will empower staff to manage complex tasks more effectively. As Herzberg’s Motivation Theory (1959) suggests, opportunities for growth and recognition are key drivers of employee satisfaction and performance.</w:t>
      </w:r>
    </w:p>
    <w:p w14:paraId="7246B0A2" w14:textId="20A15347" w:rsidR="003D1B48" w:rsidRDefault="008C21AF" w:rsidP="00F45CAC">
      <w:pPr>
        <w:pStyle w:val="p1"/>
        <w:numPr>
          <w:ilvl w:val="0"/>
          <w:numId w:val="32"/>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Implementing an Internal Feedback and Recognition System</w:t>
      </w:r>
    </w:p>
    <w:p w14:paraId="71322C7B" w14:textId="77777777" w:rsidR="003D1B48" w:rsidRDefault="008C21AF" w:rsidP="003D1B48">
      <w:pPr>
        <w:pStyle w:val="p1"/>
        <w:rPr>
          <w:rStyle w:val="s1"/>
          <w:rFonts w:ascii="Arial" w:hAnsi="Arial" w:cs="Arial"/>
          <w:color w:val="000000" w:themeColor="text1"/>
        </w:rPr>
      </w:pPr>
      <w:r w:rsidRPr="000B5DE4">
        <w:rPr>
          <w:rStyle w:val="s1"/>
          <w:rFonts w:ascii="Arial" w:hAnsi="Arial" w:cs="Arial"/>
          <w:color w:val="000000" w:themeColor="text1"/>
        </w:rPr>
        <w:t>Introducing an internal feedback mechanism, such as anonymous surveys or digital suggestion portals, allows employees to express their views on project processes and propose improvements. Recognition initiatives — for example, Employee of the Month awards for innovation or teamwork — will motivate staff and foster a culture of shared ownership. Continuous feedback also supports the early identification of risks and misunderstandings.</w:t>
      </w:r>
    </w:p>
    <w:p w14:paraId="18FADC93" w14:textId="77777777" w:rsidR="00F45CAC" w:rsidRDefault="00F45CAC" w:rsidP="003D1B48">
      <w:pPr>
        <w:pStyle w:val="p1"/>
        <w:rPr>
          <w:rStyle w:val="s1"/>
          <w:rFonts w:ascii="Arial" w:hAnsi="Arial" w:cs="Arial"/>
          <w:color w:val="000000" w:themeColor="text1"/>
        </w:rPr>
      </w:pPr>
    </w:p>
    <w:p w14:paraId="5BE6C37B" w14:textId="77777777" w:rsidR="00F45CAC" w:rsidRDefault="008C21AF" w:rsidP="00883956">
      <w:pPr>
        <w:pStyle w:val="p1"/>
        <w:numPr>
          <w:ilvl w:val="0"/>
          <w:numId w:val="32"/>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lastRenderedPageBreak/>
        <w:t>Aligning Departmental Objectives with Corporate Strategy</w:t>
      </w:r>
      <w:r w:rsidR="003D1B48">
        <w:rPr>
          <w:rStyle w:val="s1"/>
          <w:rFonts w:ascii="Arial" w:hAnsi="Arial" w:cs="Arial"/>
          <w:i/>
          <w:iCs/>
          <w:color w:val="2F5496" w:themeColor="accent1" w:themeShade="BF"/>
        </w:rPr>
        <w:t xml:space="preserve"> </w:t>
      </w:r>
      <w:r w:rsidR="00F45CAC">
        <w:rPr>
          <w:rStyle w:val="s1"/>
          <w:rFonts w:ascii="Arial" w:hAnsi="Arial" w:cs="Arial"/>
          <w:i/>
          <w:iCs/>
          <w:color w:val="2F5496" w:themeColor="accent1" w:themeShade="BF"/>
        </w:rPr>
        <w:t xml:space="preserve"> </w:t>
      </w:r>
    </w:p>
    <w:p w14:paraId="682C4932" w14:textId="128F8F77" w:rsidR="58890479" w:rsidRDefault="008C21AF" w:rsidP="58890479">
      <w:pPr>
        <w:pStyle w:val="p1"/>
        <w:rPr>
          <w:rStyle w:val="s1"/>
          <w:rFonts w:ascii="Arial" w:hAnsi="Arial" w:cs="Arial"/>
          <w:i/>
          <w:iCs/>
          <w:color w:val="2F5496" w:themeColor="accent1" w:themeShade="BF"/>
        </w:rPr>
      </w:pPr>
      <w:r w:rsidRPr="00F45CAC">
        <w:rPr>
          <w:rStyle w:val="s1"/>
          <w:rFonts w:ascii="Arial" w:hAnsi="Arial" w:cs="Arial"/>
          <w:color w:val="000000" w:themeColor="text1"/>
        </w:rPr>
        <w:t>Each department should define specific goals aligned with the organisation’s overall mission to deliver safe, innovative and sustainable healthcare solutions. Using Key Performance Indicators (KPIs) linked to project milestones will ensure accountability and enable the monitoring of measurable progress.</w:t>
      </w:r>
      <w:r w:rsidR="00883956" w:rsidRPr="00F45CAC">
        <w:rPr>
          <w:rStyle w:val="s1"/>
          <w:rFonts w:ascii="Arial" w:hAnsi="Arial" w:cs="Arial"/>
          <w:color w:val="000000" w:themeColor="text1"/>
        </w:rPr>
        <w:t xml:space="preserve"> </w:t>
      </w:r>
      <w:r w:rsidRPr="00F45CAC">
        <w:rPr>
          <w:rStyle w:val="s1"/>
          <w:rFonts w:ascii="Arial" w:hAnsi="Arial" w:cs="Arial"/>
          <w:color w:val="000000" w:themeColor="text1"/>
        </w:rPr>
        <w:t>By implementing these internal strategies, Owen Mumford Ltd can foster a collaborative and transparent work environment where every department contributes effectively to the successful development and launch of the wearable health device.</w:t>
      </w:r>
    </w:p>
    <w:p w14:paraId="1FDFDBE5" w14:textId="77777777" w:rsidR="00883956" w:rsidRPr="00930C94" w:rsidRDefault="00B87701" w:rsidP="00883956">
      <w:pPr>
        <w:pStyle w:val="p1"/>
        <w:rPr>
          <w:rStyle w:val="s1"/>
          <w:rFonts w:ascii="Arial" w:hAnsi="Arial" w:cs="Arial"/>
          <w:i/>
          <w:iCs/>
          <w:color w:val="4472C4" w:themeColor="accent1"/>
          <w:sz w:val="28"/>
          <w:szCs w:val="28"/>
        </w:rPr>
      </w:pPr>
      <w:r w:rsidRPr="00930C94">
        <w:rPr>
          <w:rStyle w:val="s1"/>
          <w:rFonts w:ascii="Arial" w:hAnsi="Arial" w:cs="Arial"/>
          <w:i/>
          <w:iCs/>
          <w:color w:val="4472C4" w:themeColor="accent1"/>
          <w:sz w:val="28"/>
          <w:szCs w:val="28"/>
        </w:rPr>
        <w:t>6.2 External Strategies</w:t>
      </w:r>
    </w:p>
    <w:p w14:paraId="653A4382" w14:textId="77777777" w:rsidR="00883956" w:rsidRDefault="00B87701" w:rsidP="00883956">
      <w:pPr>
        <w:pStyle w:val="p1"/>
        <w:rPr>
          <w:rStyle w:val="s1"/>
          <w:rFonts w:ascii="Arial" w:hAnsi="Arial" w:cs="Arial"/>
          <w:color w:val="000000" w:themeColor="text1"/>
        </w:rPr>
      </w:pPr>
      <w:r w:rsidRPr="000B5DE4">
        <w:rPr>
          <w:rStyle w:val="s1"/>
          <w:rFonts w:ascii="Arial" w:hAnsi="Arial" w:cs="Arial"/>
          <w:color w:val="000000" w:themeColor="text1"/>
        </w:rPr>
        <w:t>To ensure long-term success, Owen Mumford Ltd must also strengthen engagement with external stakeholders — including regulators, suppliers, healthcare professionals, patients and investors. Effective external collaboration supports compliance, builds trust and reinforces the company’s reputation as a responsible and innovative healthcare provider. The following strategies outline how the organisation can enhance these relationships.</w:t>
      </w:r>
    </w:p>
    <w:p w14:paraId="6C0C8BDF" w14:textId="385EE053" w:rsidR="00883956" w:rsidRDefault="00B87701" w:rsidP="00883956">
      <w:pPr>
        <w:pStyle w:val="p1"/>
        <w:numPr>
          <w:ilvl w:val="0"/>
          <w:numId w:val="29"/>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Strengthening Collaboration with Regulatory Authorities</w:t>
      </w:r>
    </w:p>
    <w:p w14:paraId="4570AB39" w14:textId="77777777" w:rsidR="00125448" w:rsidRDefault="00B87701" w:rsidP="00125448">
      <w:pPr>
        <w:pStyle w:val="p1"/>
        <w:rPr>
          <w:rStyle w:val="s1"/>
          <w:rFonts w:ascii="Arial" w:hAnsi="Arial" w:cs="Arial"/>
          <w:color w:val="000000" w:themeColor="text1"/>
        </w:rPr>
      </w:pPr>
      <w:r w:rsidRPr="000B5DE4">
        <w:rPr>
          <w:rStyle w:val="s1"/>
          <w:rFonts w:ascii="Arial" w:hAnsi="Arial" w:cs="Arial"/>
          <w:color w:val="000000" w:themeColor="text1"/>
        </w:rPr>
        <w:t>Maintaining proactive and transparent relationships with regulators such as the Medicines and Healthcare products Regulatory Agency (MHRA) and the National Health Service (NHS) is essential. Regular compliance meetings, early submission of documentation and open discussions on safety standards help minimise approval delays. According to ISO 13485:2016, early engagement with regulators reduces compliance risks and accelerates product certification.</w:t>
      </w:r>
    </w:p>
    <w:p w14:paraId="259E1023" w14:textId="3BDDE5C8" w:rsidR="00125448" w:rsidRDefault="00B87701" w:rsidP="00125448">
      <w:pPr>
        <w:pStyle w:val="p1"/>
        <w:numPr>
          <w:ilvl w:val="0"/>
          <w:numId w:val="29"/>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Building Strategic Partnerships with Healthcare Professionals</w:t>
      </w:r>
    </w:p>
    <w:p w14:paraId="311603CF" w14:textId="77777777" w:rsidR="00125448" w:rsidRDefault="00B87701" w:rsidP="00125448">
      <w:pPr>
        <w:pStyle w:val="p1"/>
        <w:rPr>
          <w:rStyle w:val="s1"/>
          <w:rFonts w:ascii="Arial" w:hAnsi="Arial" w:cs="Arial"/>
          <w:color w:val="000000" w:themeColor="text1"/>
        </w:rPr>
      </w:pPr>
      <w:r w:rsidRPr="000B5DE4">
        <w:rPr>
          <w:rStyle w:val="s1"/>
          <w:rFonts w:ascii="Arial" w:hAnsi="Arial" w:cs="Arial"/>
          <w:color w:val="000000" w:themeColor="text1"/>
        </w:rPr>
        <w:t>Owen Mumford should develop partnerships with doctors, nurses and clinical researchers to validate the accuracy and usability of the wearable device. Establishing pilot programmes in hospitals and clinics will generate credible data and promote professional endorsement. Involving medical experts as advisors also increases the device’s reliability and acceptance among end users.</w:t>
      </w:r>
    </w:p>
    <w:p w14:paraId="33D8DF1C" w14:textId="21F3FC0E" w:rsidR="00125448" w:rsidRDefault="00B87701" w:rsidP="00125448">
      <w:pPr>
        <w:pStyle w:val="p1"/>
        <w:numPr>
          <w:ilvl w:val="0"/>
          <w:numId w:val="29"/>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Enhancing Supplier and Manufacturer Relationships</w:t>
      </w:r>
    </w:p>
    <w:p w14:paraId="312BBB88" w14:textId="77777777" w:rsidR="00125448" w:rsidRDefault="00B87701" w:rsidP="00125448">
      <w:pPr>
        <w:pStyle w:val="p1"/>
        <w:rPr>
          <w:rStyle w:val="s1"/>
          <w:rFonts w:ascii="Arial" w:hAnsi="Arial" w:cs="Arial"/>
          <w:color w:val="000000" w:themeColor="text1"/>
        </w:rPr>
      </w:pPr>
      <w:r w:rsidRPr="00125448">
        <w:rPr>
          <w:rStyle w:val="s1"/>
          <w:rFonts w:ascii="Arial" w:hAnsi="Arial" w:cs="Arial"/>
          <w:color w:val="000000" w:themeColor="text1"/>
        </w:rPr>
        <w:t>The company should implement Supplier Relationship Management (SRM) practices to ensure consistent quality, timely delivery and cost efficiency. Regular audits, performance evaluations and sustainability assessments will strengthen the supply chain. Transparent communication regarding production timelines and ethical standards will further reduce material shortages and logistical risks.</w:t>
      </w:r>
    </w:p>
    <w:p w14:paraId="61E0211C" w14:textId="6E63160C" w:rsidR="00125448" w:rsidRDefault="00B87701" w:rsidP="00125448">
      <w:pPr>
        <w:pStyle w:val="p1"/>
        <w:numPr>
          <w:ilvl w:val="0"/>
          <w:numId w:val="29"/>
        </w:numPr>
        <w:rPr>
          <w:rStyle w:val="s1"/>
          <w:rFonts w:ascii="Arial" w:hAnsi="Arial" w:cs="Arial"/>
          <w:i/>
          <w:iCs/>
          <w:color w:val="2F5496" w:themeColor="accent1" w:themeShade="BF"/>
        </w:rPr>
      </w:pPr>
      <w:r w:rsidRPr="000B5DE4">
        <w:rPr>
          <w:rStyle w:val="s1"/>
          <w:rFonts w:ascii="Arial" w:hAnsi="Arial" w:cs="Arial"/>
          <w:i/>
          <w:iCs/>
          <w:color w:val="2F5496" w:themeColor="accent1" w:themeShade="BF"/>
        </w:rPr>
        <w:t>Increasing Patient and Customer Involvement</w:t>
      </w:r>
    </w:p>
    <w:p w14:paraId="6ED60D43" w14:textId="6B922D48" w:rsidR="00B87701" w:rsidRPr="000B5DE4" w:rsidRDefault="00B87701" w:rsidP="00125448">
      <w:pPr>
        <w:pStyle w:val="p1"/>
        <w:rPr>
          <w:rStyle w:val="s1"/>
          <w:rFonts w:ascii="Arial" w:hAnsi="Arial" w:cs="Arial"/>
          <w:i/>
          <w:iCs/>
          <w:color w:val="2F5496" w:themeColor="accent1" w:themeShade="BF"/>
        </w:rPr>
      </w:pPr>
      <w:r w:rsidRPr="000B5DE4">
        <w:rPr>
          <w:rStyle w:val="s1"/>
          <w:rFonts w:ascii="Arial" w:hAnsi="Arial" w:cs="Arial"/>
          <w:color w:val="000000" w:themeColor="text1"/>
        </w:rPr>
        <w:t xml:space="preserve">End users are central to the project’s success. Conducting workshops, surveys and user testing during the prototype phase allows patients to provide feedback on comfort, functionality and design. After launch, a mobile application feedback system </w:t>
      </w:r>
      <w:r w:rsidRPr="000B5DE4">
        <w:rPr>
          <w:rStyle w:val="s1"/>
          <w:rFonts w:ascii="Arial" w:hAnsi="Arial" w:cs="Arial"/>
          <w:color w:val="000000" w:themeColor="text1"/>
        </w:rPr>
        <w:lastRenderedPageBreak/>
        <w:t>can continuously collect real-world data, enabling Owen Mumford to make improvements and enhance user satisfaction</w:t>
      </w:r>
      <w:r w:rsidRPr="000B5DE4">
        <w:rPr>
          <w:rStyle w:val="s1"/>
          <w:rFonts w:ascii="Arial" w:hAnsi="Arial" w:cs="Arial"/>
          <w:i/>
          <w:iCs/>
          <w:color w:val="000000" w:themeColor="text1"/>
        </w:rPr>
        <w:t>.</w:t>
      </w:r>
    </w:p>
    <w:p w14:paraId="24C7BE13" w14:textId="77777777" w:rsidR="00B87701" w:rsidRPr="000B5DE4" w:rsidRDefault="00B87701" w:rsidP="00B87701">
      <w:pPr>
        <w:pStyle w:val="Heading3"/>
        <w:rPr>
          <w:rStyle w:val="s1"/>
          <w:rFonts w:ascii="Arial" w:hAnsi="Arial" w:cs="Arial"/>
          <w:i/>
          <w:iCs/>
          <w:color w:val="2F5496" w:themeColor="accent1" w:themeShade="BF"/>
        </w:rPr>
      </w:pPr>
      <w:r w:rsidRPr="000B5DE4">
        <w:rPr>
          <w:rStyle w:val="s1"/>
          <w:rFonts w:ascii="Arial" w:hAnsi="Arial" w:cs="Arial"/>
          <w:i/>
          <w:iCs/>
          <w:color w:val="2F5496" w:themeColor="accent1" w:themeShade="BF"/>
        </w:rPr>
        <w:tab/>
      </w:r>
      <w:bookmarkStart w:id="32" w:name="_Toc213403129"/>
      <w:r w:rsidRPr="000B5DE4">
        <w:rPr>
          <w:rStyle w:val="s1"/>
          <w:rFonts w:ascii="Arial" w:hAnsi="Arial" w:cs="Arial"/>
          <w:i/>
          <w:iCs/>
          <w:color w:val="2F5496" w:themeColor="accent1" w:themeShade="BF"/>
        </w:rPr>
        <w:t>5.</w:t>
      </w:r>
      <w:r w:rsidRPr="000B5DE4">
        <w:rPr>
          <w:rStyle w:val="s1"/>
          <w:rFonts w:ascii="Arial" w:hAnsi="Arial" w:cs="Arial"/>
          <w:i/>
          <w:iCs/>
          <w:color w:val="2F5496" w:themeColor="accent1" w:themeShade="BF"/>
        </w:rPr>
        <w:tab/>
        <w:t>Maintaining Transparent Investor and Shareholder Communication</w:t>
      </w:r>
      <w:bookmarkEnd w:id="32"/>
    </w:p>
    <w:p w14:paraId="1DD3A69C" w14:textId="77777777" w:rsidR="00B87701" w:rsidRPr="000B5DE4" w:rsidRDefault="00B87701" w:rsidP="00B87701">
      <w:pPr>
        <w:pStyle w:val="Heading3"/>
        <w:rPr>
          <w:rStyle w:val="s1"/>
          <w:rFonts w:ascii="Arial" w:hAnsi="Arial" w:cs="Arial"/>
          <w:color w:val="000000" w:themeColor="text1"/>
        </w:rPr>
      </w:pPr>
      <w:bookmarkStart w:id="33" w:name="_Toc213403130"/>
      <w:r w:rsidRPr="000B5DE4">
        <w:rPr>
          <w:rStyle w:val="s1"/>
          <w:rFonts w:ascii="Arial" w:hAnsi="Arial" w:cs="Arial"/>
          <w:color w:val="000000" w:themeColor="text1"/>
        </w:rPr>
        <w:t>Investors require consistent and accurate reporting on project progress, financial outcomes and market potential. Quarterly stakeholder reports and presentations can strengthen investor confidence and attract additional funding. Public transparency also enhances brand reputation and demonstrates corporate accountability.</w:t>
      </w:r>
      <w:bookmarkEnd w:id="33"/>
    </w:p>
    <w:p w14:paraId="5BAB81FE" w14:textId="77777777" w:rsidR="00B87701" w:rsidRPr="000B5DE4" w:rsidRDefault="00B87701" w:rsidP="00B87701">
      <w:pPr>
        <w:pStyle w:val="Heading3"/>
        <w:rPr>
          <w:rStyle w:val="s1"/>
          <w:rFonts w:ascii="Arial" w:hAnsi="Arial" w:cs="Arial"/>
          <w:i/>
          <w:iCs/>
          <w:color w:val="2F5496" w:themeColor="accent1" w:themeShade="BF"/>
        </w:rPr>
      </w:pPr>
      <w:r w:rsidRPr="000B5DE4">
        <w:rPr>
          <w:rStyle w:val="s1"/>
          <w:rFonts w:ascii="Arial" w:hAnsi="Arial" w:cs="Arial"/>
          <w:i/>
          <w:iCs/>
          <w:color w:val="2F5496" w:themeColor="accent1" w:themeShade="BF"/>
        </w:rPr>
        <w:tab/>
      </w:r>
      <w:bookmarkStart w:id="34" w:name="_Toc213403131"/>
      <w:r w:rsidRPr="000B5DE4">
        <w:rPr>
          <w:rStyle w:val="s1"/>
          <w:rFonts w:ascii="Arial" w:hAnsi="Arial" w:cs="Arial"/>
          <w:i/>
          <w:iCs/>
          <w:color w:val="2F5496" w:themeColor="accent1" w:themeShade="BF"/>
        </w:rPr>
        <w:t>6.</w:t>
      </w:r>
      <w:r w:rsidRPr="000B5DE4">
        <w:rPr>
          <w:rStyle w:val="s1"/>
          <w:rFonts w:ascii="Arial" w:hAnsi="Arial" w:cs="Arial"/>
          <w:i/>
          <w:iCs/>
          <w:color w:val="2F5496" w:themeColor="accent1" w:themeShade="BF"/>
        </w:rPr>
        <w:tab/>
        <w:t>Promoting Corporate Social Responsibility (CSR) Initiatives</w:t>
      </w:r>
      <w:bookmarkEnd w:id="34"/>
    </w:p>
    <w:p w14:paraId="5DA6C683" w14:textId="77777777" w:rsidR="00B87701" w:rsidRPr="000B5DE4" w:rsidRDefault="00B87701" w:rsidP="00B87701">
      <w:pPr>
        <w:pStyle w:val="Heading3"/>
        <w:rPr>
          <w:rStyle w:val="s1"/>
          <w:rFonts w:ascii="Arial" w:hAnsi="Arial" w:cs="Arial"/>
          <w:color w:val="000000" w:themeColor="text1"/>
        </w:rPr>
      </w:pPr>
      <w:bookmarkStart w:id="35" w:name="_Toc213403132"/>
      <w:r w:rsidRPr="000B5DE4">
        <w:rPr>
          <w:rStyle w:val="s1"/>
          <w:rFonts w:ascii="Arial" w:hAnsi="Arial" w:cs="Arial"/>
          <w:color w:val="000000" w:themeColor="text1"/>
        </w:rPr>
        <w:t>Participating in CSR programmes — such as donating devices to healthcare charities or supporting public wellness campaigns — can reinforce Owen Mumford’s ethical image. CSR initiatives foster goodwill, strengthen brand identity and align with the company’s sustainability mission of “Making a World of Difference.”</w:t>
      </w:r>
      <w:bookmarkEnd w:id="35"/>
    </w:p>
    <w:p w14:paraId="621A763D" w14:textId="77777777" w:rsidR="00B87701" w:rsidRPr="000B5DE4" w:rsidRDefault="00B87701" w:rsidP="00B87701">
      <w:pPr>
        <w:pStyle w:val="Heading3"/>
        <w:rPr>
          <w:rStyle w:val="s1"/>
          <w:rFonts w:ascii="Arial" w:hAnsi="Arial" w:cs="Arial"/>
          <w:i/>
          <w:iCs/>
          <w:color w:val="2F5496" w:themeColor="accent1" w:themeShade="BF"/>
        </w:rPr>
      </w:pPr>
    </w:p>
    <w:p w14:paraId="488CB486" w14:textId="6F6EF2A5" w:rsidR="00C37CC1" w:rsidRPr="000B5DE4" w:rsidRDefault="00B87701" w:rsidP="3FA1519B">
      <w:pPr>
        <w:pStyle w:val="Heading3"/>
        <w:rPr>
          <w:rStyle w:val="s1"/>
          <w:rFonts w:ascii="Arial" w:hAnsi="Arial" w:cs="Arial"/>
          <w:color w:val="000000" w:themeColor="text1"/>
        </w:rPr>
      </w:pPr>
      <w:bookmarkStart w:id="36" w:name="_Toc213403133"/>
      <w:r w:rsidRPr="000B5DE4">
        <w:rPr>
          <w:rStyle w:val="s1"/>
          <w:rFonts w:ascii="Arial" w:hAnsi="Arial" w:cs="Arial"/>
          <w:color w:val="000000" w:themeColor="text1"/>
        </w:rPr>
        <w:t>By applying these external strategies, Owen Mumford Ltd can build sustainable partnerships, ensure ethical compliance and create long-term stakeholder value. This collaborative ecosystem not only supports the successful launch of the wearable health device but also consolidates the company’s position as a global leader in responsible and innovative healthcare solutions.</w:t>
      </w:r>
      <w:bookmarkEnd w:id="30"/>
      <w:bookmarkEnd w:id="36"/>
    </w:p>
    <w:p w14:paraId="5E31718F" w14:textId="0E1BD01E" w:rsidR="3FA1519B" w:rsidRDefault="3FA1519B" w:rsidP="3FA1519B"/>
    <w:p w14:paraId="2A0AAABF" w14:textId="77777777" w:rsidR="00F02C0B" w:rsidRDefault="00F02C0B" w:rsidP="3FA1519B"/>
    <w:p w14:paraId="5474A5FD" w14:textId="77777777" w:rsidR="00F02C0B" w:rsidRDefault="00F02C0B" w:rsidP="3FA1519B"/>
    <w:p w14:paraId="45C02BCA" w14:textId="77777777" w:rsidR="00F02C0B" w:rsidRDefault="00F02C0B" w:rsidP="3FA1519B"/>
    <w:p w14:paraId="4E4F2155" w14:textId="77777777" w:rsidR="00F02C0B" w:rsidRDefault="00F02C0B" w:rsidP="3FA1519B"/>
    <w:p w14:paraId="11566E1C" w14:textId="77777777" w:rsidR="00F02C0B" w:rsidRDefault="00F02C0B" w:rsidP="3FA1519B"/>
    <w:p w14:paraId="726A0A9C" w14:textId="77777777" w:rsidR="00F02C0B" w:rsidRDefault="00F02C0B" w:rsidP="3FA1519B"/>
    <w:p w14:paraId="593269BC" w14:textId="77777777" w:rsidR="00F02C0B" w:rsidRDefault="00F02C0B" w:rsidP="3FA1519B"/>
    <w:p w14:paraId="3781AD48" w14:textId="77777777" w:rsidR="00F02C0B" w:rsidRDefault="00F02C0B" w:rsidP="3FA1519B"/>
    <w:p w14:paraId="252DCF5D" w14:textId="77777777" w:rsidR="00F02C0B" w:rsidRDefault="00F02C0B" w:rsidP="3FA1519B"/>
    <w:p w14:paraId="0C780BCC" w14:textId="77777777" w:rsidR="00F02C0B" w:rsidRDefault="00F02C0B" w:rsidP="3FA1519B"/>
    <w:p w14:paraId="2FA90996" w14:textId="77777777" w:rsidR="00F02C0B" w:rsidRDefault="00F02C0B" w:rsidP="3FA1519B"/>
    <w:p w14:paraId="2FFAF928" w14:textId="77777777" w:rsidR="00F02C0B" w:rsidRDefault="00F02C0B" w:rsidP="3FA1519B"/>
    <w:p w14:paraId="79C8B156" w14:textId="77777777" w:rsidR="002F5FA5" w:rsidRDefault="002F5FA5" w:rsidP="3FA1519B"/>
    <w:p w14:paraId="24CD67B3" w14:textId="77777777" w:rsidR="002F5FA5" w:rsidRDefault="002F5FA5" w:rsidP="3FA1519B"/>
    <w:p w14:paraId="3ADE85F5" w14:textId="77777777" w:rsidR="002F5FA5" w:rsidRDefault="002F5FA5" w:rsidP="3FA1519B"/>
    <w:p w14:paraId="11CC8049" w14:textId="77777777" w:rsidR="002F5FA5" w:rsidRDefault="002F5FA5" w:rsidP="3FA1519B"/>
    <w:p w14:paraId="09936E28" w14:textId="77777777" w:rsidR="00F02C0B" w:rsidRDefault="00F02C0B" w:rsidP="3FA1519B"/>
    <w:p w14:paraId="6733360D" w14:textId="1DC017B9" w:rsidR="00EE3E08" w:rsidRPr="00C37CC1" w:rsidRDefault="00EE3E08" w:rsidP="00EE3E08">
      <w:pPr>
        <w:pStyle w:val="Heading2"/>
        <w:rPr>
          <w:rFonts w:ascii="Arial" w:hAnsi="Arial" w:cs="Arial"/>
          <w:i/>
          <w:iCs/>
          <w:sz w:val="32"/>
          <w:szCs w:val="32"/>
        </w:rPr>
      </w:pPr>
      <w:bookmarkStart w:id="37" w:name="_Toc213403134"/>
      <w:r w:rsidRPr="00C37CC1">
        <w:rPr>
          <w:rStyle w:val="s1"/>
          <w:rFonts w:ascii="Arial" w:hAnsi="Arial" w:cs="Arial"/>
          <w:i/>
          <w:iCs/>
          <w:sz w:val="32"/>
          <w:szCs w:val="32"/>
        </w:rPr>
        <w:lastRenderedPageBreak/>
        <w:t>7.0 Conclusion</w:t>
      </w:r>
      <w:bookmarkStart w:id="38" w:name="OLE_LINK21"/>
      <w:bookmarkEnd w:id="37"/>
    </w:p>
    <w:p w14:paraId="64683F83" w14:textId="567E1BA4" w:rsidR="00AD0DF3" w:rsidRPr="000B5DE4" w:rsidRDefault="00AD0DF3" w:rsidP="00AD0DF3">
      <w:pPr>
        <w:pStyle w:val="p2"/>
        <w:rPr>
          <w:rFonts w:ascii="Arial" w:hAnsi="Arial" w:cs="Arial"/>
        </w:rPr>
      </w:pPr>
      <w:r w:rsidRPr="000B5DE4">
        <w:rPr>
          <w:rFonts w:ascii="Arial" w:hAnsi="Arial" w:cs="Arial"/>
        </w:rPr>
        <w:t xml:space="preserve">In conclusion, effective stakeholder engagement plays a crucial role in ensuring the success of Owen Mumford </w:t>
      </w:r>
      <w:proofErr w:type="spellStart"/>
      <w:r w:rsidRPr="000B5DE4">
        <w:rPr>
          <w:rFonts w:ascii="Arial" w:hAnsi="Arial" w:cs="Arial"/>
        </w:rPr>
        <w:t>Ltd’s</w:t>
      </w:r>
      <w:proofErr w:type="spellEnd"/>
      <w:r w:rsidRPr="000B5DE4">
        <w:rPr>
          <w:rFonts w:ascii="Arial" w:hAnsi="Arial" w:cs="Arial"/>
        </w:rPr>
        <w:t xml:space="preserve"> new wearable health device project. The analysis has demonstrated that clear communication, well-defined managerial responsibilities and collaborative planning are essential for achieving organisational objectives and sustaining long-term growth.</w:t>
      </w:r>
    </w:p>
    <w:p w14:paraId="19A1A46E" w14:textId="7A39E534" w:rsidR="00AD0DF3" w:rsidRPr="000B5DE4" w:rsidRDefault="00AD0DF3" w:rsidP="00AD0DF3">
      <w:pPr>
        <w:pStyle w:val="p2"/>
        <w:rPr>
          <w:rFonts w:ascii="Arial" w:hAnsi="Arial" w:cs="Arial"/>
        </w:rPr>
      </w:pPr>
      <w:r w:rsidRPr="000B5DE4">
        <w:rPr>
          <w:rFonts w:ascii="Arial" w:hAnsi="Arial" w:cs="Arial"/>
        </w:rPr>
        <w:t>By applying stakeholder management frameworks such as Freeman’s Stakeholder Theory (1984) and Mendelow’s Power–Interest Matrix (1991), this report has shown how Owen Mumford can strategically identify, prioritise and engage both internal and external stakeholders. Each group — from R&amp;D teams and regulators to patients and investors — provides unique value throughout the product’s development and launch.</w:t>
      </w:r>
    </w:p>
    <w:p w14:paraId="202A5DC3" w14:textId="0881329B" w:rsidR="00AD0DF3" w:rsidRPr="000B5DE4" w:rsidRDefault="00AD0DF3" w:rsidP="00AD0DF3">
      <w:pPr>
        <w:pStyle w:val="p2"/>
        <w:rPr>
          <w:rFonts w:ascii="Arial" w:hAnsi="Arial" w:cs="Arial"/>
        </w:rPr>
      </w:pPr>
      <w:r w:rsidRPr="000B5DE4">
        <w:rPr>
          <w:rFonts w:ascii="Arial" w:hAnsi="Arial" w:cs="Arial"/>
        </w:rPr>
        <w:t>Through structured tools including the RACI Matrix, Communication Plan and SMART Framework, the company ensures transparency, accountability and timely achievement of project milestones. These mechanisms also assist in managing potential conflicts, promoting teamwork and maintaining compliance with regulatory and ethical standards.</w:t>
      </w:r>
    </w:p>
    <w:p w14:paraId="1E028DB2" w14:textId="457D0C18" w:rsidR="00AD0DF3" w:rsidRPr="000B5DE4" w:rsidRDefault="00AD0DF3" w:rsidP="00AD0DF3">
      <w:pPr>
        <w:pStyle w:val="p2"/>
        <w:rPr>
          <w:rFonts w:ascii="Arial" w:hAnsi="Arial" w:cs="Arial"/>
        </w:rPr>
      </w:pPr>
      <w:r w:rsidRPr="000B5DE4">
        <w:rPr>
          <w:rFonts w:ascii="Arial" w:hAnsi="Arial" w:cs="Arial"/>
        </w:rPr>
        <w:t>Moreover, strong stakeholder relationships directly enhance organisational performance and sustainability. Internal collaboration drives efficiency and innovation, while external engagement fosters trust, ensures compliance and strengthens market reputation. The proposed internal and external strategies — including training initiatives, feedback systems, regulatory partnerships and CSR programmes — will support continuous improvement and long-term stakeholder satisfaction.</w:t>
      </w:r>
    </w:p>
    <w:p w14:paraId="32AD7EDE" w14:textId="6302995D" w:rsidR="00EE3E08" w:rsidRPr="000B5DE4" w:rsidRDefault="00AD0DF3" w:rsidP="00AD0DF3">
      <w:pPr>
        <w:pStyle w:val="p2"/>
        <w:rPr>
          <w:rFonts w:ascii="Arial" w:hAnsi="Arial" w:cs="Arial"/>
        </w:rPr>
      </w:pPr>
      <w:r w:rsidRPr="000B5DE4">
        <w:rPr>
          <w:rFonts w:ascii="Arial" w:hAnsi="Arial" w:cs="Arial"/>
        </w:rPr>
        <w:t>Ultimately, successful stakeholder engagement enables Owen Mumford Ltd to deliver a product that not only meets business objectives but also contributes positively to public health and societal well-being. By maintaining its commitment to innovation, communication and ethical responsibility, the company can continue to “make a world of difference” within the global healthcare technology industry.</w:t>
      </w:r>
    </w:p>
    <w:bookmarkEnd w:id="38"/>
    <w:p w14:paraId="58394E24" w14:textId="77777777" w:rsidR="00484206" w:rsidRDefault="00484206" w:rsidP="004F7ED1">
      <w:pPr>
        <w:spacing w:before="100" w:beforeAutospacing="1" w:after="100" w:afterAutospacing="1" w:line="240" w:lineRule="auto"/>
        <w:rPr>
          <w:rFonts w:ascii="Arial" w:eastAsia="Times New Roman" w:hAnsi="Arial" w:cs="Arial"/>
          <w:sz w:val="24"/>
          <w:szCs w:val="24"/>
          <w:lang w:eastAsia="en-GB"/>
        </w:rPr>
      </w:pPr>
    </w:p>
    <w:p w14:paraId="5282B05C" w14:textId="77777777" w:rsidR="00C37CC1" w:rsidRDefault="00C37CC1" w:rsidP="004F7ED1">
      <w:pPr>
        <w:spacing w:before="100" w:beforeAutospacing="1" w:after="100" w:afterAutospacing="1" w:line="240" w:lineRule="auto"/>
        <w:rPr>
          <w:rFonts w:ascii="Arial" w:eastAsia="Times New Roman" w:hAnsi="Arial" w:cs="Arial"/>
          <w:sz w:val="24"/>
          <w:szCs w:val="24"/>
          <w:lang w:eastAsia="en-GB"/>
        </w:rPr>
      </w:pPr>
    </w:p>
    <w:p w14:paraId="7B2392C9" w14:textId="77777777" w:rsidR="00C37CC1" w:rsidRDefault="00C37CC1" w:rsidP="004F7ED1">
      <w:pPr>
        <w:spacing w:before="100" w:beforeAutospacing="1" w:after="100" w:afterAutospacing="1" w:line="240" w:lineRule="auto"/>
        <w:rPr>
          <w:rFonts w:ascii="Arial" w:eastAsia="Times New Roman" w:hAnsi="Arial" w:cs="Arial"/>
          <w:sz w:val="24"/>
          <w:szCs w:val="24"/>
          <w:lang w:eastAsia="en-GB"/>
        </w:rPr>
      </w:pPr>
    </w:p>
    <w:p w14:paraId="409B3B3F" w14:textId="77777777" w:rsidR="00C37CC1" w:rsidRDefault="00C37CC1" w:rsidP="004F7ED1">
      <w:pPr>
        <w:spacing w:before="100" w:beforeAutospacing="1" w:after="100" w:afterAutospacing="1" w:line="240" w:lineRule="auto"/>
        <w:rPr>
          <w:rFonts w:ascii="Arial" w:eastAsia="Times New Roman" w:hAnsi="Arial" w:cs="Arial"/>
          <w:sz w:val="24"/>
          <w:szCs w:val="24"/>
          <w:lang w:eastAsia="en-GB"/>
        </w:rPr>
      </w:pPr>
    </w:p>
    <w:p w14:paraId="44F2CD54" w14:textId="77777777" w:rsidR="00A83E0E" w:rsidRDefault="00A83E0E" w:rsidP="00A83E0E">
      <w:pPr>
        <w:pStyle w:val="Heading3"/>
        <w:rPr>
          <w:rStyle w:val="s1"/>
          <w:rFonts w:ascii="Arial" w:hAnsi="Arial" w:cs="Arial"/>
          <w:b/>
          <w:bCs/>
        </w:rPr>
      </w:pPr>
    </w:p>
    <w:p w14:paraId="3D1630AB" w14:textId="77777777" w:rsidR="00F02C0B" w:rsidRPr="00F02C0B" w:rsidRDefault="00F02C0B" w:rsidP="00F02C0B"/>
    <w:p w14:paraId="43820DDC" w14:textId="73F2CEC2" w:rsidR="00A83E0E" w:rsidRPr="00C37CC1" w:rsidRDefault="00A83E0E" w:rsidP="00A83E0E">
      <w:pPr>
        <w:pStyle w:val="Heading3"/>
        <w:rPr>
          <w:rFonts w:ascii="Arial" w:hAnsi="Arial" w:cs="Arial"/>
          <w:b/>
          <w:bCs/>
          <w:i/>
          <w:iCs/>
          <w:color w:val="000000" w:themeColor="text1"/>
          <w:sz w:val="32"/>
          <w:szCs w:val="32"/>
        </w:rPr>
      </w:pPr>
      <w:bookmarkStart w:id="39" w:name="_Toc213403135"/>
      <w:r w:rsidRPr="00C37CC1">
        <w:rPr>
          <w:rStyle w:val="s1"/>
          <w:rFonts w:ascii="Arial" w:hAnsi="Arial" w:cs="Arial"/>
          <w:b/>
          <w:bCs/>
          <w:i/>
          <w:iCs/>
          <w:color w:val="000000" w:themeColor="text1"/>
          <w:sz w:val="32"/>
          <w:szCs w:val="32"/>
        </w:rPr>
        <w:lastRenderedPageBreak/>
        <w:t>References</w:t>
      </w:r>
      <w:bookmarkEnd w:id="39"/>
    </w:p>
    <w:p w14:paraId="35AFB8B0" w14:textId="12365DB7"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Ashcroft, R. (2017) </w:t>
      </w:r>
      <w:r w:rsidRPr="000B5DE4">
        <w:rPr>
          <w:rStyle w:val="s2"/>
          <w:rFonts w:ascii="Arial" w:hAnsi="Arial" w:cs="Arial"/>
        </w:rPr>
        <w:t>Relational Lens: Ethics and the Role of Relationships in Healthcare Practice.</w:t>
      </w:r>
      <w:r w:rsidRPr="000B5DE4">
        <w:rPr>
          <w:rStyle w:val="s1"/>
          <w:rFonts w:ascii="Arial" w:hAnsi="Arial" w:cs="Arial"/>
        </w:rPr>
        <w:t xml:space="preserve"> London: Routledge.</w:t>
      </w:r>
    </w:p>
    <w:p w14:paraId="74D80F27" w14:textId="46AC69FF"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Bourne, L. (2015) </w:t>
      </w:r>
      <w:r w:rsidRPr="000B5DE4">
        <w:rPr>
          <w:rStyle w:val="s2"/>
          <w:rFonts w:ascii="Arial" w:hAnsi="Arial" w:cs="Arial"/>
        </w:rPr>
        <w:t>Stakeholder Relationship Management: A Maturity Model for Organisational Implementation.</w:t>
      </w:r>
      <w:r w:rsidRPr="000B5DE4">
        <w:rPr>
          <w:rStyle w:val="s1"/>
          <w:rFonts w:ascii="Arial" w:hAnsi="Arial" w:cs="Arial"/>
        </w:rPr>
        <w:t xml:space="preserve"> 2nd ed. Farnham: Gower Publishing.</w:t>
      </w:r>
    </w:p>
    <w:p w14:paraId="2BC36F67" w14:textId="3D4F4C8A"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Elkington, J. (1997) </w:t>
      </w:r>
      <w:r w:rsidRPr="000B5DE4">
        <w:rPr>
          <w:rStyle w:val="s2"/>
          <w:rFonts w:ascii="Arial" w:hAnsi="Arial" w:cs="Arial"/>
        </w:rPr>
        <w:t>Cannibals with Forks: The Triple Bottom Line of 21st Century Business.</w:t>
      </w:r>
      <w:r w:rsidRPr="000B5DE4">
        <w:rPr>
          <w:rStyle w:val="s1"/>
          <w:rFonts w:ascii="Arial" w:hAnsi="Arial" w:cs="Arial"/>
        </w:rPr>
        <w:t xml:space="preserve"> Oxford: Capstone Publishing.</w:t>
      </w:r>
    </w:p>
    <w:p w14:paraId="1AE3A0D2" w14:textId="7E9BF7B2"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Freeman, R.E. (1984) </w:t>
      </w:r>
      <w:r w:rsidRPr="000B5DE4">
        <w:rPr>
          <w:rStyle w:val="s2"/>
          <w:rFonts w:ascii="Arial" w:hAnsi="Arial" w:cs="Arial"/>
        </w:rPr>
        <w:t>Strategic Management: A Stakeholder Approach.</w:t>
      </w:r>
      <w:r w:rsidRPr="000B5DE4">
        <w:rPr>
          <w:rStyle w:val="s1"/>
          <w:rFonts w:ascii="Arial" w:hAnsi="Arial" w:cs="Arial"/>
        </w:rPr>
        <w:t xml:space="preserve"> Boston: Pitman.</w:t>
      </w:r>
    </w:p>
    <w:p w14:paraId="11BB5807" w14:textId="001C07A5"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Greenwood, M. (2007) ‘Stakeholder engagement: Beyond the myth of corporate responsibility,’ </w:t>
      </w:r>
      <w:r w:rsidRPr="000B5DE4">
        <w:rPr>
          <w:rStyle w:val="s2"/>
          <w:rFonts w:ascii="Arial" w:hAnsi="Arial" w:cs="Arial"/>
        </w:rPr>
        <w:t>Journal of Business Ethics,</w:t>
      </w:r>
      <w:r w:rsidRPr="000B5DE4">
        <w:rPr>
          <w:rStyle w:val="s1"/>
          <w:rFonts w:ascii="Arial" w:hAnsi="Arial" w:cs="Arial"/>
        </w:rPr>
        <w:t xml:space="preserve"> 74(4), pp. 315–327.</w:t>
      </w:r>
    </w:p>
    <w:p w14:paraId="5C3519A7" w14:textId="76225733"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Herzberg, F. (1959) </w:t>
      </w:r>
      <w:r w:rsidRPr="000B5DE4">
        <w:rPr>
          <w:rStyle w:val="s2"/>
          <w:rFonts w:ascii="Arial" w:hAnsi="Arial" w:cs="Arial"/>
        </w:rPr>
        <w:t>The Motivation to Work.</w:t>
      </w:r>
      <w:r w:rsidRPr="000B5DE4">
        <w:rPr>
          <w:rStyle w:val="s1"/>
          <w:rFonts w:ascii="Arial" w:hAnsi="Arial" w:cs="Arial"/>
        </w:rPr>
        <w:t xml:space="preserve"> New York: John Wiley &amp; Sons.</w:t>
      </w:r>
    </w:p>
    <w:p w14:paraId="59AC925A" w14:textId="6EAC1453" w:rsidR="00AF7695" w:rsidRPr="000B5DE4" w:rsidRDefault="00AF7695" w:rsidP="00C37CC1">
      <w:pPr>
        <w:pStyle w:val="p1"/>
        <w:numPr>
          <w:ilvl w:val="0"/>
          <w:numId w:val="33"/>
        </w:numPr>
        <w:rPr>
          <w:rFonts w:ascii="Arial" w:hAnsi="Arial" w:cs="Arial"/>
        </w:rPr>
      </w:pPr>
      <w:r w:rsidRPr="000B5DE4">
        <w:rPr>
          <w:rStyle w:val="s1"/>
          <w:rFonts w:ascii="Arial" w:hAnsi="Arial" w:cs="Arial"/>
        </w:rPr>
        <w:t xml:space="preserve">International Organization for Standardization (2016) </w:t>
      </w:r>
      <w:r w:rsidRPr="000B5DE4">
        <w:rPr>
          <w:rStyle w:val="s2"/>
          <w:rFonts w:ascii="Arial" w:hAnsi="Arial" w:cs="Arial"/>
        </w:rPr>
        <w:t>ISO 13485:2016 – Medical Devices: Quality Management Systems – Requirements for Regulatory Purposes.</w:t>
      </w:r>
      <w:r w:rsidRPr="000B5DE4">
        <w:rPr>
          <w:rStyle w:val="s1"/>
          <w:rFonts w:ascii="Arial" w:hAnsi="Arial" w:cs="Arial"/>
        </w:rPr>
        <w:t xml:space="preserve"> Geneva: ISO.</w:t>
      </w:r>
    </w:p>
    <w:p w14:paraId="1B603234" w14:textId="733733C3" w:rsidR="00AF7695" w:rsidRPr="00C34747" w:rsidRDefault="00AF7695" w:rsidP="00C37CC1">
      <w:pPr>
        <w:pStyle w:val="p1"/>
        <w:numPr>
          <w:ilvl w:val="0"/>
          <w:numId w:val="33"/>
        </w:numPr>
        <w:rPr>
          <w:rFonts w:ascii="Arial" w:hAnsi="Arial" w:cs="Arial"/>
        </w:rPr>
      </w:pPr>
      <w:r w:rsidRPr="000B5DE4">
        <w:rPr>
          <w:rStyle w:val="s1"/>
          <w:rFonts w:ascii="Arial" w:hAnsi="Arial" w:cs="Arial"/>
        </w:rPr>
        <w:t xml:space="preserve">Johnson, G., Scholes, K. and Whittington, R. (2017) </w:t>
      </w:r>
      <w:r w:rsidRPr="000B5DE4">
        <w:rPr>
          <w:rStyle w:val="s2"/>
          <w:rFonts w:ascii="Arial" w:hAnsi="Arial" w:cs="Arial"/>
        </w:rPr>
        <w:t xml:space="preserve">Exploring Strategy: Text </w:t>
      </w:r>
      <w:r w:rsidRPr="00C34747">
        <w:rPr>
          <w:rStyle w:val="s2"/>
          <w:rFonts w:ascii="Arial" w:hAnsi="Arial" w:cs="Arial"/>
        </w:rPr>
        <w:t>and Cases.</w:t>
      </w:r>
      <w:r w:rsidRPr="00C34747">
        <w:rPr>
          <w:rStyle w:val="s1"/>
          <w:rFonts w:ascii="Arial" w:hAnsi="Arial" w:cs="Arial"/>
        </w:rPr>
        <w:t xml:space="preserve"> 11th ed. Harlow: Pearson Education Limited.</w:t>
      </w:r>
    </w:p>
    <w:p w14:paraId="4D89B1A1" w14:textId="6BC810E8" w:rsidR="00AF7695" w:rsidRPr="00C34747" w:rsidRDefault="00AF7695" w:rsidP="00C37CC1">
      <w:pPr>
        <w:pStyle w:val="p1"/>
        <w:numPr>
          <w:ilvl w:val="0"/>
          <w:numId w:val="33"/>
        </w:numPr>
        <w:rPr>
          <w:rFonts w:ascii="Arial" w:hAnsi="Arial" w:cs="Arial"/>
        </w:rPr>
      </w:pPr>
      <w:r w:rsidRPr="00C34747">
        <w:rPr>
          <w:rStyle w:val="s1"/>
          <w:rFonts w:ascii="Arial" w:hAnsi="Arial" w:cs="Arial"/>
        </w:rPr>
        <w:t xml:space="preserve">Kerzner, H. (2017) </w:t>
      </w:r>
      <w:r w:rsidRPr="00C34747">
        <w:rPr>
          <w:rStyle w:val="s2"/>
          <w:rFonts w:ascii="Arial" w:hAnsi="Arial" w:cs="Arial"/>
        </w:rPr>
        <w:t>Project Management: A Systems Approach to Planning, Scheduling, and Controlling.</w:t>
      </w:r>
      <w:r w:rsidRPr="00C34747">
        <w:rPr>
          <w:rStyle w:val="s1"/>
          <w:rFonts w:ascii="Arial" w:hAnsi="Arial" w:cs="Arial"/>
        </w:rPr>
        <w:t xml:space="preserve"> 12th ed. Hoboken, NJ: John Wiley &amp; Sons.</w:t>
      </w:r>
    </w:p>
    <w:p w14:paraId="0F41929A" w14:textId="27D51425" w:rsidR="00AF7695" w:rsidRPr="00C34747" w:rsidRDefault="00AF7695" w:rsidP="00C37CC1">
      <w:pPr>
        <w:pStyle w:val="p1"/>
        <w:numPr>
          <w:ilvl w:val="0"/>
          <w:numId w:val="33"/>
        </w:numPr>
        <w:rPr>
          <w:rFonts w:ascii="Arial" w:hAnsi="Arial" w:cs="Arial"/>
        </w:rPr>
      </w:pPr>
      <w:r w:rsidRPr="00C34747">
        <w:rPr>
          <w:rStyle w:val="s1"/>
          <w:rFonts w:ascii="Arial" w:hAnsi="Arial" w:cs="Arial"/>
        </w:rPr>
        <w:t xml:space="preserve">Mendelow, A.L. (1991) ‘Environmental scanning: The impact of the stakeholder concept,’ in </w:t>
      </w:r>
      <w:r w:rsidRPr="00C34747">
        <w:rPr>
          <w:rStyle w:val="s2"/>
          <w:rFonts w:ascii="Arial" w:hAnsi="Arial" w:cs="Arial"/>
        </w:rPr>
        <w:t>Proceedings of the Second International Conference on Information Systems.</w:t>
      </w:r>
      <w:r w:rsidRPr="00C34747">
        <w:rPr>
          <w:rStyle w:val="s1"/>
          <w:rFonts w:ascii="Arial" w:hAnsi="Arial" w:cs="Arial"/>
        </w:rPr>
        <w:t xml:space="preserve"> Cambridge, MA: MIT, pp. 407–418.</w:t>
      </w:r>
    </w:p>
    <w:p w14:paraId="17733357" w14:textId="1EF783B2" w:rsidR="00AF7695" w:rsidRPr="00C34747" w:rsidRDefault="00AF7695" w:rsidP="00C37CC1">
      <w:pPr>
        <w:pStyle w:val="p1"/>
        <w:numPr>
          <w:ilvl w:val="0"/>
          <w:numId w:val="33"/>
        </w:numPr>
        <w:rPr>
          <w:rFonts w:ascii="Arial" w:hAnsi="Arial" w:cs="Arial"/>
        </w:rPr>
      </w:pPr>
      <w:r w:rsidRPr="00C34747">
        <w:rPr>
          <w:rStyle w:val="s1"/>
          <w:rFonts w:ascii="Arial" w:hAnsi="Arial" w:cs="Arial"/>
        </w:rPr>
        <w:t xml:space="preserve">Mitchell, R.K., Agle, B.R. and Wood, D.J. (1997) ‘Toward a theory of stakeholder identification and salience: Defining the principle of who and what really counts,’ </w:t>
      </w:r>
      <w:r w:rsidRPr="00C34747">
        <w:rPr>
          <w:rStyle w:val="s2"/>
          <w:rFonts w:ascii="Arial" w:hAnsi="Arial" w:cs="Arial"/>
        </w:rPr>
        <w:t>Academy of Management Review,</w:t>
      </w:r>
      <w:r w:rsidRPr="00C34747">
        <w:rPr>
          <w:rStyle w:val="s1"/>
          <w:rFonts w:ascii="Arial" w:hAnsi="Arial" w:cs="Arial"/>
        </w:rPr>
        <w:t xml:space="preserve"> 22(4), pp. 853–886.</w:t>
      </w:r>
    </w:p>
    <w:p w14:paraId="6B9152E6" w14:textId="0F25A32B" w:rsidR="00C34747" w:rsidRPr="00C34747" w:rsidRDefault="00C34747" w:rsidP="00C34747">
      <w:pPr>
        <w:pStyle w:val="p1"/>
        <w:numPr>
          <w:ilvl w:val="0"/>
          <w:numId w:val="33"/>
        </w:numPr>
        <w:rPr>
          <w:rStyle w:val="s1"/>
          <w:rFonts w:ascii="Arial" w:hAnsi="Arial" w:cs="Arial"/>
        </w:rPr>
      </w:pPr>
      <w:r w:rsidRPr="00C34747">
        <w:rPr>
          <w:rStyle w:val="s1"/>
          <w:rFonts w:ascii="Arial" w:hAnsi="Arial" w:cs="Arial"/>
        </w:rPr>
        <w:t xml:space="preserve">Owen Mumford. (2025). </w:t>
      </w:r>
      <w:r w:rsidRPr="00C34747">
        <w:rPr>
          <w:rStyle w:val="s2"/>
          <w:rFonts w:ascii="Arial" w:hAnsi="Arial" w:cs="Arial"/>
        </w:rPr>
        <w:t>Medical Device Manufacturer | Owen Mumford</w:t>
      </w:r>
      <w:r w:rsidRPr="00C34747">
        <w:rPr>
          <w:rStyle w:val="s1"/>
          <w:rFonts w:ascii="Arial" w:hAnsi="Arial" w:cs="Arial"/>
        </w:rPr>
        <w:t>. https://www.owenmumford.</w:t>
      </w:r>
    </w:p>
    <w:p w14:paraId="39855743" w14:textId="0ADA162C" w:rsidR="00AF7695" w:rsidRPr="00C34747" w:rsidRDefault="00AF7695" w:rsidP="00C37CC1">
      <w:pPr>
        <w:pStyle w:val="p1"/>
        <w:numPr>
          <w:ilvl w:val="0"/>
          <w:numId w:val="33"/>
        </w:numPr>
        <w:rPr>
          <w:rFonts w:ascii="Arial" w:hAnsi="Arial" w:cs="Arial"/>
        </w:rPr>
      </w:pPr>
      <w:r w:rsidRPr="00C34747">
        <w:rPr>
          <w:rStyle w:val="s1"/>
          <w:rFonts w:ascii="Arial" w:hAnsi="Arial" w:cs="Arial"/>
        </w:rPr>
        <w:t xml:space="preserve">Project Management Institute (PMI) (2021) </w:t>
      </w:r>
      <w:r w:rsidRPr="00C34747">
        <w:rPr>
          <w:rStyle w:val="s2"/>
          <w:rFonts w:ascii="Arial" w:hAnsi="Arial" w:cs="Arial"/>
        </w:rPr>
        <w:t>A Guide to the Project Management Body of Knowledge (PMBOK® Guide).</w:t>
      </w:r>
      <w:r w:rsidRPr="00C34747">
        <w:rPr>
          <w:rStyle w:val="s1"/>
          <w:rFonts w:ascii="Arial" w:hAnsi="Arial" w:cs="Arial"/>
        </w:rPr>
        <w:t xml:space="preserve"> 7th ed. Newtown Square, PA: Project Management Institute.</w:t>
      </w:r>
    </w:p>
    <w:p w14:paraId="0392E34A" w14:textId="77777777" w:rsidR="00A83E0E" w:rsidRPr="000B5DE4" w:rsidRDefault="00A83E0E" w:rsidP="004F7ED1">
      <w:pPr>
        <w:spacing w:before="100" w:beforeAutospacing="1" w:after="100" w:afterAutospacing="1" w:line="240" w:lineRule="auto"/>
        <w:rPr>
          <w:rFonts w:ascii="Arial" w:eastAsia="Times New Roman" w:hAnsi="Arial" w:cs="Arial"/>
          <w:sz w:val="24"/>
          <w:szCs w:val="24"/>
          <w:lang w:eastAsia="en-GB"/>
        </w:rPr>
      </w:pPr>
    </w:p>
    <w:sectPr w:rsidR="00A83E0E" w:rsidRPr="000B5DE4" w:rsidSect="00792B78">
      <w:headerReference w:type="default" r:id="rId9"/>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70DD4F" w14:textId="77777777" w:rsidR="00840D50" w:rsidRDefault="00840D50" w:rsidP="00F37B62">
      <w:pPr>
        <w:spacing w:after="0" w:line="240" w:lineRule="auto"/>
      </w:pPr>
      <w:r>
        <w:separator/>
      </w:r>
    </w:p>
  </w:endnote>
  <w:endnote w:type="continuationSeparator" w:id="0">
    <w:p w14:paraId="4754561D" w14:textId="77777777" w:rsidR="00840D50" w:rsidRDefault="00840D50"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311A42" w14:textId="77777777" w:rsidR="00792B78" w:rsidRDefault="00792B78">
    <w:pPr>
      <w:pStyle w:val="Footer"/>
      <w:jc w:val="right"/>
    </w:pPr>
    <w:r>
      <w:rPr>
        <w:color w:val="4472C4" w:themeColor="accent1"/>
        <w:sz w:val="20"/>
        <w:szCs w:val="20"/>
      </w:rPr>
      <w:t xml:space="preserve">pg. </w:t>
    </w:r>
    <w:r>
      <w:rPr>
        <w:color w:val="4472C4" w:themeColor="accent1"/>
        <w:sz w:val="20"/>
        <w:szCs w:val="20"/>
      </w:rPr>
      <w:fldChar w:fldCharType="begin"/>
    </w:r>
    <w:r>
      <w:rPr>
        <w:color w:val="4472C4" w:themeColor="accent1"/>
        <w:sz w:val="20"/>
        <w:szCs w:val="20"/>
      </w:rPr>
      <w:instrText xml:space="preserve"> PAGE  \* Arabic </w:instrText>
    </w:r>
    <w:r>
      <w:rPr>
        <w:color w:val="4472C4" w:themeColor="accent1"/>
        <w:sz w:val="20"/>
        <w:szCs w:val="20"/>
      </w:rPr>
      <w:fldChar w:fldCharType="separate"/>
    </w:r>
    <w:r>
      <w:rPr>
        <w:noProof/>
        <w:color w:val="4472C4" w:themeColor="accent1"/>
        <w:sz w:val="20"/>
        <w:szCs w:val="20"/>
      </w:rPr>
      <w:t>1</w:t>
    </w:r>
    <w:r>
      <w:rPr>
        <w:color w:val="4472C4" w:themeColor="accent1"/>
        <w:sz w:val="20"/>
        <w:szCs w:val="20"/>
      </w:rPr>
      <w:fldChar w:fldCharType="end"/>
    </w:r>
  </w:p>
  <w:p w14:paraId="41CB82E5" w14:textId="1FE5D179" w:rsidR="005D6887" w:rsidRDefault="005D6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C8951D" w14:textId="77777777" w:rsidR="00840D50" w:rsidRDefault="00840D50" w:rsidP="00F37B62">
      <w:pPr>
        <w:spacing w:after="0" w:line="240" w:lineRule="auto"/>
      </w:pPr>
      <w:r>
        <w:separator/>
      </w:r>
    </w:p>
  </w:footnote>
  <w:footnote w:type="continuationSeparator" w:id="0">
    <w:p w14:paraId="2B32F0D0" w14:textId="77777777" w:rsidR="00840D50" w:rsidRDefault="00840D50" w:rsidP="00F37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text1" w:themeTint="80"/>
      </w:rPr>
      <w:alias w:val="Title"/>
      <w:tag w:val=""/>
      <w:id w:val="1116400235"/>
      <w:placeholder>
        <w:docPart w:val="6983460BE782EA4A8BB569A012F7528B"/>
      </w:placeholder>
      <w:dataBinding w:prefixMappings="xmlns:ns0='http://purl.org/dc/elements/1.1/' xmlns:ns1='http://schemas.openxmlformats.org/package/2006/metadata/core-properties' " w:xpath="/ns1:coreProperties[1]/ns0:title[1]" w:storeItemID="{6C3C8BC8-F283-45AE-878A-BAB7291924A1}"/>
      <w:text/>
    </w:sdtPr>
    <w:sdtContent>
      <w:p w14:paraId="542F4F89" w14:textId="4051247F" w:rsidR="006F6802" w:rsidRDefault="00AF4DFF">
        <w:pPr>
          <w:pStyle w:val="Header"/>
          <w:jc w:val="right"/>
          <w:rPr>
            <w:color w:val="7F7F7F" w:themeColor="text1" w:themeTint="80"/>
          </w:rPr>
        </w:pPr>
        <w:r>
          <w:rPr>
            <w:color w:val="7F7F7F" w:themeColor="text1" w:themeTint="80"/>
          </w:rPr>
          <w:t xml:space="preserve">Khrystyna Havrysh </w:t>
        </w:r>
        <w:r w:rsidR="00B53F8F">
          <w:rPr>
            <w:color w:val="7F7F7F" w:themeColor="text1" w:themeTint="80"/>
          </w:rPr>
          <w:t>–</w:t>
        </w:r>
        <w:r>
          <w:rPr>
            <w:color w:val="7F7F7F" w:themeColor="text1" w:themeTint="80"/>
          </w:rPr>
          <w:t xml:space="preserve"> 2417</w:t>
        </w:r>
        <w:r w:rsidR="00B53F8F">
          <w:rPr>
            <w:color w:val="7F7F7F" w:themeColor="text1" w:themeTint="80"/>
          </w:rPr>
          <w:t>459</w:t>
        </w:r>
      </w:p>
    </w:sdtContent>
  </w:sdt>
  <w:p w14:paraId="0D4678C0" w14:textId="034A38C5" w:rsidR="00D7038D" w:rsidRDefault="00D703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70D31"/>
    <w:multiLevelType w:val="hybridMultilevel"/>
    <w:tmpl w:val="A4E0A884"/>
    <w:lvl w:ilvl="0" w:tplc="A6407664">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05A40AA9"/>
    <w:multiLevelType w:val="multilevel"/>
    <w:tmpl w:val="4356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E94F6F"/>
    <w:multiLevelType w:val="hybridMultilevel"/>
    <w:tmpl w:val="3358386A"/>
    <w:lvl w:ilvl="0" w:tplc="A6407664">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B3C24FC"/>
    <w:multiLevelType w:val="multilevel"/>
    <w:tmpl w:val="3C1E94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B425DA"/>
    <w:multiLevelType w:val="multilevel"/>
    <w:tmpl w:val="C20A8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7719B4"/>
    <w:multiLevelType w:val="multilevel"/>
    <w:tmpl w:val="707C9D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DA4DC1"/>
    <w:multiLevelType w:val="multilevel"/>
    <w:tmpl w:val="6A42F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326FA1"/>
    <w:multiLevelType w:val="multilevel"/>
    <w:tmpl w:val="94BA49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011AC0"/>
    <w:multiLevelType w:val="multilevel"/>
    <w:tmpl w:val="BA42FC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BA4489"/>
    <w:multiLevelType w:val="multilevel"/>
    <w:tmpl w:val="DA7096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542A39"/>
    <w:multiLevelType w:val="multilevel"/>
    <w:tmpl w:val="2AFC8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6250A6"/>
    <w:multiLevelType w:val="multilevel"/>
    <w:tmpl w:val="92CE57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D34072"/>
    <w:multiLevelType w:val="hybridMultilevel"/>
    <w:tmpl w:val="1AB276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F5482E"/>
    <w:multiLevelType w:val="multilevel"/>
    <w:tmpl w:val="86CCA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B866CC"/>
    <w:multiLevelType w:val="multilevel"/>
    <w:tmpl w:val="CBF4D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290DFD"/>
    <w:multiLevelType w:val="hybridMultilevel"/>
    <w:tmpl w:val="090EE2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82D63"/>
    <w:multiLevelType w:val="multilevel"/>
    <w:tmpl w:val="C6F41C6A"/>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6F39F8"/>
    <w:multiLevelType w:val="multilevel"/>
    <w:tmpl w:val="5BAA1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205C5A"/>
    <w:multiLevelType w:val="multilevel"/>
    <w:tmpl w:val="458C68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EB54DF3"/>
    <w:multiLevelType w:val="multilevel"/>
    <w:tmpl w:val="2FEE2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AF4A79"/>
    <w:multiLevelType w:val="multilevel"/>
    <w:tmpl w:val="6C825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3AE0DDB"/>
    <w:multiLevelType w:val="multilevel"/>
    <w:tmpl w:val="675E0E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6E97C83"/>
    <w:multiLevelType w:val="multilevel"/>
    <w:tmpl w:val="2612C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C104CA"/>
    <w:multiLevelType w:val="multilevel"/>
    <w:tmpl w:val="BAA00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B47152"/>
    <w:multiLevelType w:val="multilevel"/>
    <w:tmpl w:val="35C42D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F371C0"/>
    <w:multiLevelType w:val="multilevel"/>
    <w:tmpl w:val="5ACEE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5F5220F"/>
    <w:multiLevelType w:val="multilevel"/>
    <w:tmpl w:val="9232F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031D22"/>
    <w:multiLevelType w:val="multilevel"/>
    <w:tmpl w:val="9FFC1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5E2D71"/>
    <w:multiLevelType w:val="multilevel"/>
    <w:tmpl w:val="196A6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6C5690"/>
    <w:multiLevelType w:val="multilevel"/>
    <w:tmpl w:val="5AE807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7731A4"/>
    <w:multiLevelType w:val="hybridMultilevel"/>
    <w:tmpl w:val="1DC2F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157F6C"/>
    <w:multiLevelType w:val="multilevel"/>
    <w:tmpl w:val="601CA1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4C455DE"/>
    <w:multiLevelType w:val="multilevel"/>
    <w:tmpl w:val="DF346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1685676">
    <w:abstractNumId w:val="9"/>
  </w:num>
  <w:num w:numId="2" w16cid:durableId="1782412501">
    <w:abstractNumId w:val="17"/>
  </w:num>
  <w:num w:numId="3" w16cid:durableId="132066868">
    <w:abstractNumId w:val="25"/>
  </w:num>
  <w:num w:numId="4" w16cid:durableId="956446148">
    <w:abstractNumId w:val="1"/>
  </w:num>
  <w:num w:numId="5" w16cid:durableId="1884369301">
    <w:abstractNumId w:val="6"/>
  </w:num>
  <w:num w:numId="6" w16cid:durableId="537859810">
    <w:abstractNumId w:val="27"/>
  </w:num>
  <w:num w:numId="7" w16cid:durableId="1882284952">
    <w:abstractNumId w:val="29"/>
  </w:num>
  <w:num w:numId="8" w16cid:durableId="630598813">
    <w:abstractNumId w:val="31"/>
  </w:num>
  <w:num w:numId="9" w16cid:durableId="429472008">
    <w:abstractNumId w:val="14"/>
  </w:num>
  <w:num w:numId="10" w16cid:durableId="160001365">
    <w:abstractNumId w:val="10"/>
  </w:num>
  <w:num w:numId="11" w16cid:durableId="1550605683">
    <w:abstractNumId w:val="32"/>
  </w:num>
  <w:num w:numId="12" w16cid:durableId="734812904">
    <w:abstractNumId w:val="13"/>
  </w:num>
  <w:num w:numId="13" w16cid:durableId="593128072">
    <w:abstractNumId w:val="22"/>
  </w:num>
  <w:num w:numId="14" w16cid:durableId="1756627738">
    <w:abstractNumId w:val="26"/>
  </w:num>
  <w:num w:numId="15" w16cid:durableId="1331250343">
    <w:abstractNumId w:val="23"/>
  </w:num>
  <w:num w:numId="16" w16cid:durableId="1042171076">
    <w:abstractNumId w:val="28"/>
  </w:num>
  <w:num w:numId="17" w16cid:durableId="812454233">
    <w:abstractNumId w:val="16"/>
  </w:num>
  <w:num w:numId="18" w16cid:durableId="1798643626">
    <w:abstractNumId w:val="24"/>
  </w:num>
  <w:num w:numId="19" w16cid:durableId="306595726">
    <w:abstractNumId w:val="5"/>
  </w:num>
  <w:num w:numId="20" w16cid:durableId="635912132">
    <w:abstractNumId w:val="8"/>
  </w:num>
  <w:num w:numId="21" w16cid:durableId="541286964">
    <w:abstractNumId w:val="19"/>
  </w:num>
  <w:num w:numId="22" w16cid:durableId="2062632075">
    <w:abstractNumId w:val="11"/>
  </w:num>
  <w:num w:numId="23" w16cid:durableId="1215577314">
    <w:abstractNumId w:val="4"/>
  </w:num>
  <w:num w:numId="24" w16cid:durableId="399446672">
    <w:abstractNumId w:val="20"/>
  </w:num>
  <w:num w:numId="25" w16cid:durableId="419331623">
    <w:abstractNumId w:val="18"/>
  </w:num>
  <w:num w:numId="26" w16cid:durableId="440222527">
    <w:abstractNumId w:val="21"/>
  </w:num>
  <w:num w:numId="27" w16cid:durableId="1746148256">
    <w:abstractNumId w:val="7"/>
  </w:num>
  <w:num w:numId="28" w16cid:durableId="297034364">
    <w:abstractNumId w:val="3"/>
  </w:num>
  <w:num w:numId="29" w16cid:durableId="1242375308">
    <w:abstractNumId w:val="0"/>
  </w:num>
  <w:num w:numId="30" w16cid:durableId="394203213">
    <w:abstractNumId w:val="30"/>
  </w:num>
  <w:num w:numId="31" w16cid:durableId="1415660275">
    <w:abstractNumId w:val="12"/>
  </w:num>
  <w:num w:numId="32" w16cid:durableId="1233807738">
    <w:abstractNumId w:val="15"/>
  </w:num>
  <w:num w:numId="33" w16cid:durableId="703747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3C69"/>
    <w:rsid w:val="00015B1A"/>
    <w:rsid w:val="00017484"/>
    <w:rsid w:val="00021D08"/>
    <w:rsid w:val="00025F2B"/>
    <w:rsid w:val="00042392"/>
    <w:rsid w:val="000441CB"/>
    <w:rsid w:val="00056025"/>
    <w:rsid w:val="00060316"/>
    <w:rsid w:val="00061675"/>
    <w:rsid w:val="00066DF2"/>
    <w:rsid w:val="000A2400"/>
    <w:rsid w:val="000A3CF0"/>
    <w:rsid w:val="000A7F36"/>
    <w:rsid w:val="000B4E76"/>
    <w:rsid w:val="000B5DE4"/>
    <w:rsid w:val="000C51C1"/>
    <w:rsid w:val="000D05D8"/>
    <w:rsid w:val="000D6C86"/>
    <w:rsid w:val="000D6D55"/>
    <w:rsid w:val="000F08B0"/>
    <w:rsid w:val="000F64A5"/>
    <w:rsid w:val="000F77F6"/>
    <w:rsid w:val="0010453F"/>
    <w:rsid w:val="00105267"/>
    <w:rsid w:val="00112989"/>
    <w:rsid w:val="001145B9"/>
    <w:rsid w:val="0011629A"/>
    <w:rsid w:val="00125448"/>
    <w:rsid w:val="001278B8"/>
    <w:rsid w:val="00150D81"/>
    <w:rsid w:val="0015558E"/>
    <w:rsid w:val="00157C14"/>
    <w:rsid w:val="00160137"/>
    <w:rsid w:val="00161B66"/>
    <w:rsid w:val="00161FA3"/>
    <w:rsid w:val="00173BD0"/>
    <w:rsid w:val="00177559"/>
    <w:rsid w:val="00180012"/>
    <w:rsid w:val="001904E7"/>
    <w:rsid w:val="001908F0"/>
    <w:rsid w:val="0019160D"/>
    <w:rsid w:val="0019188F"/>
    <w:rsid w:val="001946A7"/>
    <w:rsid w:val="001946F8"/>
    <w:rsid w:val="00196F23"/>
    <w:rsid w:val="001A5123"/>
    <w:rsid w:val="001B741F"/>
    <w:rsid w:val="001C3C22"/>
    <w:rsid w:val="001D34D9"/>
    <w:rsid w:val="001D4A61"/>
    <w:rsid w:val="001D668F"/>
    <w:rsid w:val="001F183F"/>
    <w:rsid w:val="001F7996"/>
    <w:rsid w:val="00206C6B"/>
    <w:rsid w:val="002317AD"/>
    <w:rsid w:val="00252514"/>
    <w:rsid w:val="00252FA3"/>
    <w:rsid w:val="002545FA"/>
    <w:rsid w:val="002567D6"/>
    <w:rsid w:val="00257B0C"/>
    <w:rsid w:val="00271959"/>
    <w:rsid w:val="002719E9"/>
    <w:rsid w:val="002750B2"/>
    <w:rsid w:val="00294BC0"/>
    <w:rsid w:val="00295205"/>
    <w:rsid w:val="002A4EEE"/>
    <w:rsid w:val="002B2788"/>
    <w:rsid w:val="002B3D13"/>
    <w:rsid w:val="002E01DA"/>
    <w:rsid w:val="002E4E34"/>
    <w:rsid w:val="002E7AB5"/>
    <w:rsid w:val="002F0B2F"/>
    <w:rsid w:val="002F5FA5"/>
    <w:rsid w:val="002F6784"/>
    <w:rsid w:val="002F67CF"/>
    <w:rsid w:val="003031CF"/>
    <w:rsid w:val="003073BC"/>
    <w:rsid w:val="003121F8"/>
    <w:rsid w:val="00316A94"/>
    <w:rsid w:val="003212E7"/>
    <w:rsid w:val="00321337"/>
    <w:rsid w:val="00321659"/>
    <w:rsid w:val="003216D1"/>
    <w:rsid w:val="00323AE8"/>
    <w:rsid w:val="003339B5"/>
    <w:rsid w:val="00340A1D"/>
    <w:rsid w:val="00345FA0"/>
    <w:rsid w:val="0034694F"/>
    <w:rsid w:val="003501B6"/>
    <w:rsid w:val="00354DE9"/>
    <w:rsid w:val="00361FB8"/>
    <w:rsid w:val="00373A62"/>
    <w:rsid w:val="00373C95"/>
    <w:rsid w:val="00374A82"/>
    <w:rsid w:val="00376C3F"/>
    <w:rsid w:val="00376E70"/>
    <w:rsid w:val="0037779C"/>
    <w:rsid w:val="00380C12"/>
    <w:rsid w:val="00385DCC"/>
    <w:rsid w:val="00387535"/>
    <w:rsid w:val="00393113"/>
    <w:rsid w:val="0039343E"/>
    <w:rsid w:val="003A7573"/>
    <w:rsid w:val="003B0094"/>
    <w:rsid w:val="003B0E05"/>
    <w:rsid w:val="003B2FF2"/>
    <w:rsid w:val="003C42A2"/>
    <w:rsid w:val="003C565A"/>
    <w:rsid w:val="003C576F"/>
    <w:rsid w:val="003D1B48"/>
    <w:rsid w:val="003D2051"/>
    <w:rsid w:val="003D7442"/>
    <w:rsid w:val="003E058A"/>
    <w:rsid w:val="003E2AF9"/>
    <w:rsid w:val="003F3651"/>
    <w:rsid w:val="003F5F7A"/>
    <w:rsid w:val="003F6B6F"/>
    <w:rsid w:val="0041155A"/>
    <w:rsid w:val="00436C36"/>
    <w:rsid w:val="0044280E"/>
    <w:rsid w:val="00452F68"/>
    <w:rsid w:val="004561FC"/>
    <w:rsid w:val="00456BF5"/>
    <w:rsid w:val="00462743"/>
    <w:rsid w:val="00471D8D"/>
    <w:rsid w:val="004720CF"/>
    <w:rsid w:val="00480A55"/>
    <w:rsid w:val="00484206"/>
    <w:rsid w:val="00492518"/>
    <w:rsid w:val="004A03F6"/>
    <w:rsid w:val="004A36F0"/>
    <w:rsid w:val="004A6F24"/>
    <w:rsid w:val="004C4279"/>
    <w:rsid w:val="004D646C"/>
    <w:rsid w:val="004E6B15"/>
    <w:rsid w:val="004E788F"/>
    <w:rsid w:val="004F1C73"/>
    <w:rsid w:val="004F3F39"/>
    <w:rsid w:val="004F7ED1"/>
    <w:rsid w:val="00502C26"/>
    <w:rsid w:val="00502F3E"/>
    <w:rsid w:val="00511E47"/>
    <w:rsid w:val="00513FE2"/>
    <w:rsid w:val="00525A8A"/>
    <w:rsid w:val="005261D8"/>
    <w:rsid w:val="00532CC6"/>
    <w:rsid w:val="00533712"/>
    <w:rsid w:val="0053613D"/>
    <w:rsid w:val="00542224"/>
    <w:rsid w:val="00547925"/>
    <w:rsid w:val="00557F2B"/>
    <w:rsid w:val="00562245"/>
    <w:rsid w:val="00567E10"/>
    <w:rsid w:val="00571FD6"/>
    <w:rsid w:val="005730D6"/>
    <w:rsid w:val="005757F2"/>
    <w:rsid w:val="00576371"/>
    <w:rsid w:val="005946B6"/>
    <w:rsid w:val="0059712D"/>
    <w:rsid w:val="005B7A45"/>
    <w:rsid w:val="005C58B0"/>
    <w:rsid w:val="005C6F13"/>
    <w:rsid w:val="005C7ECE"/>
    <w:rsid w:val="005D0FD0"/>
    <w:rsid w:val="005D2400"/>
    <w:rsid w:val="005D6466"/>
    <w:rsid w:val="005D6887"/>
    <w:rsid w:val="005F0C7F"/>
    <w:rsid w:val="00601C4F"/>
    <w:rsid w:val="006034B1"/>
    <w:rsid w:val="00603C78"/>
    <w:rsid w:val="006053AF"/>
    <w:rsid w:val="0060731C"/>
    <w:rsid w:val="0061028D"/>
    <w:rsid w:val="00614223"/>
    <w:rsid w:val="0062039C"/>
    <w:rsid w:val="0063503C"/>
    <w:rsid w:val="00662C7D"/>
    <w:rsid w:val="00663EFE"/>
    <w:rsid w:val="006648B8"/>
    <w:rsid w:val="00672EBA"/>
    <w:rsid w:val="00681D71"/>
    <w:rsid w:val="006833D5"/>
    <w:rsid w:val="006B32B1"/>
    <w:rsid w:val="006B4F2C"/>
    <w:rsid w:val="006C1AFE"/>
    <w:rsid w:val="006C2908"/>
    <w:rsid w:val="006C56FA"/>
    <w:rsid w:val="006C7E26"/>
    <w:rsid w:val="006D50E7"/>
    <w:rsid w:val="006D5A9D"/>
    <w:rsid w:val="006E184C"/>
    <w:rsid w:val="006E2921"/>
    <w:rsid w:val="006E2F6B"/>
    <w:rsid w:val="006E3494"/>
    <w:rsid w:val="006F2956"/>
    <w:rsid w:val="006F6802"/>
    <w:rsid w:val="0070144D"/>
    <w:rsid w:val="0071546B"/>
    <w:rsid w:val="007167AB"/>
    <w:rsid w:val="00716ADD"/>
    <w:rsid w:val="00720622"/>
    <w:rsid w:val="007208E3"/>
    <w:rsid w:val="00723C16"/>
    <w:rsid w:val="0072707E"/>
    <w:rsid w:val="00727763"/>
    <w:rsid w:val="007341D1"/>
    <w:rsid w:val="007367E7"/>
    <w:rsid w:val="00737716"/>
    <w:rsid w:val="00742CA7"/>
    <w:rsid w:val="0074386C"/>
    <w:rsid w:val="00745D9D"/>
    <w:rsid w:val="007509CE"/>
    <w:rsid w:val="00751BCD"/>
    <w:rsid w:val="00753ACD"/>
    <w:rsid w:val="00770787"/>
    <w:rsid w:val="00772398"/>
    <w:rsid w:val="007841F5"/>
    <w:rsid w:val="00792B78"/>
    <w:rsid w:val="00793DA7"/>
    <w:rsid w:val="00796D2C"/>
    <w:rsid w:val="007A32D9"/>
    <w:rsid w:val="007A4AD2"/>
    <w:rsid w:val="007B2776"/>
    <w:rsid w:val="007B4B35"/>
    <w:rsid w:val="007B70A4"/>
    <w:rsid w:val="007C67A8"/>
    <w:rsid w:val="007D2900"/>
    <w:rsid w:val="007E346C"/>
    <w:rsid w:val="007E3927"/>
    <w:rsid w:val="007F0C1A"/>
    <w:rsid w:val="007F5AB3"/>
    <w:rsid w:val="007F7479"/>
    <w:rsid w:val="00800A76"/>
    <w:rsid w:val="00812AF2"/>
    <w:rsid w:val="0082029A"/>
    <w:rsid w:val="0082228F"/>
    <w:rsid w:val="0082261D"/>
    <w:rsid w:val="00826604"/>
    <w:rsid w:val="00827B35"/>
    <w:rsid w:val="0083159F"/>
    <w:rsid w:val="00831AFB"/>
    <w:rsid w:val="00840D50"/>
    <w:rsid w:val="00847B1D"/>
    <w:rsid w:val="008551D6"/>
    <w:rsid w:val="008728DB"/>
    <w:rsid w:val="00876053"/>
    <w:rsid w:val="00881FE3"/>
    <w:rsid w:val="00883956"/>
    <w:rsid w:val="00885073"/>
    <w:rsid w:val="00891ADE"/>
    <w:rsid w:val="008938F5"/>
    <w:rsid w:val="008A1D89"/>
    <w:rsid w:val="008A5C1D"/>
    <w:rsid w:val="008B0F4A"/>
    <w:rsid w:val="008B2211"/>
    <w:rsid w:val="008B2ADE"/>
    <w:rsid w:val="008C21AF"/>
    <w:rsid w:val="008C42CF"/>
    <w:rsid w:val="008D00E8"/>
    <w:rsid w:val="008D1598"/>
    <w:rsid w:val="008E664A"/>
    <w:rsid w:val="008F28D6"/>
    <w:rsid w:val="008F4215"/>
    <w:rsid w:val="008F7287"/>
    <w:rsid w:val="00915EF8"/>
    <w:rsid w:val="00930793"/>
    <w:rsid w:val="00930C94"/>
    <w:rsid w:val="00934EDB"/>
    <w:rsid w:val="0094681F"/>
    <w:rsid w:val="0095209E"/>
    <w:rsid w:val="009558D5"/>
    <w:rsid w:val="0095720D"/>
    <w:rsid w:val="00966464"/>
    <w:rsid w:val="00976EBE"/>
    <w:rsid w:val="00987E16"/>
    <w:rsid w:val="009965AD"/>
    <w:rsid w:val="00997EE2"/>
    <w:rsid w:val="009A3104"/>
    <w:rsid w:val="009B6EAB"/>
    <w:rsid w:val="009C06E0"/>
    <w:rsid w:val="009C3E58"/>
    <w:rsid w:val="009C40FE"/>
    <w:rsid w:val="009C5AA6"/>
    <w:rsid w:val="009C67EF"/>
    <w:rsid w:val="009D2C90"/>
    <w:rsid w:val="009D3A15"/>
    <w:rsid w:val="009E13A8"/>
    <w:rsid w:val="009E5059"/>
    <w:rsid w:val="009F0D3C"/>
    <w:rsid w:val="009F6935"/>
    <w:rsid w:val="00A03415"/>
    <w:rsid w:val="00A03EB6"/>
    <w:rsid w:val="00A05785"/>
    <w:rsid w:val="00A13167"/>
    <w:rsid w:val="00A2085E"/>
    <w:rsid w:val="00A2336A"/>
    <w:rsid w:val="00A45BAD"/>
    <w:rsid w:val="00A5729B"/>
    <w:rsid w:val="00A61227"/>
    <w:rsid w:val="00A71B43"/>
    <w:rsid w:val="00A72221"/>
    <w:rsid w:val="00A7414A"/>
    <w:rsid w:val="00A83E0E"/>
    <w:rsid w:val="00A91249"/>
    <w:rsid w:val="00A91AAA"/>
    <w:rsid w:val="00A9390E"/>
    <w:rsid w:val="00AA3F41"/>
    <w:rsid w:val="00AA5C23"/>
    <w:rsid w:val="00AA7C77"/>
    <w:rsid w:val="00AB00F5"/>
    <w:rsid w:val="00AB14FC"/>
    <w:rsid w:val="00AC0950"/>
    <w:rsid w:val="00AC1649"/>
    <w:rsid w:val="00AC35BF"/>
    <w:rsid w:val="00AD0657"/>
    <w:rsid w:val="00AD0DF3"/>
    <w:rsid w:val="00AE2F21"/>
    <w:rsid w:val="00AF385C"/>
    <w:rsid w:val="00AF4DFF"/>
    <w:rsid w:val="00AF7695"/>
    <w:rsid w:val="00AF7CC6"/>
    <w:rsid w:val="00B07DFD"/>
    <w:rsid w:val="00B24CCC"/>
    <w:rsid w:val="00B32164"/>
    <w:rsid w:val="00B465A0"/>
    <w:rsid w:val="00B46AF1"/>
    <w:rsid w:val="00B47362"/>
    <w:rsid w:val="00B53F8F"/>
    <w:rsid w:val="00B56D7C"/>
    <w:rsid w:val="00B827B3"/>
    <w:rsid w:val="00B87701"/>
    <w:rsid w:val="00BB3DCE"/>
    <w:rsid w:val="00BB483E"/>
    <w:rsid w:val="00BC0017"/>
    <w:rsid w:val="00BC30EE"/>
    <w:rsid w:val="00BC3C90"/>
    <w:rsid w:val="00BC4256"/>
    <w:rsid w:val="00BD56A0"/>
    <w:rsid w:val="00BE6C74"/>
    <w:rsid w:val="00BF2A3B"/>
    <w:rsid w:val="00BF30B9"/>
    <w:rsid w:val="00BF5CCA"/>
    <w:rsid w:val="00C03258"/>
    <w:rsid w:val="00C12C35"/>
    <w:rsid w:val="00C14CCD"/>
    <w:rsid w:val="00C34747"/>
    <w:rsid w:val="00C37447"/>
    <w:rsid w:val="00C37CC1"/>
    <w:rsid w:val="00C37E27"/>
    <w:rsid w:val="00C505C2"/>
    <w:rsid w:val="00C57168"/>
    <w:rsid w:val="00C61B64"/>
    <w:rsid w:val="00C7003E"/>
    <w:rsid w:val="00C71981"/>
    <w:rsid w:val="00C72493"/>
    <w:rsid w:val="00C73E01"/>
    <w:rsid w:val="00C81DDF"/>
    <w:rsid w:val="00C869F5"/>
    <w:rsid w:val="00C920AA"/>
    <w:rsid w:val="00C94359"/>
    <w:rsid w:val="00CA14C0"/>
    <w:rsid w:val="00CB60BE"/>
    <w:rsid w:val="00CD4AFD"/>
    <w:rsid w:val="00CE7889"/>
    <w:rsid w:val="00D00616"/>
    <w:rsid w:val="00D0337D"/>
    <w:rsid w:val="00D03556"/>
    <w:rsid w:val="00D22275"/>
    <w:rsid w:val="00D23D5A"/>
    <w:rsid w:val="00D35718"/>
    <w:rsid w:val="00D41CE9"/>
    <w:rsid w:val="00D5528F"/>
    <w:rsid w:val="00D676D7"/>
    <w:rsid w:val="00D7038D"/>
    <w:rsid w:val="00D71292"/>
    <w:rsid w:val="00D745AE"/>
    <w:rsid w:val="00D770A6"/>
    <w:rsid w:val="00D80195"/>
    <w:rsid w:val="00D950C8"/>
    <w:rsid w:val="00DA3D8C"/>
    <w:rsid w:val="00DB14D1"/>
    <w:rsid w:val="00DB3907"/>
    <w:rsid w:val="00DB4D3D"/>
    <w:rsid w:val="00DC19D2"/>
    <w:rsid w:val="00DC5E0C"/>
    <w:rsid w:val="00DD14C7"/>
    <w:rsid w:val="00DE1040"/>
    <w:rsid w:val="00DE5781"/>
    <w:rsid w:val="00E12960"/>
    <w:rsid w:val="00E22B68"/>
    <w:rsid w:val="00E25C5D"/>
    <w:rsid w:val="00E26855"/>
    <w:rsid w:val="00E31C0D"/>
    <w:rsid w:val="00E3791A"/>
    <w:rsid w:val="00E453DC"/>
    <w:rsid w:val="00E616E7"/>
    <w:rsid w:val="00E738F6"/>
    <w:rsid w:val="00E7390D"/>
    <w:rsid w:val="00E91032"/>
    <w:rsid w:val="00E91659"/>
    <w:rsid w:val="00EA2660"/>
    <w:rsid w:val="00EA2866"/>
    <w:rsid w:val="00EB0062"/>
    <w:rsid w:val="00EB292C"/>
    <w:rsid w:val="00EB3FB4"/>
    <w:rsid w:val="00EB6E9B"/>
    <w:rsid w:val="00EC228C"/>
    <w:rsid w:val="00ED7FFE"/>
    <w:rsid w:val="00EE23F2"/>
    <w:rsid w:val="00EE3E08"/>
    <w:rsid w:val="00EF27DD"/>
    <w:rsid w:val="00EF28B3"/>
    <w:rsid w:val="00F01B6B"/>
    <w:rsid w:val="00F02C0B"/>
    <w:rsid w:val="00F06CAA"/>
    <w:rsid w:val="00F070FC"/>
    <w:rsid w:val="00F13A9A"/>
    <w:rsid w:val="00F142E2"/>
    <w:rsid w:val="00F14977"/>
    <w:rsid w:val="00F22E67"/>
    <w:rsid w:val="00F3053D"/>
    <w:rsid w:val="00F34EBC"/>
    <w:rsid w:val="00F37B62"/>
    <w:rsid w:val="00F45CAC"/>
    <w:rsid w:val="00F5191F"/>
    <w:rsid w:val="00F51F67"/>
    <w:rsid w:val="00F52F10"/>
    <w:rsid w:val="00F676DC"/>
    <w:rsid w:val="00F67811"/>
    <w:rsid w:val="00F77F7C"/>
    <w:rsid w:val="00F83E65"/>
    <w:rsid w:val="00F85401"/>
    <w:rsid w:val="00F86323"/>
    <w:rsid w:val="00FA153A"/>
    <w:rsid w:val="00FA6DCA"/>
    <w:rsid w:val="00FA7470"/>
    <w:rsid w:val="00FB3EFD"/>
    <w:rsid w:val="00FC14E8"/>
    <w:rsid w:val="00FD5ED6"/>
    <w:rsid w:val="00FD6406"/>
    <w:rsid w:val="00FD6E9D"/>
    <w:rsid w:val="00FD70C2"/>
    <w:rsid w:val="00FD7518"/>
    <w:rsid w:val="00FE56B9"/>
    <w:rsid w:val="00FE5E1C"/>
    <w:rsid w:val="00FF2558"/>
    <w:rsid w:val="00FF5DF1"/>
    <w:rsid w:val="01CA773A"/>
    <w:rsid w:val="08F8BC97"/>
    <w:rsid w:val="0A85EB0D"/>
    <w:rsid w:val="0C4C9EEB"/>
    <w:rsid w:val="0E1362BF"/>
    <w:rsid w:val="11C3AB27"/>
    <w:rsid w:val="15A56A6C"/>
    <w:rsid w:val="16DD2A49"/>
    <w:rsid w:val="18C56AF0"/>
    <w:rsid w:val="19DF5ED4"/>
    <w:rsid w:val="272EB69F"/>
    <w:rsid w:val="2BEB5E53"/>
    <w:rsid w:val="2D4C8B3F"/>
    <w:rsid w:val="32D1428C"/>
    <w:rsid w:val="32E5CDBB"/>
    <w:rsid w:val="3798B7D0"/>
    <w:rsid w:val="38ADB769"/>
    <w:rsid w:val="3E60D21E"/>
    <w:rsid w:val="3EE14831"/>
    <w:rsid w:val="3FA1519B"/>
    <w:rsid w:val="40CE11D9"/>
    <w:rsid w:val="4563D849"/>
    <w:rsid w:val="4703417B"/>
    <w:rsid w:val="4CC3049F"/>
    <w:rsid w:val="4D2EEDED"/>
    <w:rsid w:val="4E55ACAF"/>
    <w:rsid w:val="4FBEB49B"/>
    <w:rsid w:val="53D01A0C"/>
    <w:rsid w:val="53F5ABF9"/>
    <w:rsid w:val="545F6007"/>
    <w:rsid w:val="55BCB8CD"/>
    <w:rsid w:val="58890479"/>
    <w:rsid w:val="5944D4D9"/>
    <w:rsid w:val="5A88CA6B"/>
    <w:rsid w:val="60732355"/>
    <w:rsid w:val="60FBEB8A"/>
    <w:rsid w:val="69CB67C2"/>
    <w:rsid w:val="6C983458"/>
    <w:rsid w:val="77057AA9"/>
    <w:rsid w:val="79F9EAE0"/>
    <w:rsid w:val="7BE342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29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F7E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7E346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2AF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2Char">
    <w:name w:val="Heading 2 Char"/>
    <w:basedOn w:val="DefaultParagraphFont"/>
    <w:link w:val="Heading2"/>
    <w:uiPriority w:val="9"/>
    <w:rsid w:val="004F7ED1"/>
    <w:rPr>
      <w:rFonts w:ascii="Times New Roman" w:eastAsia="Times New Roman" w:hAnsi="Times New Roman" w:cs="Times New Roman"/>
      <w:b/>
      <w:bCs/>
      <w:sz w:val="36"/>
      <w:szCs w:val="36"/>
      <w:lang w:eastAsia="en-GB"/>
    </w:rPr>
  </w:style>
  <w:style w:type="character" w:customStyle="1" w:styleId="s1">
    <w:name w:val="s1"/>
    <w:basedOn w:val="DefaultParagraphFont"/>
    <w:rsid w:val="004F7ED1"/>
  </w:style>
  <w:style w:type="paragraph" w:customStyle="1" w:styleId="p2">
    <w:name w:val="p2"/>
    <w:basedOn w:val="Normal"/>
    <w:rsid w:val="004F7E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2">
    <w:name w:val="s2"/>
    <w:basedOn w:val="DefaultParagraphFont"/>
    <w:rsid w:val="004F7ED1"/>
  </w:style>
  <w:style w:type="paragraph" w:customStyle="1" w:styleId="p3">
    <w:name w:val="p3"/>
    <w:basedOn w:val="Normal"/>
    <w:rsid w:val="004F7E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3">
    <w:name w:val="s3"/>
    <w:basedOn w:val="DefaultParagraphFont"/>
    <w:rsid w:val="004F7ED1"/>
  </w:style>
  <w:style w:type="paragraph" w:customStyle="1" w:styleId="p1">
    <w:name w:val="p1"/>
    <w:basedOn w:val="Normal"/>
    <w:rsid w:val="00BD56A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E29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292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6E2921"/>
    <w:pPr>
      <w:pBdr>
        <w:between w:val="double" w:sz="6" w:space="0" w:color="auto"/>
      </w:pBdr>
      <w:spacing w:before="120" w:after="120"/>
      <w:jc w:val="center"/>
    </w:pPr>
    <w:rPr>
      <w:rFonts w:cstheme="minorHAnsi"/>
      <w:i/>
      <w:iCs/>
      <w:sz w:val="20"/>
      <w:szCs w:val="20"/>
    </w:rPr>
  </w:style>
  <w:style w:type="character" w:styleId="Hyperlink">
    <w:name w:val="Hyperlink"/>
    <w:basedOn w:val="DefaultParagraphFont"/>
    <w:uiPriority w:val="99"/>
    <w:unhideWhenUsed/>
    <w:rsid w:val="006E2921"/>
    <w:rPr>
      <w:color w:val="0563C1" w:themeColor="hyperlink"/>
      <w:u w:val="single"/>
    </w:rPr>
  </w:style>
  <w:style w:type="paragraph" w:styleId="TOC1">
    <w:name w:val="toc 1"/>
    <w:basedOn w:val="Normal"/>
    <w:next w:val="Normal"/>
    <w:autoRedefine/>
    <w:uiPriority w:val="39"/>
    <w:unhideWhenUsed/>
    <w:rsid w:val="006E2921"/>
    <w:pPr>
      <w:pBdr>
        <w:between w:val="double" w:sz="6" w:space="0" w:color="auto"/>
      </w:pBdr>
      <w:spacing w:before="120" w:after="120"/>
      <w:jc w:val="center"/>
    </w:pPr>
    <w:rPr>
      <w:rFonts w:cstheme="minorHAnsi"/>
      <w:b/>
      <w:bCs/>
      <w:i/>
      <w:iCs/>
      <w:sz w:val="24"/>
      <w:szCs w:val="24"/>
    </w:rPr>
  </w:style>
  <w:style w:type="paragraph" w:styleId="TOC3">
    <w:name w:val="toc 3"/>
    <w:basedOn w:val="Normal"/>
    <w:next w:val="Normal"/>
    <w:autoRedefine/>
    <w:uiPriority w:val="39"/>
    <w:unhideWhenUsed/>
    <w:rsid w:val="006E2921"/>
    <w:pPr>
      <w:pBdr>
        <w:between w:val="double" w:sz="6" w:space="0" w:color="auto"/>
      </w:pBdr>
      <w:spacing w:before="120" w:after="120"/>
      <w:ind w:left="220"/>
      <w:jc w:val="center"/>
    </w:pPr>
    <w:rPr>
      <w:rFonts w:cstheme="minorHAnsi"/>
      <w:sz w:val="20"/>
      <w:szCs w:val="20"/>
    </w:rPr>
  </w:style>
  <w:style w:type="paragraph" w:styleId="TOC4">
    <w:name w:val="toc 4"/>
    <w:basedOn w:val="Normal"/>
    <w:next w:val="Normal"/>
    <w:autoRedefine/>
    <w:uiPriority w:val="39"/>
    <w:semiHidden/>
    <w:unhideWhenUsed/>
    <w:rsid w:val="006E2921"/>
    <w:pPr>
      <w:pBdr>
        <w:between w:val="double" w:sz="6" w:space="0" w:color="auto"/>
      </w:pBdr>
      <w:spacing w:before="120" w:after="120"/>
      <w:ind w:left="440"/>
      <w:jc w:val="center"/>
    </w:pPr>
    <w:rPr>
      <w:rFonts w:cstheme="minorHAnsi"/>
      <w:sz w:val="20"/>
      <w:szCs w:val="20"/>
    </w:rPr>
  </w:style>
  <w:style w:type="paragraph" w:styleId="TOC5">
    <w:name w:val="toc 5"/>
    <w:basedOn w:val="Normal"/>
    <w:next w:val="Normal"/>
    <w:autoRedefine/>
    <w:uiPriority w:val="39"/>
    <w:semiHidden/>
    <w:unhideWhenUsed/>
    <w:rsid w:val="006E2921"/>
    <w:pPr>
      <w:pBdr>
        <w:between w:val="double" w:sz="6" w:space="0" w:color="auto"/>
      </w:pBdr>
      <w:spacing w:before="120" w:after="120"/>
      <w:ind w:left="660"/>
      <w:jc w:val="center"/>
    </w:pPr>
    <w:rPr>
      <w:rFonts w:cstheme="minorHAnsi"/>
      <w:sz w:val="20"/>
      <w:szCs w:val="20"/>
    </w:rPr>
  </w:style>
  <w:style w:type="paragraph" w:styleId="TOC6">
    <w:name w:val="toc 6"/>
    <w:basedOn w:val="Normal"/>
    <w:next w:val="Normal"/>
    <w:autoRedefine/>
    <w:uiPriority w:val="39"/>
    <w:semiHidden/>
    <w:unhideWhenUsed/>
    <w:rsid w:val="006E2921"/>
    <w:pPr>
      <w:pBdr>
        <w:between w:val="double" w:sz="6" w:space="0" w:color="auto"/>
      </w:pBdr>
      <w:spacing w:before="120" w:after="120"/>
      <w:ind w:left="880"/>
      <w:jc w:val="center"/>
    </w:pPr>
    <w:rPr>
      <w:rFonts w:cstheme="minorHAnsi"/>
      <w:sz w:val="20"/>
      <w:szCs w:val="20"/>
    </w:rPr>
  </w:style>
  <w:style w:type="paragraph" w:styleId="TOC7">
    <w:name w:val="toc 7"/>
    <w:basedOn w:val="Normal"/>
    <w:next w:val="Normal"/>
    <w:autoRedefine/>
    <w:uiPriority w:val="39"/>
    <w:semiHidden/>
    <w:unhideWhenUsed/>
    <w:rsid w:val="006E2921"/>
    <w:pPr>
      <w:pBdr>
        <w:between w:val="double" w:sz="6" w:space="0" w:color="auto"/>
      </w:pBdr>
      <w:spacing w:before="120" w:after="120"/>
      <w:ind w:left="1100"/>
      <w:jc w:val="center"/>
    </w:pPr>
    <w:rPr>
      <w:rFonts w:cstheme="minorHAnsi"/>
      <w:sz w:val="20"/>
      <w:szCs w:val="20"/>
    </w:rPr>
  </w:style>
  <w:style w:type="paragraph" w:styleId="TOC8">
    <w:name w:val="toc 8"/>
    <w:basedOn w:val="Normal"/>
    <w:next w:val="Normal"/>
    <w:autoRedefine/>
    <w:uiPriority w:val="39"/>
    <w:semiHidden/>
    <w:unhideWhenUsed/>
    <w:rsid w:val="006E2921"/>
    <w:pPr>
      <w:pBdr>
        <w:between w:val="double" w:sz="6" w:space="0" w:color="auto"/>
      </w:pBdr>
      <w:spacing w:before="120" w:after="120"/>
      <w:ind w:left="1320"/>
      <w:jc w:val="center"/>
    </w:pPr>
    <w:rPr>
      <w:rFonts w:cstheme="minorHAnsi"/>
      <w:sz w:val="20"/>
      <w:szCs w:val="20"/>
    </w:rPr>
  </w:style>
  <w:style w:type="paragraph" w:styleId="TOC9">
    <w:name w:val="toc 9"/>
    <w:basedOn w:val="Normal"/>
    <w:next w:val="Normal"/>
    <w:autoRedefine/>
    <w:uiPriority w:val="39"/>
    <w:semiHidden/>
    <w:unhideWhenUsed/>
    <w:rsid w:val="006E2921"/>
    <w:pPr>
      <w:pBdr>
        <w:between w:val="double" w:sz="6" w:space="0" w:color="auto"/>
      </w:pBdr>
      <w:spacing w:before="120" w:after="120"/>
      <w:ind w:left="1540"/>
      <w:jc w:val="center"/>
    </w:pPr>
    <w:rPr>
      <w:rFonts w:cstheme="minorHAnsi"/>
      <w:sz w:val="20"/>
      <w:szCs w:val="20"/>
    </w:rPr>
  </w:style>
  <w:style w:type="character" w:customStyle="1" w:styleId="Heading3Char">
    <w:name w:val="Heading 3 Char"/>
    <w:basedOn w:val="DefaultParagraphFont"/>
    <w:link w:val="Heading3"/>
    <w:uiPriority w:val="9"/>
    <w:rsid w:val="007E346C"/>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DC5E0C"/>
    <w:pPr>
      <w:spacing w:after="0" w:line="240" w:lineRule="auto"/>
    </w:pPr>
    <w:tblPr/>
  </w:style>
  <w:style w:type="table" w:styleId="PlainTable5">
    <w:name w:val="Plain Table 5"/>
    <w:basedOn w:val="TableNormal"/>
    <w:uiPriority w:val="45"/>
    <w:rsid w:val="00B24CCC"/>
    <w:pPr>
      <w:spacing w:after="0" w:line="240" w:lineRule="auto"/>
    </w:pPr>
    <w:tblPr>
      <w:tblStyleRowBandSize w:val="1"/>
      <w:tblStyleColBandSize w:val="1"/>
    </w:tblPr>
    <w:tcPr>
      <w:shd w:val="clear" w:color="auto" w:fill="FFFFFF" w:themeFill="background1"/>
    </w:tc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B24CCC"/>
    <w:pPr>
      <w:spacing w:after="0" w:line="240" w:lineRule="auto"/>
    </w:pPr>
    <w:tblPr/>
    <w:tblStylePr w:type="firstRow">
      <w:rPr>
        <w:b/>
        <w:bCs/>
      </w:rPr>
    </w:tblStylePr>
    <w:tblStylePr w:type="lastRow">
      <w:rPr>
        <w:b/>
        <w:bCs/>
      </w:rPr>
    </w:tblStylePr>
    <w:tblStylePr w:type="firstCol">
      <w:rPr>
        <w:b/>
        <w:bCs/>
      </w:rPr>
    </w:tblStylePr>
    <w:tblStylePr w:type="lastCol">
      <w:rPr>
        <w:b/>
        <w:bCs/>
      </w:rPr>
    </w:tblStylePr>
  </w:style>
  <w:style w:type="table" w:styleId="PlainTable3">
    <w:name w:val="Plain Table 3"/>
    <w:basedOn w:val="TableNormal"/>
    <w:uiPriority w:val="43"/>
    <w:rsid w:val="00B24CCC"/>
    <w:pPr>
      <w:spacing w:after="0" w:line="240" w:lineRule="auto"/>
    </w:pPr>
    <w:tblPr>
      <w:tblStyleRowBandSize w:val="1"/>
      <w:tblStyleColBandSize w:val="1"/>
    </w:tblPr>
    <w:tcPr>
      <w:tcBorders>
        <w:bottom w:val="single" w:sz="4" w:space="0" w:color="7F7F7F" w:themeColor="text1" w:themeTint="80"/>
        <w:right w:val="single" w:sz="4" w:space="0" w:color="7F7F7F" w:themeColor="text1" w:themeTint="80"/>
      </w:tcBorders>
    </w:tcPr>
    <w:tblStylePr w:type="firstRow">
      <w:rPr>
        <w:b/>
        <w:bCs/>
        <w:caps/>
      </w:rPr>
    </w:tblStylePr>
    <w:tblStylePr w:type="lastRow">
      <w:rPr>
        <w:b/>
        <w:bCs/>
        <w:caps/>
      </w:rPr>
    </w:tblStylePr>
    <w:tblStylePr w:type="firstCol">
      <w:rPr>
        <w:b/>
        <w:bCs/>
        <w:caps/>
      </w:rPr>
    </w:tblStylePr>
    <w:tblStylePr w:type="lastCol">
      <w:rPr>
        <w:b/>
        <w:bCs/>
        <w:caps/>
      </w:r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B24CC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24CCC"/>
    <w:pPr>
      <w:spacing w:after="0" w:line="240" w:lineRule="auto"/>
    </w:pPr>
    <w:tblPr>
      <w:tblStyleRowBandSize w:val="1"/>
      <w:tblStyleColBandSize w:val="1"/>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24CCC"/>
    <w:pPr>
      <w:spacing w:after="0" w:line="240" w:lineRule="auto"/>
    </w:pPr>
    <w:tblPr/>
  </w:style>
  <w:style w:type="table" w:styleId="GridTable1Light-Accent1">
    <w:name w:val="Grid Table 1 Light Accent 1"/>
    <w:basedOn w:val="TableNormal"/>
    <w:uiPriority w:val="46"/>
    <w:rsid w:val="00B24CCC"/>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24CCC"/>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B24CCC"/>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24CCC"/>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B24CCC"/>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B24CCC"/>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
    <w:name w:val="Grid Table 2"/>
    <w:basedOn w:val="TableNormal"/>
    <w:uiPriority w:val="47"/>
    <w:rsid w:val="00B24CCC"/>
    <w:pPr>
      <w:spacing w:after="0" w:line="240" w:lineRule="auto"/>
    </w:pPr>
    <w:tblPr>
      <w:tblStyleRowBandSize w:val="1"/>
      <w:tblStyleColBandSize w:val="1"/>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770A6"/>
    <w:pPr>
      <w:spacing w:after="0" w:line="240" w:lineRule="auto"/>
    </w:pPr>
    <w:tblPr>
      <w:tblStyleRowBandSize w:val="1"/>
      <w:tblStyleColBandSize w:val="1"/>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2">
    <w:name w:val="Grid Table 2 Accent 2"/>
    <w:basedOn w:val="TableNormal"/>
    <w:uiPriority w:val="47"/>
    <w:rsid w:val="00D770A6"/>
    <w:pPr>
      <w:spacing w:after="0" w:line="240" w:lineRule="auto"/>
    </w:pPr>
    <w:tblPr>
      <w:tblStyleRowBandSize w:val="1"/>
      <w:tblStyleColBandSize w:val="1"/>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3">
    <w:name w:val="Grid Table 2 Accent 3"/>
    <w:basedOn w:val="TableNormal"/>
    <w:uiPriority w:val="47"/>
    <w:rsid w:val="00D770A6"/>
    <w:pPr>
      <w:spacing w:after="0" w:line="240" w:lineRule="auto"/>
    </w:pPr>
    <w:tblPr>
      <w:tblStyleRowBandSize w:val="1"/>
      <w:tblStyleColBandSize w:val="1"/>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5">
    <w:name w:val="Grid Table 2 Accent 5"/>
    <w:basedOn w:val="TableNormal"/>
    <w:uiPriority w:val="47"/>
    <w:rsid w:val="00D770A6"/>
    <w:pPr>
      <w:spacing w:after="0" w:line="240" w:lineRule="auto"/>
    </w:pPr>
    <w:tblPr>
      <w:tblStyleRowBandSize w:val="1"/>
      <w:tblStyleColBandSize w:val="1"/>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2-Accent6">
    <w:name w:val="Grid Table 2 Accent 6"/>
    <w:basedOn w:val="TableNormal"/>
    <w:uiPriority w:val="47"/>
    <w:rsid w:val="00D770A6"/>
    <w:pPr>
      <w:spacing w:after="0" w:line="240" w:lineRule="auto"/>
    </w:pPr>
    <w:tblPr>
      <w:tblStyleRowBandSize w:val="1"/>
      <w:tblStyleColBandSize w:val="1"/>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D770A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4">
    <w:name w:val="Grid Table 4"/>
    <w:basedOn w:val="TableNormal"/>
    <w:uiPriority w:val="49"/>
    <w:rsid w:val="00D770A6"/>
    <w:pPr>
      <w:spacing w:after="0" w:line="240" w:lineRule="auto"/>
    </w:pPr>
    <w:tblPr>
      <w:tblStyleRowBandSize w:val="1"/>
      <w:tblStyleColBandSize w:val="1"/>
    </w:tblPr>
    <w:tcPr>
      <w:shd w:val="clear" w:color="auto" w:fill="CCCCCC" w:themeFill="text1" w:themeFillTint="33"/>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style>
  <w:style w:type="table" w:styleId="GridTable4-Accent1">
    <w:name w:val="Grid Table 4 Accent 1"/>
    <w:basedOn w:val="TableNormal"/>
    <w:uiPriority w:val="49"/>
    <w:rsid w:val="00D770A6"/>
    <w:pPr>
      <w:spacing w:after="0" w:line="240" w:lineRule="auto"/>
    </w:pPr>
    <w:tblPr>
      <w:tblStyleRowBandSize w:val="1"/>
      <w:tblStyleColBandSize w:val="1"/>
    </w:tblPr>
    <w:tcPr>
      <w:shd w:val="clear" w:color="auto" w:fill="D9E2F3" w:themeFill="accent1" w:themeFillTint="33"/>
    </w:tc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style>
  <w:style w:type="table" w:styleId="GridTable4-Accent2">
    <w:name w:val="Grid Table 4 Accent 2"/>
    <w:basedOn w:val="TableNormal"/>
    <w:uiPriority w:val="49"/>
    <w:rsid w:val="00D770A6"/>
    <w:pPr>
      <w:spacing w:after="0" w:line="240" w:lineRule="auto"/>
    </w:pPr>
    <w:tblPr>
      <w:tblStyleRowBandSize w:val="1"/>
      <w:tblStyleColBandSize w:val="1"/>
    </w:tblPr>
    <w:tcPr>
      <w:shd w:val="clear" w:color="auto" w:fill="FBE4D5" w:themeFill="accent2" w:themeFillTint="33"/>
    </w:tc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style>
  <w:style w:type="table" w:styleId="GridTable4-Accent3">
    <w:name w:val="Grid Table 4 Accent 3"/>
    <w:basedOn w:val="TableNormal"/>
    <w:uiPriority w:val="49"/>
    <w:rsid w:val="00D770A6"/>
    <w:pPr>
      <w:spacing w:after="0" w:line="240" w:lineRule="auto"/>
    </w:pPr>
    <w:tblPr>
      <w:tblStyleRowBandSize w:val="1"/>
      <w:tblStyleColBandSize w:val="1"/>
    </w:tblPr>
    <w:tcPr>
      <w:shd w:val="clear" w:color="auto" w:fill="EDEDED" w:themeFill="accent3" w:themeFillTint="33"/>
    </w:tc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style>
  <w:style w:type="table" w:styleId="GridTable4-Accent4">
    <w:name w:val="Grid Table 4 Accent 4"/>
    <w:basedOn w:val="TableNormal"/>
    <w:uiPriority w:val="49"/>
    <w:rsid w:val="00D770A6"/>
    <w:pPr>
      <w:spacing w:after="0" w:line="240" w:lineRule="auto"/>
    </w:pPr>
    <w:tblPr>
      <w:tblStyleRowBandSize w:val="1"/>
      <w:tblStyleColBandSize w:val="1"/>
    </w:tblPr>
    <w:tcPr>
      <w:shd w:val="clear" w:color="auto" w:fill="FFF2CC" w:themeFill="accent4" w:themeFillTint="33"/>
    </w:tc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style>
  <w:style w:type="table" w:styleId="GridTable3-Accent4">
    <w:name w:val="Grid Table 3 Accent 4"/>
    <w:basedOn w:val="TableNormal"/>
    <w:uiPriority w:val="48"/>
    <w:rsid w:val="00D770A6"/>
    <w:pPr>
      <w:spacing w:after="0" w:line="240" w:lineRule="auto"/>
    </w:pPr>
    <w:tblPr>
      <w:tblStyleRowBandSize w:val="1"/>
      <w:tblStyleColBandSize w:val="1"/>
    </w:tblPr>
    <w:tcPr>
      <w:tcBorders>
        <w:top w:val="nil"/>
        <w:bottom w:val="nil"/>
        <w:right w:val="nil"/>
        <w:insideH w:val="nil"/>
        <w:insideV w:val="nil"/>
      </w:tcBorders>
      <w:shd w:val="clear" w:color="auto" w:fill="FFF2CC" w:themeFill="accent4" w:themeFillTint="33"/>
    </w:tc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6">
    <w:name w:val="Grid Table 3 Accent 6"/>
    <w:basedOn w:val="TableNormal"/>
    <w:uiPriority w:val="48"/>
    <w:rsid w:val="0095209E"/>
    <w:pPr>
      <w:spacing w:after="0" w:line="240" w:lineRule="auto"/>
    </w:pPr>
    <w:tblPr>
      <w:tblStyleRowBandSize w:val="1"/>
      <w:tblStyleColBandSize w:val="1"/>
    </w:tblPr>
    <w:tcPr>
      <w:tcBorders>
        <w:top w:val="nil"/>
        <w:bottom w:val="nil"/>
        <w:right w:val="nil"/>
        <w:insideH w:val="nil"/>
        <w:insideV w:val="nil"/>
      </w:tcBorders>
      <w:shd w:val="clear" w:color="auto" w:fill="E2EFD9" w:themeFill="accent6" w:themeFillTint="33"/>
    </w:tc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3-Accent2">
    <w:name w:val="Grid Table 3 Accent 2"/>
    <w:basedOn w:val="TableNormal"/>
    <w:uiPriority w:val="48"/>
    <w:rsid w:val="0095209E"/>
    <w:pPr>
      <w:spacing w:after="0" w:line="240" w:lineRule="auto"/>
    </w:pPr>
    <w:tblPr>
      <w:tblStyleRowBandSize w:val="1"/>
      <w:tblStyleColBandSize w:val="1"/>
    </w:tblPr>
    <w:tcPr>
      <w:tcBorders>
        <w:top w:val="nil"/>
        <w:bottom w:val="nil"/>
        <w:right w:val="nil"/>
        <w:insideH w:val="nil"/>
        <w:insideV w:val="nil"/>
      </w:tcBorders>
      <w:shd w:val="clear" w:color="auto" w:fill="FBE4D5" w:themeFill="accent2" w:themeFillTint="33"/>
    </w:tc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3-Accent1">
    <w:name w:val="Grid Table 3 Accent 1"/>
    <w:basedOn w:val="TableNormal"/>
    <w:uiPriority w:val="48"/>
    <w:rsid w:val="0095209E"/>
    <w:pPr>
      <w:spacing w:after="0" w:line="240" w:lineRule="auto"/>
    </w:pPr>
    <w:tblPr>
      <w:tblStyleRowBandSize w:val="1"/>
      <w:tblStyleColBandSize w:val="1"/>
    </w:tblPr>
    <w:tcPr>
      <w:tcBorders>
        <w:top w:val="nil"/>
        <w:bottom w:val="nil"/>
        <w:right w:val="nil"/>
        <w:insideH w:val="nil"/>
        <w:insideV w:val="nil"/>
      </w:tcBorders>
      <w:shd w:val="clear" w:color="auto" w:fill="D9E2F3" w:themeFill="accent1" w:themeFillTint="33"/>
    </w:tc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6ColourfulAccent1">
    <w:name w:val="Grid Table 6 Colorful Accent 1"/>
    <w:basedOn w:val="TableNormal"/>
    <w:uiPriority w:val="51"/>
    <w:rsid w:val="0095209E"/>
    <w:pPr>
      <w:spacing w:after="0" w:line="240" w:lineRule="auto"/>
    </w:pPr>
    <w:rPr>
      <w:color w:val="2F5496" w:themeColor="accent1" w:themeShade="BF"/>
    </w:rPr>
    <w:tblPr>
      <w:tblStyleRowBandSize w:val="1"/>
      <w:tblStyleColBandSize w:val="1"/>
    </w:tblPr>
    <w:tcPr>
      <w:tcBorders>
        <w:top w:val="double" w:sz="4" w:space="0" w:color="8EAADB" w:themeColor="accent1" w:themeTint="99"/>
      </w:tcBorders>
      <w:shd w:val="clear" w:color="auto" w:fill="D9E2F3" w:themeFill="accent1" w:themeFillTint="33"/>
    </w:tcPr>
    <w:tblStylePr w:type="firstRow">
      <w:rPr>
        <w:b/>
        <w:bCs/>
      </w:rPr>
      <w:tblPr/>
      <w:tcPr>
        <w:tcBorders>
          <w:bottom w:val="single" w:sz="12" w:space="0" w:color="8EAADB" w:themeColor="accent1" w:themeTint="99"/>
        </w:tcBorders>
      </w:tcPr>
    </w:tblStylePr>
    <w:tblStylePr w:type="lastRow">
      <w:rPr>
        <w:b/>
        <w:bCs/>
      </w:rPr>
    </w:tblStylePr>
    <w:tblStylePr w:type="firstCol">
      <w:rPr>
        <w:b/>
        <w:bCs/>
      </w:rPr>
    </w:tblStylePr>
    <w:tblStylePr w:type="lastCol">
      <w:rPr>
        <w:b/>
        <w:bCs/>
      </w:rPr>
    </w:tblStylePr>
  </w:style>
  <w:style w:type="table" w:styleId="GridTable6Colourful">
    <w:name w:val="Grid Table 6 Colorful"/>
    <w:basedOn w:val="TableNormal"/>
    <w:uiPriority w:val="51"/>
    <w:rsid w:val="0095209E"/>
    <w:pPr>
      <w:spacing w:after="0" w:line="240" w:lineRule="auto"/>
    </w:pPr>
    <w:rPr>
      <w:color w:val="000000" w:themeColor="text1"/>
    </w:rPr>
    <w:tblPr>
      <w:tblStyleRowBandSize w:val="1"/>
      <w:tblStyleColBandSize w:val="1"/>
    </w:tblPr>
    <w:tcPr>
      <w:tcBorders>
        <w:top w:val="double" w:sz="4" w:space="0" w:color="666666" w:themeColor="text1" w:themeTint="99"/>
      </w:tcBorders>
      <w:shd w:val="clear" w:color="auto" w:fill="CCCCCC" w:themeFill="text1" w:themeFillTint="33"/>
    </w:tcPr>
    <w:tblStylePr w:type="firstRow">
      <w:rPr>
        <w:b/>
        <w:bCs/>
      </w:rPr>
      <w:tblPr/>
      <w:tcPr>
        <w:tcBorders>
          <w:bottom w:val="single" w:sz="12" w:space="0" w:color="666666" w:themeColor="text1" w:themeTint="99"/>
        </w:tcBorders>
      </w:tcPr>
    </w:tblStylePr>
    <w:tblStylePr w:type="lastRow">
      <w:rPr>
        <w:b/>
        <w:bCs/>
      </w:rPr>
    </w:tblStylePr>
    <w:tblStylePr w:type="firstCol">
      <w:rPr>
        <w:b/>
        <w:bCs/>
      </w:rPr>
    </w:tblStylePr>
    <w:tblStylePr w:type="lastCol">
      <w:rPr>
        <w:b/>
        <w:bCs/>
      </w:rPr>
    </w:tblStylePr>
  </w:style>
  <w:style w:type="table" w:styleId="GridTable5Dark-Accent6">
    <w:name w:val="Grid Table 5 Dark Accent 6"/>
    <w:basedOn w:val="TableNormal"/>
    <w:uiPriority w:val="50"/>
    <w:rsid w:val="0095209E"/>
    <w:pPr>
      <w:spacing w:after="0" w:line="240" w:lineRule="auto"/>
    </w:pPr>
    <w:tblPr>
      <w:tblStyleRowBandSize w:val="1"/>
      <w:tblStyleColBandSize w:val="1"/>
    </w:tblPr>
    <w:tcPr>
      <w:tcBorders>
        <w:insideV w:val="nil"/>
      </w:tcBorders>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StylePr>
  </w:style>
  <w:style w:type="table" w:styleId="GridTable5Dark-Accent5">
    <w:name w:val="Grid Table 5 Dark Accent 5"/>
    <w:basedOn w:val="TableNormal"/>
    <w:uiPriority w:val="50"/>
    <w:rsid w:val="0095209E"/>
    <w:pPr>
      <w:spacing w:after="0" w:line="240" w:lineRule="auto"/>
    </w:pPr>
    <w:tblPr>
      <w:tblStyleRowBandSize w:val="1"/>
      <w:tblStyleColBandSize w:val="1"/>
    </w:tblPr>
    <w:tcPr>
      <w:tcBorders>
        <w:insideV w:val="nil"/>
      </w:tcBorders>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StylePr>
  </w:style>
  <w:style w:type="table" w:styleId="GridTable5Dark-Accent3">
    <w:name w:val="Grid Table 5 Dark Accent 3"/>
    <w:basedOn w:val="TableNormal"/>
    <w:uiPriority w:val="50"/>
    <w:rsid w:val="0095209E"/>
    <w:pPr>
      <w:spacing w:after="0" w:line="240" w:lineRule="auto"/>
    </w:pPr>
    <w:tblPr>
      <w:tblStyleRowBandSize w:val="1"/>
      <w:tblStyleColBandSize w:val="1"/>
    </w:tblPr>
    <w:tcPr>
      <w:tcBorders>
        <w:insideV w:val="nil"/>
      </w:tcBorders>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StylePr>
  </w:style>
  <w:style w:type="table" w:styleId="GridTable5Dark-Accent2">
    <w:name w:val="Grid Table 5 Dark Accent 2"/>
    <w:basedOn w:val="TableNormal"/>
    <w:uiPriority w:val="50"/>
    <w:rsid w:val="0095209E"/>
    <w:pPr>
      <w:spacing w:after="0" w:line="240" w:lineRule="auto"/>
    </w:pPr>
    <w:tblPr>
      <w:tblStyleRowBandSize w:val="1"/>
      <w:tblStyleColBandSize w:val="1"/>
    </w:tblPr>
    <w:tcPr>
      <w:tcBorders>
        <w:insideV w:val="nil"/>
      </w:tcBorders>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StylePr>
  </w:style>
  <w:style w:type="table" w:styleId="GridTable5Dark-Accent1">
    <w:name w:val="Grid Table 5 Dark Accent 1"/>
    <w:basedOn w:val="TableNormal"/>
    <w:uiPriority w:val="50"/>
    <w:rsid w:val="0095209E"/>
    <w:pPr>
      <w:spacing w:after="0" w:line="240" w:lineRule="auto"/>
    </w:pPr>
    <w:tblPr>
      <w:tblStyleRowBandSize w:val="1"/>
      <w:tblStyleColBandSize w:val="1"/>
    </w:tblPr>
    <w:tcPr>
      <w:tcBorders>
        <w:insideV w:val="nil"/>
      </w:tcBorders>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StylePr>
  </w:style>
  <w:style w:type="table" w:styleId="GridTable6ColourfulAccent2">
    <w:name w:val="Grid Table 6 Colorful Accent 2"/>
    <w:basedOn w:val="TableNormal"/>
    <w:uiPriority w:val="51"/>
    <w:rsid w:val="0095209E"/>
    <w:pPr>
      <w:spacing w:after="0" w:line="240" w:lineRule="auto"/>
    </w:pPr>
    <w:rPr>
      <w:color w:val="C45911" w:themeColor="accent2" w:themeShade="BF"/>
    </w:rPr>
    <w:tblPr>
      <w:tblStyleRowBandSize w:val="1"/>
      <w:tblStyleColBandSize w:val="1"/>
    </w:tblPr>
    <w:tcPr>
      <w:tcBorders>
        <w:top w:val="double" w:sz="4" w:space="0" w:color="F4B083" w:themeColor="accent2" w:themeTint="99"/>
      </w:tcBorders>
      <w:shd w:val="clear" w:color="auto" w:fill="FBE4D5" w:themeFill="accent2" w:themeFillTint="33"/>
    </w:tcPr>
    <w:tblStylePr w:type="firstRow">
      <w:rPr>
        <w:b/>
        <w:bCs/>
      </w:rPr>
      <w:tblPr/>
      <w:tcPr>
        <w:tcBorders>
          <w:bottom w:val="single" w:sz="12" w:space="0" w:color="F4B083" w:themeColor="accent2" w:themeTint="99"/>
        </w:tcBorders>
      </w:tcPr>
    </w:tblStylePr>
    <w:tblStylePr w:type="lastRow">
      <w:rPr>
        <w:b/>
        <w:bCs/>
      </w:rPr>
    </w:tblStylePr>
    <w:tblStylePr w:type="firstCol">
      <w:rPr>
        <w:b/>
        <w:bCs/>
      </w:rPr>
    </w:tblStylePr>
    <w:tblStylePr w:type="lastCol">
      <w:rPr>
        <w:b/>
        <w:bCs/>
      </w:rPr>
    </w:tblStylePr>
  </w:style>
  <w:style w:type="table" w:styleId="GridTable6ColourfulAccent3">
    <w:name w:val="Grid Table 6 Colorful Accent 3"/>
    <w:basedOn w:val="TableNormal"/>
    <w:uiPriority w:val="51"/>
    <w:rsid w:val="0095209E"/>
    <w:pPr>
      <w:spacing w:after="0" w:line="240" w:lineRule="auto"/>
    </w:pPr>
    <w:rPr>
      <w:color w:val="7B7B7B" w:themeColor="accent3" w:themeShade="BF"/>
    </w:rPr>
    <w:tblPr>
      <w:tblStyleRowBandSize w:val="1"/>
      <w:tblStyleColBandSize w:val="1"/>
    </w:tblPr>
    <w:tcPr>
      <w:tcBorders>
        <w:top w:val="double" w:sz="4" w:space="0" w:color="C9C9C9" w:themeColor="accent3" w:themeTint="99"/>
      </w:tcBorders>
      <w:shd w:val="clear" w:color="auto" w:fill="EDEDED" w:themeFill="accent3" w:themeFillTint="33"/>
    </w:tcPr>
    <w:tblStylePr w:type="firstRow">
      <w:rPr>
        <w:b/>
        <w:bCs/>
      </w:rPr>
      <w:tblPr/>
      <w:tcPr>
        <w:tcBorders>
          <w:bottom w:val="single" w:sz="12" w:space="0" w:color="C9C9C9" w:themeColor="accent3" w:themeTint="99"/>
        </w:tcBorders>
      </w:tcPr>
    </w:tblStylePr>
    <w:tblStylePr w:type="lastRow">
      <w:rPr>
        <w:b/>
        <w:bCs/>
      </w:rPr>
    </w:tblStylePr>
    <w:tblStylePr w:type="firstCol">
      <w:rPr>
        <w:b/>
        <w:bCs/>
      </w:rPr>
    </w:tblStylePr>
    <w:tblStylePr w:type="lastCol">
      <w:rPr>
        <w:b/>
        <w:bCs/>
      </w:rPr>
    </w:tblStylePr>
  </w:style>
  <w:style w:type="table" w:styleId="GridTable6ColourfulAccent4">
    <w:name w:val="Grid Table 6 Colorful Accent 4"/>
    <w:basedOn w:val="TableNormal"/>
    <w:uiPriority w:val="51"/>
    <w:rsid w:val="0095209E"/>
    <w:pPr>
      <w:spacing w:after="0" w:line="240" w:lineRule="auto"/>
    </w:pPr>
    <w:rPr>
      <w:color w:val="BF8F00" w:themeColor="accent4" w:themeShade="BF"/>
    </w:rPr>
    <w:tblPr>
      <w:tblStyleRowBandSize w:val="1"/>
      <w:tblStyleColBandSize w:val="1"/>
    </w:tblPr>
    <w:tcPr>
      <w:tcBorders>
        <w:top w:val="double" w:sz="4" w:space="0" w:color="FFD966" w:themeColor="accent4" w:themeTint="99"/>
      </w:tcBorders>
      <w:shd w:val="clear" w:color="auto" w:fill="FFF2CC" w:themeFill="accent4" w:themeFillTint="33"/>
    </w:tcPr>
    <w:tblStylePr w:type="firstRow">
      <w:rPr>
        <w:b/>
        <w:bCs/>
      </w:rPr>
      <w:tblPr/>
      <w:tcPr>
        <w:tcBorders>
          <w:bottom w:val="single" w:sz="12" w:space="0" w:color="FFD966" w:themeColor="accent4" w:themeTint="99"/>
        </w:tcBorders>
      </w:tcPr>
    </w:tblStylePr>
    <w:tblStylePr w:type="lastRow">
      <w:rPr>
        <w:b/>
        <w:bCs/>
      </w:rPr>
    </w:tblStylePr>
    <w:tblStylePr w:type="firstCol">
      <w:rPr>
        <w:b/>
        <w:bCs/>
      </w:rPr>
    </w:tblStylePr>
    <w:tblStylePr w:type="lastCol">
      <w:rPr>
        <w:b/>
        <w:bCs/>
      </w:rPr>
    </w:tblStylePr>
  </w:style>
  <w:style w:type="table" w:styleId="GridTable6ColourfulAccent5">
    <w:name w:val="Grid Table 6 Colorful Accent 5"/>
    <w:basedOn w:val="TableNormal"/>
    <w:uiPriority w:val="51"/>
    <w:rsid w:val="0095209E"/>
    <w:pPr>
      <w:spacing w:after="0" w:line="240" w:lineRule="auto"/>
    </w:pPr>
    <w:rPr>
      <w:color w:val="2E74B5" w:themeColor="accent5" w:themeShade="BF"/>
    </w:rPr>
    <w:tblPr>
      <w:tblStyleRowBandSize w:val="1"/>
      <w:tblStyleColBandSize w:val="1"/>
    </w:tblPr>
    <w:tcPr>
      <w:tcBorders>
        <w:top w:val="double" w:sz="4" w:space="0" w:color="9CC2E5" w:themeColor="accent5" w:themeTint="99"/>
      </w:tcBorders>
      <w:shd w:val="clear" w:color="auto" w:fill="DEEAF6" w:themeFill="accent5" w:themeFillTint="33"/>
    </w:tcPr>
    <w:tblStylePr w:type="firstRow">
      <w:rPr>
        <w:b/>
        <w:bCs/>
      </w:rPr>
      <w:tblPr/>
      <w:tcPr>
        <w:tcBorders>
          <w:bottom w:val="single" w:sz="12" w:space="0" w:color="9CC2E5" w:themeColor="accent5" w:themeTint="99"/>
        </w:tcBorders>
      </w:tcPr>
    </w:tblStylePr>
    <w:tblStylePr w:type="lastRow">
      <w:rPr>
        <w:b/>
        <w:bCs/>
      </w:rPr>
    </w:tblStylePr>
    <w:tblStylePr w:type="firstCol">
      <w:rPr>
        <w:b/>
        <w:bCs/>
      </w:rPr>
    </w:tblStylePr>
    <w:tblStylePr w:type="lastCol">
      <w:rPr>
        <w:b/>
        <w:bCs/>
      </w:rPr>
    </w:tblStylePr>
  </w:style>
  <w:style w:type="table" w:styleId="GridTable7ColourfulAccent5">
    <w:name w:val="Grid Table 7 Colorful Accent 5"/>
    <w:basedOn w:val="TableNormal"/>
    <w:uiPriority w:val="52"/>
    <w:rsid w:val="0095209E"/>
    <w:pPr>
      <w:spacing w:after="0" w:line="240" w:lineRule="auto"/>
    </w:pPr>
    <w:rPr>
      <w:color w:val="2E74B5" w:themeColor="accent5" w:themeShade="BF"/>
    </w:rPr>
    <w:tblPr>
      <w:tblStyleRowBandSize w:val="1"/>
      <w:tblStyleColBandSize w:val="1"/>
    </w:tblPr>
    <w:tcPr>
      <w:tcBorders>
        <w:top w:val="nil"/>
        <w:bottom w:val="nil"/>
        <w:right w:val="nil"/>
        <w:insideH w:val="nil"/>
        <w:insideV w:val="nil"/>
      </w:tcBorders>
      <w:shd w:val="clear" w:color="auto" w:fill="DEEAF6" w:themeFill="accent5" w:themeFillTint="33"/>
    </w:tc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2-Accent2">
    <w:name w:val="List Table 2 Accent 2"/>
    <w:basedOn w:val="TableNormal"/>
    <w:uiPriority w:val="47"/>
    <w:rsid w:val="0095209E"/>
    <w:pPr>
      <w:spacing w:after="0" w:line="240" w:lineRule="auto"/>
    </w:p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table" w:styleId="ListTable2-Accent1">
    <w:name w:val="List Table 2 Accent 1"/>
    <w:basedOn w:val="TableNormal"/>
    <w:uiPriority w:val="47"/>
    <w:rsid w:val="0095209E"/>
    <w:pPr>
      <w:spacing w:after="0" w:line="240" w:lineRule="auto"/>
    </w:p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table" w:styleId="ListTable1Light-Accent1">
    <w:name w:val="List Table 1 Light Accent 1"/>
    <w:basedOn w:val="TableNormal"/>
    <w:uiPriority w:val="46"/>
    <w:rsid w:val="0095209E"/>
    <w:pPr>
      <w:spacing w:after="0" w:line="240" w:lineRule="auto"/>
    </w:pPr>
    <w:tblPr>
      <w:tblStyleRowBandSize w:val="1"/>
      <w:tblStyleColBandSize w:val="1"/>
    </w:tblPr>
    <w:tcPr>
      <w:tcBorders>
        <w:top w:val="single" w:sz="4" w:space="0" w:color="8EAADB" w:themeColor="accent1" w:themeTint="99"/>
      </w:tcBorders>
      <w:shd w:val="clear" w:color="auto" w:fill="D9E2F3" w:themeFill="accent1" w:themeFillTint="33"/>
    </w:tcPr>
    <w:tblStylePr w:type="firstRow">
      <w:rPr>
        <w:b/>
        <w:bCs/>
      </w:rPr>
      <w:tblPr/>
      <w:tcPr>
        <w:tcBorders>
          <w:bottom w:val="single" w:sz="4" w:space="0" w:color="8EAADB" w:themeColor="accent1" w:themeTint="99"/>
        </w:tcBorders>
      </w:tcPr>
    </w:tblStylePr>
    <w:tblStylePr w:type="lastRow">
      <w:rPr>
        <w:b/>
        <w:bCs/>
      </w:rPr>
    </w:tblStylePr>
    <w:tblStylePr w:type="firstCol">
      <w:rPr>
        <w:b/>
        <w:bCs/>
      </w:rPr>
    </w:tblStylePr>
    <w:tblStylePr w:type="lastCol">
      <w:rPr>
        <w:b/>
        <w:bCs/>
      </w:rPr>
    </w:tblStylePr>
  </w:style>
  <w:style w:type="table" w:styleId="ListTable2">
    <w:name w:val="List Table 2"/>
    <w:basedOn w:val="TableNormal"/>
    <w:uiPriority w:val="47"/>
    <w:rsid w:val="0095209E"/>
    <w:pPr>
      <w:spacing w:after="0" w:line="240" w:lineRule="auto"/>
    </w:p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table" w:styleId="ListTable1Light-Accent6">
    <w:name w:val="List Table 1 Light Accent 6"/>
    <w:basedOn w:val="TableNormal"/>
    <w:uiPriority w:val="46"/>
    <w:rsid w:val="0095209E"/>
    <w:pPr>
      <w:spacing w:after="0" w:line="240" w:lineRule="auto"/>
    </w:pPr>
    <w:tblPr>
      <w:tblStyleRowBandSize w:val="1"/>
      <w:tblStyleColBandSize w:val="1"/>
    </w:tblPr>
    <w:tcPr>
      <w:tcBorders>
        <w:top w:val="single" w:sz="4" w:space="0" w:color="A8D08D" w:themeColor="accent6" w:themeTint="99"/>
      </w:tcBorders>
      <w:shd w:val="clear" w:color="auto" w:fill="E2EFD9" w:themeFill="accent6" w:themeFillTint="33"/>
    </w:tcPr>
    <w:tblStylePr w:type="firstRow">
      <w:rPr>
        <w:b/>
        <w:bCs/>
      </w:rPr>
      <w:tblPr/>
      <w:tcPr>
        <w:tcBorders>
          <w:bottom w:val="single" w:sz="4" w:space="0" w:color="A8D08D" w:themeColor="accent6" w:themeTint="99"/>
        </w:tcBorders>
      </w:tcPr>
    </w:tblStylePr>
    <w:tblStylePr w:type="lastRow">
      <w:rPr>
        <w:b/>
        <w:bCs/>
      </w:rPr>
    </w:tblStylePr>
    <w:tblStylePr w:type="firstCol">
      <w:rPr>
        <w:b/>
        <w:bCs/>
      </w:rPr>
    </w:tblStylePr>
    <w:tblStylePr w:type="lastCol">
      <w:rPr>
        <w:b/>
        <w:bCs/>
      </w:rPr>
    </w:tblStylePr>
  </w:style>
  <w:style w:type="character" w:customStyle="1" w:styleId="s4">
    <w:name w:val="s4"/>
    <w:basedOn w:val="DefaultParagraphFont"/>
    <w:rsid w:val="009D2C90"/>
  </w:style>
  <w:style w:type="table" w:styleId="ListTable1Light-Accent5">
    <w:name w:val="List Table 1 Light Accent 5"/>
    <w:basedOn w:val="TableNormal"/>
    <w:uiPriority w:val="46"/>
    <w:rsid w:val="0041155A"/>
    <w:pPr>
      <w:spacing w:after="0" w:line="240" w:lineRule="auto"/>
    </w:pPr>
    <w:tblPr>
      <w:tblStyleRowBandSize w:val="1"/>
      <w:tblStyleColBandSize w:val="1"/>
    </w:tblPr>
    <w:tcPr>
      <w:tcBorders>
        <w:top w:val="single" w:sz="4" w:space="0" w:color="9CC2E5" w:themeColor="accent5" w:themeTint="99"/>
      </w:tcBorders>
      <w:shd w:val="clear" w:color="auto" w:fill="DEEAF6" w:themeFill="accent5" w:themeFillTint="33"/>
    </w:tcPr>
    <w:tblStylePr w:type="firstRow">
      <w:rPr>
        <w:b/>
        <w:bCs/>
      </w:rPr>
      <w:tblPr/>
      <w:tcPr>
        <w:tcBorders>
          <w:bottom w:val="single" w:sz="4" w:space="0" w:color="9CC2E5" w:themeColor="accent5" w:themeTint="99"/>
        </w:tcBorders>
      </w:tcPr>
    </w:tblStylePr>
    <w:tblStylePr w:type="lastRow">
      <w:rPr>
        <w:b/>
        <w:bCs/>
      </w:rPr>
    </w:tblStylePr>
    <w:tblStylePr w:type="firstCol">
      <w:rPr>
        <w:b/>
        <w:bCs/>
      </w:rPr>
    </w:tblStylePr>
    <w:tblStylePr w:type="lastCol">
      <w:rPr>
        <w:b/>
        <w:bCs/>
      </w:rPr>
    </w:tblStylePr>
  </w:style>
  <w:style w:type="table" w:styleId="ListTable3-Accent1">
    <w:name w:val="List Table 3 Accent 1"/>
    <w:basedOn w:val="TableNormal"/>
    <w:uiPriority w:val="48"/>
    <w:rsid w:val="0041155A"/>
    <w:pPr>
      <w:spacing w:after="0" w:line="240" w:lineRule="auto"/>
    </w:pPr>
    <w:tblPr>
      <w:tblStyleRowBandSize w:val="1"/>
      <w:tblStyleColBandSize w:val="1"/>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ListTable3-Accent5">
    <w:name w:val="List Table 3 Accent 5"/>
    <w:basedOn w:val="TableNormal"/>
    <w:uiPriority w:val="48"/>
    <w:rsid w:val="0041155A"/>
    <w:pPr>
      <w:spacing w:after="0" w:line="240" w:lineRule="auto"/>
    </w:pPr>
    <w:tblPr>
      <w:tblStyleRowBandSize w:val="1"/>
      <w:tblStyleColBandSize w:val="1"/>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2-Accent5">
    <w:name w:val="List Table 2 Accent 5"/>
    <w:basedOn w:val="TableNormal"/>
    <w:uiPriority w:val="47"/>
    <w:rsid w:val="0041155A"/>
    <w:pPr>
      <w:spacing w:after="0" w:line="240" w:lineRule="auto"/>
    </w:p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table" w:styleId="ListTable4-Accent5">
    <w:name w:val="List Table 4 Accent 5"/>
    <w:basedOn w:val="TableNormal"/>
    <w:uiPriority w:val="49"/>
    <w:rsid w:val="0041155A"/>
    <w:pPr>
      <w:spacing w:after="0" w:line="240" w:lineRule="auto"/>
    </w:pPr>
    <w:tblPr>
      <w:tblStyleRowBandSize w:val="1"/>
      <w:tblStyleColBandSize w:val="1"/>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6ColourfulAccent1">
    <w:name w:val="List Table 6 Colorful Accent 1"/>
    <w:basedOn w:val="TableNormal"/>
    <w:uiPriority w:val="51"/>
    <w:rsid w:val="0041155A"/>
    <w:pPr>
      <w:spacing w:after="0" w:line="240" w:lineRule="auto"/>
    </w:pPr>
    <w:rPr>
      <w:color w:val="2F5496" w:themeColor="accent1" w:themeShade="BF"/>
    </w:rPr>
    <w:tblPr>
      <w:tblStyleRowBandSize w:val="1"/>
      <w:tblStyleColBandSize w:val="1"/>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7ColourfulAccent5">
    <w:name w:val="List Table 7 Colorful Accent 5"/>
    <w:basedOn w:val="TableNormal"/>
    <w:uiPriority w:val="52"/>
    <w:rsid w:val="0041155A"/>
    <w:pPr>
      <w:spacing w:after="0" w:line="240" w:lineRule="auto"/>
    </w:pPr>
    <w:rPr>
      <w:color w:val="2E74B5" w:themeColor="accent5" w:themeShade="BF"/>
    </w:rPr>
    <w:tblPr>
      <w:tblStyleRowBandSize w:val="1"/>
      <w:tblStyleColBandSize w:val="1"/>
    </w:tblPr>
    <w:tcPr>
      <w:tcBorders>
        <w:left w:val="single" w:sz="4" w:space="0" w:color="5B9BD5" w:themeColor="accent5"/>
      </w:tcBorders>
      <w:shd w:val="clear" w:color="auto" w:fill="DEEAF6" w:themeFill="accent5" w:themeFillTint="33"/>
    </w:tc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6ColourfulAccent3">
    <w:name w:val="List Table 6 Colorful Accent 3"/>
    <w:basedOn w:val="TableNormal"/>
    <w:uiPriority w:val="51"/>
    <w:rsid w:val="0041155A"/>
    <w:pPr>
      <w:spacing w:after="0" w:line="240" w:lineRule="auto"/>
    </w:pPr>
    <w:rPr>
      <w:color w:val="7B7B7B" w:themeColor="accent3" w:themeShade="BF"/>
    </w:rPr>
    <w:tblPr>
      <w:tblStyleRowBandSize w:val="1"/>
      <w:tblStyleColBandSize w:val="1"/>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1">
    <w:name w:val="List Table 4 Accent 1"/>
    <w:basedOn w:val="TableNormal"/>
    <w:uiPriority w:val="49"/>
    <w:rsid w:val="0041155A"/>
    <w:pPr>
      <w:spacing w:after="0" w:line="240" w:lineRule="auto"/>
    </w:pPr>
    <w:tblPr>
      <w:tblStyleRowBandSize w:val="1"/>
      <w:tblStyleColBandSize w:val="1"/>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4Char">
    <w:name w:val="Heading 4 Char"/>
    <w:basedOn w:val="DefaultParagraphFont"/>
    <w:link w:val="Heading4"/>
    <w:uiPriority w:val="9"/>
    <w:semiHidden/>
    <w:rsid w:val="00812AF2"/>
    <w:rPr>
      <w:rFonts w:asciiTheme="majorHAnsi" w:eastAsiaTheme="majorEastAsia" w:hAnsiTheme="majorHAnsi" w:cstheme="majorBidi"/>
      <w:i/>
      <w:iCs/>
      <w:color w:val="2F5496" w:themeColor="accent1" w:themeShade="BF"/>
    </w:rPr>
  </w:style>
  <w:style w:type="paragraph" w:styleId="NoSpacing">
    <w:name w:val="No Spacing"/>
    <w:uiPriority w:val="1"/>
    <w:qFormat/>
    <w:rsid w:val="0053613D"/>
    <w:pPr>
      <w:spacing w:after="0" w:line="240" w:lineRule="auto"/>
    </w:pPr>
    <w:rPr>
      <w:lang w:val="en-US"/>
    </w:rPr>
  </w:style>
  <w:style w:type="table" w:styleId="GridTable7ColourfulAccent1">
    <w:name w:val="Grid Table 7 Colorful Accent 1"/>
    <w:basedOn w:val="TableNormal"/>
    <w:uiPriority w:val="52"/>
    <w:rsid w:val="00323AE8"/>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83460BE782EA4A8BB569A012F7528B"/>
        <w:category>
          <w:name w:val="General"/>
          <w:gallery w:val="placeholder"/>
        </w:category>
        <w:types>
          <w:type w:val="bbPlcHdr"/>
        </w:types>
        <w:behaviors>
          <w:behavior w:val="content"/>
        </w:behaviors>
        <w:guid w:val="{CAEB1EAF-843E-3747-9B69-CEA1A3BB699B}"/>
      </w:docPartPr>
      <w:docPartBody>
        <w:p w:rsidR="009B31BA" w:rsidRDefault="00A02C84" w:rsidP="00A02C84">
          <w:pPr>
            <w:pStyle w:val="6983460BE782EA4A8BB569A012F7528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C84"/>
    <w:rsid w:val="00832EE4"/>
    <w:rsid w:val="009B31BA"/>
    <w:rsid w:val="00A02C84"/>
    <w:rsid w:val="00DE5781"/>
    <w:rsid w:val="00EB423A"/>
    <w:rsid w:val="00F22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83460BE782EA4A8BB569A012F7528B">
    <w:name w:val="6983460BE782EA4A8BB569A012F7528B"/>
    <w:rsid w:val="00A02C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7C7DDE-E6AA-D743-95C7-A8CEAEE2FB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23</Pages>
  <Words>5965</Words>
  <Characters>34006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39892</CharactersWithSpaces>
  <SharedDoc>false</SharedDoc>
  <HLinks>
    <vt:vector size="168" baseType="variant">
      <vt:variant>
        <vt:i4>1179696</vt:i4>
      </vt:variant>
      <vt:variant>
        <vt:i4>164</vt:i4>
      </vt:variant>
      <vt:variant>
        <vt:i4>0</vt:i4>
      </vt:variant>
      <vt:variant>
        <vt:i4>5</vt:i4>
      </vt:variant>
      <vt:variant>
        <vt:lpwstr/>
      </vt:variant>
      <vt:variant>
        <vt:lpwstr>_Toc213403135</vt:lpwstr>
      </vt:variant>
      <vt:variant>
        <vt:i4>1179696</vt:i4>
      </vt:variant>
      <vt:variant>
        <vt:i4>158</vt:i4>
      </vt:variant>
      <vt:variant>
        <vt:i4>0</vt:i4>
      </vt:variant>
      <vt:variant>
        <vt:i4>5</vt:i4>
      </vt:variant>
      <vt:variant>
        <vt:lpwstr/>
      </vt:variant>
      <vt:variant>
        <vt:lpwstr>_Toc213403134</vt:lpwstr>
      </vt:variant>
      <vt:variant>
        <vt:i4>1179696</vt:i4>
      </vt:variant>
      <vt:variant>
        <vt:i4>152</vt:i4>
      </vt:variant>
      <vt:variant>
        <vt:i4>0</vt:i4>
      </vt:variant>
      <vt:variant>
        <vt:i4>5</vt:i4>
      </vt:variant>
      <vt:variant>
        <vt:lpwstr/>
      </vt:variant>
      <vt:variant>
        <vt:lpwstr>_Toc213403133</vt:lpwstr>
      </vt:variant>
      <vt:variant>
        <vt:i4>1179696</vt:i4>
      </vt:variant>
      <vt:variant>
        <vt:i4>146</vt:i4>
      </vt:variant>
      <vt:variant>
        <vt:i4>0</vt:i4>
      </vt:variant>
      <vt:variant>
        <vt:i4>5</vt:i4>
      </vt:variant>
      <vt:variant>
        <vt:lpwstr/>
      </vt:variant>
      <vt:variant>
        <vt:lpwstr>_Toc213403132</vt:lpwstr>
      </vt:variant>
      <vt:variant>
        <vt:i4>1179696</vt:i4>
      </vt:variant>
      <vt:variant>
        <vt:i4>140</vt:i4>
      </vt:variant>
      <vt:variant>
        <vt:i4>0</vt:i4>
      </vt:variant>
      <vt:variant>
        <vt:i4>5</vt:i4>
      </vt:variant>
      <vt:variant>
        <vt:lpwstr/>
      </vt:variant>
      <vt:variant>
        <vt:lpwstr>_Toc213403131</vt:lpwstr>
      </vt:variant>
      <vt:variant>
        <vt:i4>1179696</vt:i4>
      </vt:variant>
      <vt:variant>
        <vt:i4>134</vt:i4>
      </vt:variant>
      <vt:variant>
        <vt:i4>0</vt:i4>
      </vt:variant>
      <vt:variant>
        <vt:i4>5</vt:i4>
      </vt:variant>
      <vt:variant>
        <vt:lpwstr/>
      </vt:variant>
      <vt:variant>
        <vt:lpwstr>_Toc213403130</vt:lpwstr>
      </vt:variant>
      <vt:variant>
        <vt:i4>1245232</vt:i4>
      </vt:variant>
      <vt:variant>
        <vt:i4>128</vt:i4>
      </vt:variant>
      <vt:variant>
        <vt:i4>0</vt:i4>
      </vt:variant>
      <vt:variant>
        <vt:i4>5</vt:i4>
      </vt:variant>
      <vt:variant>
        <vt:lpwstr/>
      </vt:variant>
      <vt:variant>
        <vt:lpwstr>_Toc213403129</vt:lpwstr>
      </vt:variant>
      <vt:variant>
        <vt:i4>1245232</vt:i4>
      </vt:variant>
      <vt:variant>
        <vt:i4>122</vt:i4>
      </vt:variant>
      <vt:variant>
        <vt:i4>0</vt:i4>
      </vt:variant>
      <vt:variant>
        <vt:i4>5</vt:i4>
      </vt:variant>
      <vt:variant>
        <vt:lpwstr/>
      </vt:variant>
      <vt:variant>
        <vt:lpwstr>_Toc213403128</vt:lpwstr>
      </vt:variant>
      <vt:variant>
        <vt:i4>1245232</vt:i4>
      </vt:variant>
      <vt:variant>
        <vt:i4>116</vt:i4>
      </vt:variant>
      <vt:variant>
        <vt:i4>0</vt:i4>
      </vt:variant>
      <vt:variant>
        <vt:i4>5</vt:i4>
      </vt:variant>
      <vt:variant>
        <vt:lpwstr/>
      </vt:variant>
      <vt:variant>
        <vt:lpwstr>_Toc213403127</vt:lpwstr>
      </vt:variant>
      <vt:variant>
        <vt:i4>1245232</vt:i4>
      </vt:variant>
      <vt:variant>
        <vt:i4>110</vt:i4>
      </vt:variant>
      <vt:variant>
        <vt:i4>0</vt:i4>
      </vt:variant>
      <vt:variant>
        <vt:i4>5</vt:i4>
      </vt:variant>
      <vt:variant>
        <vt:lpwstr/>
      </vt:variant>
      <vt:variant>
        <vt:lpwstr>_Toc213403126</vt:lpwstr>
      </vt:variant>
      <vt:variant>
        <vt:i4>1245232</vt:i4>
      </vt:variant>
      <vt:variant>
        <vt:i4>104</vt:i4>
      </vt:variant>
      <vt:variant>
        <vt:i4>0</vt:i4>
      </vt:variant>
      <vt:variant>
        <vt:i4>5</vt:i4>
      </vt:variant>
      <vt:variant>
        <vt:lpwstr/>
      </vt:variant>
      <vt:variant>
        <vt:lpwstr>_Toc213403125</vt:lpwstr>
      </vt:variant>
      <vt:variant>
        <vt:i4>1245232</vt:i4>
      </vt:variant>
      <vt:variant>
        <vt:i4>98</vt:i4>
      </vt:variant>
      <vt:variant>
        <vt:i4>0</vt:i4>
      </vt:variant>
      <vt:variant>
        <vt:i4>5</vt:i4>
      </vt:variant>
      <vt:variant>
        <vt:lpwstr/>
      </vt:variant>
      <vt:variant>
        <vt:lpwstr>_Toc213403124</vt:lpwstr>
      </vt:variant>
      <vt:variant>
        <vt:i4>1245232</vt:i4>
      </vt:variant>
      <vt:variant>
        <vt:i4>92</vt:i4>
      </vt:variant>
      <vt:variant>
        <vt:i4>0</vt:i4>
      </vt:variant>
      <vt:variant>
        <vt:i4>5</vt:i4>
      </vt:variant>
      <vt:variant>
        <vt:lpwstr/>
      </vt:variant>
      <vt:variant>
        <vt:lpwstr>_Toc213403123</vt:lpwstr>
      </vt:variant>
      <vt:variant>
        <vt:i4>1245232</vt:i4>
      </vt:variant>
      <vt:variant>
        <vt:i4>86</vt:i4>
      </vt:variant>
      <vt:variant>
        <vt:i4>0</vt:i4>
      </vt:variant>
      <vt:variant>
        <vt:i4>5</vt:i4>
      </vt:variant>
      <vt:variant>
        <vt:lpwstr/>
      </vt:variant>
      <vt:variant>
        <vt:lpwstr>_Toc213403122</vt:lpwstr>
      </vt:variant>
      <vt:variant>
        <vt:i4>1245232</vt:i4>
      </vt:variant>
      <vt:variant>
        <vt:i4>80</vt:i4>
      </vt:variant>
      <vt:variant>
        <vt:i4>0</vt:i4>
      </vt:variant>
      <vt:variant>
        <vt:i4>5</vt:i4>
      </vt:variant>
      <vt:variant>
        <vt:lpwstr/>
      </vt:variant>
      <vt:variant>
        <vt:lpwstr>_Toc213403121</vt:lpwstr>
      </vt:variant>
      <vt:variant>
        <vt:i4>1245232</vt:i4>
      </vt:variant>
      <vt:variant>
        <vt:i4>74</vt:i4>
      </vt:variant>
      <vt:variant>
        <vt:i4>0</vt:i4>
      </vt:variant>
      <vt:variant>
        <vt:i4>5</vt:i4>
      </vt:variant>
      <vt:variant>
        <vt:lpwstr/>
      </vt:variant>
      <vt:variant>
        <vt:lpwstr>_Toc213403120</vt:lpwstr>
      </vt:variant>
      <vt:variant>
        <vt:i4>1048624</vt:i4>
      </vt:variant>
      <vt:variant>
        <vt:i4>68</vt:i4>
      </vt:variant>
      <vt:variant>
        <vt:i4>0</vt:i4>
      </vt:variant>
      <vt:variant>
        <vt:i4>5</vt:i4>
      </vt:variant>
      <vt:variant>
        <vt:lpwstr/>
      </vt:variant>
      <vt:variant>
        <vt:lpwstr>_Toc213403119</vt:lpwstr>
      </vt:variant>
      <vt:variant>
        <vt:i4>1048624</vt:i4>
      </vt:variant>
      <vt:variant>
        <vt:i4>62</vt:i4>
      </vt:variant>
      <vt:variant>
        <vt:i4>0</vt:i4>
      </vt:variant>
      <vt:variant>
        <vt:i4>5</vt:i4>
      </vt:variant>
      <vt:variant>
        <vt:lpwstr/>
      </vt:variant>
      <vt:variant>
        <vt:lpwstr>_Toc213403118</vt:lpwstr>
      </vt:variant>
      <vt:variant>
        <vt:i4>1048624</vt:i4>
      </vt:variant>
      <vt:variant>
        <vt:i4>56</vt:i4>
      </vt:variant>
      <vt:variant>
        <vt:i4>0</vt:i4>
      </vt:variant>
      <vt:variant>
        <vt:i4>5</vt:i4>
      </vt:variant>
      <vt:variant>
        <vt:lpwstr/>
      </vt:variant>
      <vt:variant>
        <vt:lpwstr>_Toc213403117</vt:lpwstr>
      </vt:variant>
      <vt:variant>
        <vt:i4>1048624</vt:i4>
      </vt:variant>
      <vt:variant>
        <vt:i4>50</vt:i4>
      </vt:variant>
      <vt:variant>
        <vt:i4>0</vt:i4>
      </vt:variant>
      <vt:variant>
        <vt:i4>5</vt:i4>
      </vt:variant>
      <vt:variant>
        <vt:lpwstr/>
      </vt:variant>
      <vt:variant>
        <vt:lpwstr>_Toc213403116</vt:lpwstr>
      </vt:variant>
      <vt:variant>
        <vt:i4>1048624</vt:i4>
      </vt:variant>
      <vt:variant>
        <vt:i4>44</vt:i4>
      </vt:variant>
      <vt:variant>
        <vt:i4>0</vt:i4>
      </vt:variant>
      <vt:variant>
        <vt:i4>5</vt:i4>
      </vt:variant>
      <vt:variant>
        <vt:lpwstr/>
      </vt:variant>
      <vt:variant>
        <vt:lpwstr>_Toc213403115</vt:lpwstr>
      </vt:variant>
      <vt:variant>
        <vt:i4>1048624</vt:i4>
      </vt:variant>
      <vt:variant>
        <vt:i4>38</vt:i4>
      </vt:variant>
      <vt:variant>
        <vt:i4>0</vt:i4>
      </vt:variant>
      <vt:variant>
        <vt:i4>5</vt:i4>
      </vt:variant>
      <vt:variant>
        <vt:lpwstr/>
      </vt:variant>
      <vt:variant>
        <vt:lpwstr>_Toc213403114</vt:lpwstr>
      </vt:variant>
      <vt:variant>
        <vt:i4>1048624</vt:i4>
      </vt:variant>
      <vt:variant>
        <vt:i4>32</vt:i4>
      </vt:variant>
      <vt:variant>
        <vt:i4>0</vt:i4>
      </vt:variant>
      <vt:variant>
        <vt:i4>5</vt:i4>
      </vt:variant>
      <vt:variant>
        <vt:lpwstr/>
      </vt:variant>
      <vt:variant>
        <vt:lpwstr>_Toc213403113</vt:lpwstr>
      </vt:variant>
      <vt:variant>
        <vt:i4>1048624</vt:i4>
      </vt:variant>
      <vt:variant>
        <vt:i4>26</vt:i4>
      </vt:variant>
      <vt:variant>
        <vt:i4>0</vt:i4>
      </vt:variant>
      <vt:variant>
        <vt:i4>5</vt:i4>
      </vt:variant>
      <vt:variant>
        <vt:lpwstr/>
      </vt:variant>
      <vt:variant>
        <vt:lpwstr>_Toc213403112</vt:lpwstr>
      </vt:variant>
      <vt:variant>
        <vt:i4>1048624</vt:i4>
      </vt:variant>
      <vt:variant>
        <vt:i4>20</vt:i4>
      </vt:variant>
      <vt:variant>
        <vt:i4>0</vt:i4>
      </vt:variant>
      <vt:variant>
        <vt:i4>5</vt:i4>
      </vt:variant>
      <vt:variant>
        <vt:lpwstr/>
      </vt:variant>
      <vt:variant>
        <vt:lpwstr>_Toc213403111</vt:lpwstr>
      </vt:variant>
      <vt:variant>
        <vt:i4>1048624</vt:i4>
      </vt:variant>
      <vt:variant>
        <vt:i4>14</vt:i4>
      </vt:variant>
      <vt:variant>
        <vt:i4>0</vt:i4>
      </vt:variant>
      <vt:variant>
        <vt:i4>5</vt:i4>
      </vt:variant>
      <vt:variant>
        <vt:lpwstr/>
      </vt:variant>
      <vt:variant>
        <vt:lpwstr>_Toc213403110</vt:lpwstr>
      </vt:variant>
      <vt:variant>
        <vt:i4>1114160</vt:i4>
      </vt:variant>
      <vt:variant>
        <vt:i4>8</vt:i4>
      </vt:variant>
      <vt:variant>
        <vt:i4>0</vt:i4>
      </vt:variant>
      <vt:variant>
        <vt:i4>5</vt:i4>
      </vt:variant>
      <vt:variant>
        <vt:lpwstr/>
      </vt:variant>
      <vt:variant>
        <vt:lpwstr>_Toc213403109</vt:lpwstr>
      </vt:variant>
      <vt:variant>
        <vt:i4>1114160</vt:i4>
      </vt:variant>
      <vt:variant>
        <vt:i4>2</vt:i4>
      </vt:variant>
      <vt:variant>
        <vt:i4>0</vt:i4>
      </vt:variant>
      <vt:variant>
        <vt:i4>5</vt:i4>
      </vt:variant>
      <vt:variant>
        <vt:lpwstr/>
      </vt:variant>
      <vt:variant>
        <vt:lpwstr>_Toc213403108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Khrystyna Havrysh – 2417459</dc:title>
  <dc:subject/>
  <dc:creator>Nishi Ramsurrun</dc:creator>
  <cp:keywords/>
  <dc:description/>
  <cp:lastModifiedBy>Khrystyna Havrysh (2417459)</cp:lastModifiedBy>
  <cp:revision>21</cp:revision>
  <dcterms:created xsi:type="dcterms:W3CDTF">2025-11-13T11:06:00Z</dcterms:created>
  <dcterms:modified xsi:type="dcterms:W3CDTF">2025-11-27T11:27:00Z</dcterms:modified>
</cp:coreProperties>
</file>