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68B575F7" w:rsidR="00DD5969" w:rsidRPr="00F13C1B" w:rsidRDefault="00DD5969" w:rsidP="00DD5969">
      <w:pPr>
        <w:spacing w:before="212"/>
        <w:rPr>
          <w:rFonts w:ascii="Arial"/>
          <w:b/>
          <w:sz w:val="48"/>
          <w:szCs w:val="48"/>
        </w:rPr>
      </w:pPr>
      <w:r w:rsidRPr="00F13C1B">
        <w:rPr>
          <w:rFonts w:ascii="Arial"/>
          <w:b/>
          <w:sz w:val="48"/>
          <w:szCs w:val="48"/>
        </w:rPr>
        <w:t xml:space="preserve">MODULE </w:t>
      </w:r>
      <w:proofErr w:type="gramStart"/>
      <w:r w:rsidRPr="00F13C1B">
        <w:rPr>
          <w:rFonts w:ascii="Arial"/>
          <w:b/>
          <w:sz w:val="48"/>
          <w:szCs w:val="48"/>
        </w:rPr>
        <w:t>CODE:</w:t>
      </w:r>
      <w:r w:rsidR="0000375B" w:rsidRPr="00C676D0">
        <w:rPr>
          <w:rFonts w:ascii="Arial"/>
          <w:b/>
          <w:color w:val="FF0000"/>
          <w:sz w:val="48"/>
          <w:szCs w:val="48"/>
        </w:rPr>
        <w:t>ECAD</w:t>
      </w:r>
      <w:proofErr w:type="gramEnd"/>
      <w:r w:rsidR="00F13C1B" w:rsidRPr="00C676D0">
        <w:rPr>
          <w:rFonts w:ascii="Arial"/>
          <w:b/>
          <w:color w:val="FF0000"/>
          <w:sz w:val="48"/>
          <w:szCs w:val="48"/>
        </w:rPr>
        <w:t>6</w:t>
      </w:r>
      <w:r w:rsidR="004564BC" w:rsidRPr="00C676D0">
        <w:rPr>
          <w:rFonts w:ascii="Arial"/>
          <w:b/>
          <w:color w:val="FF0000"/>
          <w:sz w:val="48"/>
          <w:szCs w:val="48"/>
        </w:rPr>
        <w:t>050</w:t>
      </w:r>
    </w:p>
    <w:p w14:paraId="0D16D138" w14:textId="77777777" w:rsidR="00DD5969" w:rsidRPr="00DD5969" w:rsidRDefault="00DD5969" w:rsidP="00DD5969">
      <w:pPr>
        <w:spacing w:before="3"/>
        <w:rPr>
          <w:rFonts w:ascii="Arial"/>
          <w:b/>
          <w:sz w:val="48"/>
          <w:szCs w:val="48"/>
        </w:rPr>
      </w:pPr>
    </w:p>
    <w:p w14:paraId="18107AFF" w14:textId="7E48B062"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0D427F">
        <w:rPr>
          <w:rFonts w:ascii="Arial"/>
          <w:b/>
          <w:sz w:val="48"/>
          <w:szCs w:val="48"/>
        </w:rPr>
        <w:t xml:space="preserve"> 2100379</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5035F137" w14:textId="77777777" w:rsidR="002E66D8" w:rsidRDefault="002E66D8" w:rsidP="00DD5969">
      <w:pPr>
        <w:ind w:left="100"/>
        <w:rPr>
          <w:rFonts w:ascii="Arial"/>
          <w:b/>
          <w:sz w:val="47"/>
        </w:rPr>
      </w:pPr>
    </w:p>
    <w:p w14:paraId="332FF3CD" w14:textId="77777777" w:rsidR="002E66D8" w:rsidRDefault="002E66D8" w:rsidP="00DD5969">
      <w:pPr>
        <w:ind w:left="100"/>
        <w:rPr>
          <w:rFonts w:ascii="Arial"/>
          <w:b/>
          <w:sz w:val="47"/>
        </w:rPr>
      </w:pPr>
    </w:p>
    <w:p w14:paraId="3EA8CA28" w14:textId="77777777" w:rsidR="002E66D8" w:rsidRDefault="002E66D8"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lastRenderedPageBreak/>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58BAA2AB" w14:textId="77777777" w:rsidR="000D427F" w:rsidRDefault="000D427F" w:rsidP="000D427F">
      <w:pPr>
        <w:spacing w:after="0" w:line="360" w:lineRule="auto"/>
        <w:jc w:val="center"/>
        <w:rPr>
          <w:rFonts w:ascii="Arial" w:eastAsia="DengXian" w:hAnsi="Arial" w:cs="Arial"/>
          <w:b/>
          <w:i/>
          <w:sz w:val="36"/>
          <w:u w:val="single"/>
        </w:rPr>
      </w:pPr>
    </w:p>
    <w:p w14:paraId="0192470B" w14:textId="77777777" w:rsidR="000D427F" w:rsidRDefault="000D427F" w:rsidP="000D427F">
      <w:pPr>
        <w:spacing w:after="0" w:line="360" w:lineRule="auto"/>
        <w:jc w:val="center"/>
        <w:rPr>
          <w:rFonts w:ascii="Arial" w:eastAsia="DengXian" w:hAnsi="Arial" w:cs="Arial"/>
          <w:b/>
          <w:i/>
          <w:sz w:val="36"/>
          <w:u w:val="single"/>
        </w:rPr>
      </w:pPr>
    </w:p>
    <w:p w14:paraId="411866ED" w14:textId="77777777" w:rsidR="000D427F" w:rsidRDefault="000D427F" w:rsidP="000D427F">
      <w:pPr>
        <w:spacing w:after="0" w:line="360" w:lineRule="auto"/>
        <w:jc w:val="center"/>
        <w:rPr>
          <w:rFonts w:ascii="Arial" w:eastAsia="DengXian" w:hAnsi="Arial" w:cs="Arial"/>
          <w:b/>
          <w:i/>
          <w:sz w:val="36"/>
          <w:u w:val="single"/>
        </w:rPr>
      </w:pPr>
    </w:p>
    <w:p w14:paraId="64A7751B" w14:textId="77777777" w:rsidR="000D427F" w:rsidRDefault="000D427F" w:rsidP="000D427F">
      <w:pPr>
        <w:spacing w:after="0" w:line="360" w:lineRule="auto"/>
        <w:jc w:val="center"/>
        <w:rPr>
          <w:rFonts w:ascii="Arial" w:eastAsia="DengXian" w:hAnsi="Arial" w:cs="Arial"/>
          <w:b/>
          <w:i/>
          <w:sz w:val="36"/>
          <w:u w:val="single"/>
        </w:rPr>
      </w:pPr>
    </w:p>
    <w:p w14:paraId="688144B0" w14:textId="77777777" w:rsidR="000D427F" w:rsidRDefault="000D427F" w:rsidP="000D427F">
      <w:pPr>
        <w:spacing w:after="0" w:line="360" w:lineRule="auto"/>
        <w:jc w:val="center"/>
        <w:rPr>
          <w:rFonts w:ascii="Arial" w:eastAsia="DengXian" w:hAnsi="Arial" w:cs="Arial"/>
          <w:b/>
          <w:i/>
          <w:sz w:val="36"/>
          <w:u w:val="single"/>
        </w:rPr>
      </w:pPr>
    </w:p>
    <w:p w14:paraId="056D07A1" w14:textId="77777777" w:rsidR="000D427F" w:rsidRDefault="000D427F" w:rsidP="000D427F">
      <w:pPr>
        <w:spacing w:after="0" w:line="360" w:lineRule="auto"/>
        <w:jc w:val="center"/>
        <w:rPr>
          <w:rFonts w:ascii="Arial" w:eastAsia="DengXian" w:hAnsi="Arial" w:cs="Arial"/>
          <w:b/>
          <w:i/>
          <w:sz w:val="36"/>
          <w:u w:val="single"/>
        </w:rPr>
      </w:pPr>
    </w:p>
    <w:p w14:paraId="6A2E09F1" w14:textId="77777777" w:rsidR="000D427F" w:rsidRDefault="000D427F" w:rsidP="000D427F">
      <w:pPr>
        <w:spacing w:after="0" w:line="360" w:lineRule="auto"/>
        <w:jc w:val="center"/>
        <w:rPr>
          <w:rFonts w:ascii="Arial" w:eastAsia="DengXian" w:hAnsi="Arial" w:cs="Arial"/>
          <w:b/>
          <w:i/>
          <w:sz w:val="36"/>
          <w:u w:val="single"/>
        </w:rPr>
      </w:pPr>
    </w:p>
    <w:p w14:paraId="552559CC" w14:textId="77777777" w:rsidR="000D427F" w:rsidRDefault="000D427F" w:rsidP="000D427F">
      <w:pPr>
        <w:spacing w:after="0" w:line="360" w:lineRule="auto"/>
        <w:jc w:val="center"/>
        <w:rPr>
          <w:rFonts w:ascii="Arial" w:eastAsia="DengXian" w:hAnsi="Arial" w:cs="Arial"/>
          <w:b/>
          <w:i/>
          <w:sz w:val="36"/>
          <w:u w:val="single"/>
        </w:rPr>
      </w:pPr>
    </w:p>
    <w:p w14:paraId="4142A30C" w14:textId="77777777" w:rsidR="000D427F" w:rsidRDefault="000D427F" w:rsidP="000D427F">
      <w:pPr>
        <w:spacing w:after="0" w:line="360" w:lineRule="auto"/>
        <w:jc w:val="center"/>
        <w:rPr>
          <w:rFonts w:ascii="Arial" w:eastAsia="DengXian" w:hAnsi="Arial" w:cs="Arial"/>
          <w:b/>
          <w:i/>
          <w:sz w:val="36"/>
          <w:u w:val="single"/>
        </w:rPr>
      </w:pPr>
    </w:p>
    <w:p w14:paraId="260D5DB9" w14:textId="77777777" w:rsidR="000D427F" w:rsidRDefault="000D427F" w:rsidP="000D427F">
      <w:pPr>
        <w:spacing w:after="0" w:line="360" w:lineRule="auto"/>
        <w:jc w:val="center"/>
        <w:rPr>
          <w:rFonts w:ascii="Arial" w:eastAsia="DengXian" w:hAnsi="Arial" w:cs="Arial"/>
          <w:b/>
          <w:i/>
          <w:sz w:val="36"/>
          <w:u w:val="single"/>
        </w:rPr>
      </w:pPr>
    </w:p>
    <w:p w14:paraId="1BF975BF" w14:textId="77777777" w:rsidR="000D427F" w:rsidRDefault="000D427F" w:rsidP="000D427F">
      <w:pPr>
        <w:spacing w:after="0" w:line="360" w:lineRule="auto"/>
        <w:jc w:val="center"/>
        <w:rPr>
          <w:rFonts w:ascii="Arial" w:eastAsia="DengXian" w:hAnsi="Arial" w:cs="Arial"/>
          <w:b/>
          <w:i/>
          <w:sz w:val="36"/>
          <w:u w:val="single"/>
        </w:rPr>
      </w:pPr>
    </w:p>
    <w:p w14:paraId="0A4F834E" w14:textId="77777777" w:rsidR="000D427F" w:rsidRDefault="000D427F" w:rsidP="000D427F">
      <w:pPr>
        <w:spacing w:after="0" w:line="360" w:lineRule="auto"/>
        <w:jc w:val="center"/>
        <w:rPr>
          <w:rFonts w:ascii="Arial" w:eastAsia="DengXian" w:hAnsi="Arial" w:cs="Arial"/>
          <w:b/>
          <w:i/>
          <w:sz w:val="36"/>
          <w:u w:val="single"/>
        </w:rPr>
      </w:pPr>
    </w:p>
    <w:p w14:paraId="18EAA5BD" w14:textId="77777777" w:rsidR="000D427F" w:rsidRDefault="000D427F" w:rsidP="000D427F">
      <w:pPr>
        <w:spacing w:after="0" w:line="360" w:lineRule="auto"/>
        <w:jc w:val="center"/>
        <w:rPr>
          <w:rFonts w:ascii="Arial" w:eastAsia="DengXian" w:hAnsi="Arial" w:cs="Arial"/>
          <w:b/>
          <w:i/>
          <w:sz w:val="36"/>
          <w:u w:val="single"/>
        </w:rPr>
      </w:pPr>
    </w:p>
    <w:p w14:paraId="7AD21E61" w14:textId="77777777" w:rsidR="000D427F" w:rsidRDefault="000D427F" w:rsidP="000D427F">
      <w:pPr>
        <w:spacing w:after="0" w:line="360" w:lineRule="auto"/>
        <w:jc w:val="center"/>
        <w:rPr>
          <w:rFonts w:ascii="Arial" w:eastAsia="DengXian" w:hAnsi="Arial" w:cs="Arial"/>
          <w:b/>
          <w:i/>
          <w:sz w:val="36"/>
          <w:u w:val="single"/>
        </w:rPr>
      </w:pPr>
    </w:p>
    <w:p w14:paraId="79552DA9" w14:textId="77777777" w:rsidR="000D427F" w:rsidRDefault="000D427F" w:rsidP="000D427F">
      <w:pPr>
        <w:spacing w:after="0" w:line="360" w:lineRule="auto"/>
        <w:jc w:val="center"/>
        <w:rPr>
          <w:rFonts w:ascii="Arial" w:eastAsia="DengXian" w:hAnsi="Arial" w:cs="Arial"/>
          <w:b/>
          <w:i/>
          <w:sz w:val="36"/>
          <w:u w:val="single"/>
        </w:rPr>
      </w:pPr>
    </w:p>
    <w:p w14:paraId="5F7E724B" w14:textId="77777777" w:rsidR="000D427F" w:rsidRDefault="000D427F" w:rsidP="000D427F">
      <w:pPr>
        <w:spacing w:after="0" w:line="360" w:lineRule="auto"/>
        <w:jc w:val="center"/>
        <w:rPr>
          <w:rFonts w:ascii="Arial" w:eastAsia="DengXian" w:hAnsi="Arial" w:cs="Arial"/>
          <w:b/>
          <w:i/>
          <w:sz w:val="36"/>
          <w:u w:val="single"/>
        </w:rPr>
      </w:pPr>
    </w:p>
    <w:p w14:paraId="6AC5827A" w14:textId="77777777" w:rsidR="000D427F" w:rsidRDefault="000D427F" w:rsidP="000D427F">
      <w:pPr>
        <w:spacing w:after="0" w:line="360" w:lineRule="auto"/>
        <w:jc w:val="center"/>
        <w:rPr>
          <w:rFonts w:ascii="Arial" w:eastAsia="DengXian" w:hAnsi="Arial" w:cs="Arial"/>
          <w:b/>
          <w:i/>
          <w:sz w:val="36"/>
          <w:u w:val="single"/>
        </w:rPr>
      </w:pPr>
    </w:p>
    <w:p w14:paraId="220FB369" w14:textId="3167639C" w:rsidR="000D427F" w:rsidRPr="000D427F" w:rsidRDefault="000D427F" w:rsidP="000D427F">
      <w:pPr>
        <w:spacing w:after="0" w:line="360" w:lineRule="auto"/>
        <w:jc w:val="center"/>
        <w:rPr>
          <w:rFonts w:ascii="Arial" w:eastAsia="DengXian" w:hAnsi="Arial" w:cs="Arial"/>
          <w:b/>
          <w:i/>
          <w:sz w:val="36"/>
          <w:u w:val="single"/>
        </w:rPr>
      </w:pPr>
      <w:r>
        <w:rPr>
          <w:rFonts w:ascii="Arial" w:eastAsia="DengXian" w:hAnsi="Arial" w:cs="Arial"/>
          <w:b/>
          <w:i/>
          <w:sz w:val="36"/>
          <w:u w:val="single"/>
        </w:rPr>
        <w:lastRenderedPageBreak/>
        <w:t>A</w:t>
      </w:r>
      <w:r w:rsidRPr="000D427F">
        <w:rPr>
          <w:rFonts w:ascii="Arial" w:eastAsia="DengXian" w:hAnsi="Arial" w:cs="Arial"/>
          <w:b/>
          <w:i/>
          <w:sz w:val="36"/>
          <w:u w:val="single"/>
        </w:rPr>
        <w:t>n essay that critically reflects on a case study</w:t>
      </w:r>
      <w:r>
        <w:rPr>
          <w:rFonts w:ascii="Arial" w:eastAsia="DengXian" w:hAnsi="Arial" w:cs="Arial"/>
          <w:b/>
          <w:i/>
          <w:sz w:val="36"/>
          <w:u w:val="single"/>
        </w:rPr>
        <w:t xml:space="preserve"> </w:t>
      </w:r>
      <w:r w:rsidRPr="000D427F">
        <w:rPr>
          <w:rFonts w:ascii="Arial" w:eastAsia="DengXian" w:hAnsi="Arial" w:cs="Arial"/>
          <w:b/>
          <w:i/>
          <w:sz w:val="36"/>
          <w:u w:val="single"/>
        </w:rPr>
        <w:t>lesson through a critical incident methodology, offering appropriate pedagogical approaches,</w:t>
      </w:r>
      <w:r>
        <w:rPr>
          <w:rFonts w:ascii="Arial" w:eastAsia="DengXian" w:hAnsi="Arial" w:cs="Arial"/>
          <w:b/>
          <w:i/>
          <w:sz w:val="36"/>
          <w:u w:val="single"/>
        </w:rPr>
        <w:t xml:space="preserve"> </w:t>
      </w:r>
      <w:r w:rsidRPr="000D427F">
        <w:rPr>
          <w:rFonts w:ascii="Arial" w:eastAsia="DengXian" w:hAnsi="Arial" w:cs="Arial"/>
          <w:b/>
          <w:i/>
          <w:sz w:val="36"/>
          <w:u w:val="single"/>
        </w:rPr>
        <w:t>justifying choices and presents a personal stance</w:t>
      </w:r>
    </w:p>
    <w:p w14:paraId="1A0D827A" w14:textId="1F111631" w:rsidR="002E66D8" w:rsidRPr="00C81809" w:rsidRDefault="000D427F" w:rsidP="000D427F">
      <w:pPr>
        <w:spacing w:after="0" w:line="360" w:lineRule="auto"/>
        <w:jc w:val="center"/>
        <w:rPr>
          <w:rFonts w:ascii="Arial" w:eastAsia="DengXian" w:hAnsi="Arial" w:cs="Arial"/>
          <w:b/>
          <w:i/>
          <w:sz w:val="36"/>
          <w:u w:val="single"/>
        </w:rPr>
      </w:pPr>
      <w:r w:rsidRPr="000D427F">
        <w:rPr>
          <w:rFonts w:ascii="Arial" w:eastAsia="DengXian" w:hAnsi="Arial" w:cs="Arial"/>
          <w:b/>
          <w:i/>
          <w:sz w:val="36"/>
          <w:u w:val="single"/>
        </w:rPr>
        <w:t>on how they will meet the needs of a diverse range of learners in their own professional practice moving forward.</w:t>
      </w:r>
    </w:p>
    <w:p w14:paraId="1F7EB5AD" w14:textId="77777777" w:rsidR="000D427F" w:rsidRDefault="000D427F" w:rsidP="002E66D8">
      <w:pPr>
        <w:spacing w:after="0" w:line="360" w:lineRule="auto"/>
        <w:rPr>
          <w:rFonts w:ascii="Arial" w:eastAsia="DengXian" w:hAnsi="Arial" w:cs="Arial"/>
          <w:b/>
          <w:i/>
          <w:sz w:val="28"/>
        </w:rPr>
      </w:pPr>
    </w:p>
    <w:p w14:paraId="5ADA5929" w14:textId="2C56F842" w:rsidR="002E66D8" w:rsidRDefault="000D427F" w:rsidP="002E66D8">
      <w:pPr>
        <w:spacing w:after="0" w:line="360" w:lineRule="auto"/>
        <w:rPr>
          <w:rFonts w:ascii="Arial" w:eastAsia="DengXian" w:hAnsi="Arial" w:cs="Arial"/>
          <w:b/>
          <w:i/>
          <w:sz w:val="28"/>
        </w:rPr>
      </w:pPr>
      <w:r>
        <w:rPr>
          <w:rFonts w:ascii="Arial" w:eastAsia="DengXian" w:hAnsi="Arial" w:cs="Arial"/>
          <w:b/>
          <w:i/>
          <w:sz w:val="28"/>
        </w:rPr>
        <w:t>Introduction:</w:t>
      </w:r>
    </w:p>
    <w:p w14:paraId="5272A2CA" w14:textId="441A1084" w:rsidR="00FB45A2" w:rsidRDefault="00DF176E" w:rsidP="00D10D72">
      <w:pPr>
        <w:spacing w:after="0" w:line="360" w:lineRule="auto"/>
        <w:ind w:firstLine="720"/>
        <w:jc w:val="both"/>
        <w:rPr>
          <w:rFonts w:ascii="Arial" w:eastAsia="DengXian" w:hAnsi="Arial" w:cs="Arial"/>
          <w:bCs/>
          <w:iCs/>
          <w:sz w:val="22"/>
          <w:szCs w:val="22"/>
        </w:rPr>
      </w:pPr>
      <w:r w:rsidRPr="00D10D72">
        <w:rPr>
          <w:rFonts w:ascii="Arial" w:eastAsia="DengXian" w:hAnsi="Arial" w:cs="Arial"/>
          <w:bCs/>
          <w:iCs/>
          <w:sz w:val="22"/>
          <w:szCs w:val="22"/>
        </w:rPr>
        <w:t>In part B of this assignment, I will be discussing approaches and interventions that could be put in place to support the findings of my critical incident</w:t>
      </w:r>
      <w:r w:rsidR="00C65995">
        <w:rPr>
          <w:rFonts w:ascii="Arial" w:eastAsia="DengXian" w:hAnsi="Arial" w:cs="Arial"/>
          <w:bCs/>
          <w:iCs/>
          <w:sz w:val="22"/>
          <w:szCs w:val="22"/>
        </w:rPr>
        <w:t>-</w:t>
      </w:r>
      <w:r w:rsidRPr="00D10D72">
        <w:rPr>
          <w:rFonts w:ascii="Arial" w:eastAsia="DengXian" w:hAnsi="Arial" w:cs="Arial"/>
          <w:bCs/>
          <w:iCs/>
          <w:sz w:val="22"/>
          <w:szCs w:val="22"/>
        </w:rPr>
        <w:t xml:space="preserve"> </w:t>
      </w:r>
      <w:r w:rsidR="00FB45A2">
        <w:rPr>
          <w:rFonts w:ascii="Arial" w:eastAsia="DengXian" w:hAnsi="Arial" w:cs="Arial"/>
          <w:bCs/>
          <w:iCs/>
          <w:sz w:val="22"/>
          <w:szCs w:val="22"/>
        </w:rPr>
        <w:t xml:space="preserve">to summarise David Tripp (Tripp 2011), a critical incident is an everyday classroom event that can be interpreted as significant, prompting self-reflection, which will in turn change the strategies one may use to teach. </w:t>
      </w:r>
      <w:r w:rsidR="00C65995">
        <w:rPr>
          <w:rFonts w:ascii="Arial" w:eastAsia="DengXian" w:hAnsi="Arial" w:cs="Arial"/>
          <w:bCs/>
          <w:iCs/>
          <w:sz w:val="22"/>
          <w:szCs w:val="22"/>
        </w:rPr>
        <w:t>In this case, interventions are support strategies used to prioritise helping students to build key skills, access the curriculum in a way that’s made for them, and to support them through their educational journey.</w:t>
      </w:r>
    </w:p>
    <w:p w14:paraId="4B34ED20" w14:textId="54D3170A" w:rsidR="002E66D8" w:rsidRDefault="00FB45A2" w:rsidP="00D10D72">
      <w:pPr>
        <w:spacing w:after="0" w:line="360" w:lineRule="auto"/>
        <w:ind w:firstLine="720"/>
        <w:jc w:val="both"/>
        <w:rPr>
          <w:rFonts w:ascii="Arial" w:hAnsi="Arial" w:cs="Arial"/>
          <w:iCs/>
          <w:sz w:val="22"/>
          <w:szCs w:val="22"/>
        </w:rPr>
      </w:pPr>
      <w:r>
        <w:rPr>
          <w:rFonts w:ascii="Arial" w:eastAsia="DengXian" w:hAnsi="Arial" w:cs="Arial"/>
          <w:bCs/>
          <w:iCs/>
          <w:sz w:val="22"/>
          <w:szCs w:val="22"/>
        </w:rPr>
        <w:t>As supported by part A of this assignment, I used Tripp’s methodology to conclude that Additional Learning Needs (ALN) was a possible factor contributing to the behaviours of</w:t>
      </w:r>
      <w:r w:rsidR="00DF176E" w:rsidRPr="00D10D72">
        <w:rPr>
          <w:rFonts w:ascii="Arial" w:eastAsia="DengXian" w:hAnsi="Arial" w:cs="Arial"/>
          <w:bCs/>
          <w:iCs/>
          <w:sz w:val="22"/>
          <w:szCs w:val="22"/>
        </w:rPr>
        <w:t xml:space="preserve"> Pupil A, who </w:t>
      </w:r>
      <w:r w:rsidR="00B37B4D" w:rsidRPr="00D10D72">
        <w:rPr>
          <w:rFonts w:ascii="Arial" w:eastAsia="DengXian" w:hAnsi="Arial" w:cs="Arial"/>
          <w:bCs/>
          <w:iCs/>
          <w:sz w:val="22"/>
          <w:szCs w:val="22"/>
        </w:rPr>
        <w:t xml:space="preserve">was </w:t>
      </w:r>
      <w:r w:rsidR="00DF176E" w:rsidRPr="00D10D72">
        <w:rPr>
          <w:rFonts w:ascii="Arial" w:eastAsia="DengXian" w:hAnsi="Arial" w:cs="Arial"/>
          <w:bCs/>
          <w:iCs/>
          <w:sz w:val="22"/>
          <w:szCs w:val="22"/>
        </w:rPr>
        <w:t>consistently fidgeting</w:t>
      </w:r>
      <w:r w:rsidR="00B37B4D" w:rsidRPr="00D10D72">
        <w:rPr>
          <w:rFonts w:ascii="Arial" w:eastAsia="DengXian" w:hAnsi="Arial" w:cs="Arial"/>
          <w:bCs/>
          <w:iCs/>
          <w:sz w:val="22"/>
          <w:szCs w:val="22"/>
        </w:rPr>
        <w:t>,</w:t>
      </w:r>
      <w:r w:rsidR="00DF176E" w:rsidRPr="00D10D72">
        <w:rPr>
          <w:rFonts w:ascii="Arial" w:eastAsia="DengXian" w:hAnsi="Arial" w:cs="Arial"/>
          <w:bCs/>
          <w:iCs/>
          <w:sz w:val="22"/>
          <w:szCs w:val="22"/>
        </w:rPr>
        <w:t xml:space="preserve"> swinging on their chair</w:t>
      </w:r>
      <w:r w:rsidR="00B37B4D" w:rsidRPr="00D10D72">
        <w:rPr>
          <w:rFonts w:ascii="Arial" w:eastAsia="DengXian" w:hAnsi="Arial" w:cs="Arial"/>
          <w:bCs/>
          <w:iCs/>
          <w:sz w:val="22"/>
          <w:szCs w:val="22"/>
        </w:rPr>
        <w:t xml:space="preserve"> and repeatedly falling off the</w:t>
      </w:r>
      <w:r w:rsidR="001B453C" w:rsidRPr="00D10D72">
        <w:rPr>
          <w:rFonts w:ascii="Arial" w:eastAsia="DengXian" w:hAnsi="Arial" w:cs="Arial"/>
          <w:bCs/>
          <w:iCs/>
          <w:sz w:val="22"/>
          <w:szCs w:val="22"/>
        </w:rPr>
        <w:t>ir</w:t>
      </w:r>
      <w:r w:rsidR="00B37B4D" w:rsidRPr="00D10D72">
        <w:rPr>
          <w:rFonts w:ascii="Arial" w:eastAsia="DengXian" w:hAnsi="Arial" w:cs="Arial"/>
          <w:bCs/>
          <w:iCs/>
          <w:sz w:val="22"/>
          <w:szCs w:val="22"/>
        </w:rPr>
        <w:t xml:space="preserve"> chair during a classroom discussion. </w:t>
      </w:r>
      <w:r w:rsidR="001B453C" w:rsidRPr="00D10D72">
        <w:rPr>
          <w:rFonts w:ascii="Arial" w:eastAsia="DengXian" w:hAnsi="Arial" w:cs="Arial"/>
          <w:bCs/>
          <w:iCs/>
          <w:sz w:val="22"/>
          <w:szCs w:val="22"/>
        </w:rPr>
        <w:t xml:space="preserve">As an approach, I will be using </w:t>
      </w:r>
      <w:r w:rsidR="00B60C74" w:rsidRPr="00D10D72">
        <w:rPr>
          <w:rFonts w:ascii="Arial" w:eastAsia="DengXian" w:hAnsi="Arial" w:cs="Arial"/>
          <w:bCs/>
          <w:iCs/>
          <w:sz w:val="22"/>
          <w:szCs w:val="22"/>
        </w:rPr>
        <w:t xml:space="preserve">my research into </w:t>
      </w:r>
      <w:r w:rsidR="001B453C" w:rsidRPr="00D10D72">
        <w:rPr>
          <w:rFonts w:ascii="Arial" w:eastAsia="DengXian" w:hAnsi="Arial" w:cs="Arial"/>
          <w:bCs/>
          <w:iCs/>
          <w:sz w:val="22"/>
          <w:szCs w:val="22"/>
        </w:rPr>
        <w:t>Additional Learning Needs</w:t>
      </w:r>
      <w:r w:rsidR="00B60C74" w:rsidRPr="00D10D72">
        <w:rPr>
          <w:rFonts w:ascii="Arial" w:eastAsia="DengXian" w:hAnsi="Arial" w:cs="Arial"/>
          <w:bCs/>
          <w:iCs/>
          <w:sz w:val="22"/>
          <w:szCs w:val="22"/>
        </w:rPr>
        <w:t>,</w:t>
      </w:r>
      <w:r w:rsidR="001B453C" w:rsidRPr="00D10D72">
        <w:rPr>
          <w:rFonts w:ascii="Arial" w:eastAsia="DengXian" w:hAnsi="Arial" w:cs="Arial"/>
          <w:bCs/>
          <w:iCs/>
          <w:sz w:val="22"/>
          <w:szCs w:val="22"/>
        </w:rPr>
        <w:t xml:space="preserve"> </w:t>
      </w:r>
      <w:r w:rsidR="00B60C74" w:rsidRPr="00D10D72">
        <w:rPr>
          <w:rFonts w:ascii="Arial" w:eastAsia="DengXian" w:hAnsi="Arial" w:cs="Arial"/>
          <w:bCs/>
          <w:iCs/>
          <w:sz w:val="22"/>
          <w:szCs w:val="22"/>
        </w:rPr>
        <w:t xml:space="preserve">and the support offered by Curriculum for Wales (CFW), </w:t>
      </w:r>
      <w:r w:rsidR="001B453C" w:rsidRPr="00D10D72">
        <w:rPr>
          <w:rFonts w:ascii="Arial" w:eastAsia="DengXian" w:hAnsi="Arial" w:cs="Arial"/>
          <w:bCs/>
          <w:iCs/>
          <w:sz w:val="22"/>
          <w:szCs w:val="22"/>
        </w:rPr>
        <w:t>to support my two key interventions</w:t>
      </w:r>
      <w:r w:rsidR="00B60C74" w:rsidRPr="00D10D72">
        <w:rPr>
          <w:rFonts w:ascii="Arial" w:eastAsia="DengXian" w:hAnsi="Arial" w:cs="Arial"/>
          <w:bCs/>
          <w:iCs/>
          <w:sz w:val="22"/>
          <w:szCs w:val="22"/>
        </w:rPr>
        <w:t xml:space="preserve">. In Wales, it is </w:t>
      </w:r>
      <w:r w:rsidR="00D10D72" w:rsidRPr="00D10D72">
        <w:rPr>
          <w:rFonts w:ascii="Arial" w:eastAsia="DengXian" w:hAnsi="Arial" w:cs="Arial"/>
          <w:bCs/>
          <w:iCs/>
          <w:sz w:val="22"/>
          <w:szCs w:val="22"/>
        </w:rPr>
        <w:t xml:space="preserve">mandatory </w:t>
      </w:r>
      <w:r w:rsidR="00B60C74" w:rsidRPr="00D10D72">
        <w:rPr>
          <w:rFonts w:ascii="Arial" w:eastAsia="DengXian" w:hAnsi="Arial" w:cs="Arial"/>
          <w:bCs/>
          <w:iCs/>
          <w:sz w:val="22"/>
          <w:szCs w:val="22"/>
        </w:rPr>
        <w:t>for schools to imbed inclusive practices into education</w:t>
      </w:r>
      <w:r w:rsidR="00D10D72" w:rsidRPr="00D10D72">
        <w:rPr>
          <w:rFonts w:ascii="Arial" w:eastAsia="DengXian" w:hAnsi="Arial" w:cs="Arial"/>
          <w:bCs/>
          <w:iCs/>
          <w:sz w:val="22"/>
          <w:szCs w:val="22"/>
        </w:rPr>
        <w:t>, taking into account a learner’s additional needs</w:t>
      </w:r>
      <w:r w:rsidR="00B60C74" w:rsidRPr="00D10D72">
        <w:rPr>
          <w:rFonts w:ascii="Arial" w:eastAsia="DengXian" w:hAnsi="Arial" w:cs="Arial"/>
          <w:bCs/>
          <w:iCs/>
          <w:sz w:val="22"/>
          <w:szCs w:val="22"/>
        </w:rPr>
        <w:t xml:space="preserve">- which </w:t>
      </w:r>
      <w:r w:rsidR="00B60C74" w:rsidRPr="00D10D72">
        <w:rPr>
          <w:rFonts w:ascii="Arial" w:eastAsia="DengXian" w:hAnsi="Arial" w:cs="Arial"/>
          <w:bCs/>
          <w:i/>
          <w:sz w:val="22"/>
          <w:szCs w:val="22"/>
        </w:rPr>
        <w:t>“</w:t>
      </w:r>
      <w:r w:rsidR="00B60C74" w:rsidRPr="00D10D72">
        <w:rPr>
          <w:rFonts w:ascii="Arial" w:hAnsi="Arial" w:cs="Arial"/>
          <w:i/>
          <w:sz w:val="22"/>
          <w:szCs w:val="22"/>
        </w:rPr>
        <w:t xml:space="preserve">places the learners’ views, wishes and feelings at the heart of the process of planning the support required to enable them to learn effectively and achieve their full potential.” </w:t>
      </w:r>
      <w:r w:rsidR="00B60C74" w:rsidRPr="00D10D72">
        <w:rPr>
          <w:rFonts w:ascii="Arial" w:hAnsi="Arial" w:cs="Arial"/>
          <w:iCs/>
          <w:sz w:val="22"/>
          <w:szCs w:val="22"/>
        </w:rPr>
        <w:t xml:space="preserve"> (National Day Nurseries Association, 2025) due to the </w:t>
      </w:r>
      <w:r w:rsidR="00B60C74" w:rsidRPr="00D10D72">
        <w:rPr>
          <w:rFonts w:ascii="Arial" w:hAnsi="Arial" w:cs="Arial"/>
          <w:i/>
          <w:sz w:val="22"/>
          <w:szCs w:val="22"/>
        </w:rPr>
        <w:t>Additional Learning Needs and Education Tribunal (Wales) Act 2018</w:t>
      </w:r>
      <w:r w:rsidR="00B60C74" w:rsidRPr="00D10D72">
        <w:rPr>
          <w:rFonts w:ascii="Arial" w:hAnsi="Arial" w:cs="Arial"/>
          <w:iCs/>
          <w:sz w:val="22"/>
          <w:szCs w:val="22"/>
        </w:rPr>
        <w:t xml:space="preserve"> (Welsh Government, 2018). </w:t>
      </w:r>
      <w:r w:rsidR="00D10D72" w:rsidRPr="00D10D72">
        <w:rPr>
          <w:rFonts w:ascii="Arial" w:hAnsi="Arial" w:cs="Arial"/>
          <w:iCs/>
          <w:sz w:val="22"/>
          <w:szCs w:val="22"/>
        </w:rPr>
        <w:t>Through my interventions, I will be discussing strategies that will help Pupil A receive the best possible education that is tailored to their needs, with this Education Act, and the curriculum in mind.</w:t>
      </w:r>
    </w:p>
    <w:p w14:paraId="7C526185" w14:textId="77777777" w:rsidR="00AE08AB" w:rsidRDefault="00C65995" w:rsidP="00D10D72">
      <w:pPr>
        <w:spacing w:after="0" w:line="360" w:lineRule="auto"/>
        <w:ind w:firstLine="720"/>
        <w:jc w:val="both"/>
        <w:rPr>
          <w:rFonts w:ascii="Arial" w:hAnsi="Arial" w:cs="Arial"/>
          <w:iCs/>
          <w:sz w:val="22"/>
          <w:szCs w:val="22"/>
        </w:rPr>
      </w:pPr>
      <w:r>
        <w:rPr>
          <w:rFonts w:ascii="Arial" w:hAnsi="Arial" w:cs="Arial"/>
          <w:iCs/>
          <w:sz w:val="22"/>
          <w:szCs w:val="22"/>
        </w:rPr>
        <w:t xml:space="preserve">My first focus will be on structuring lessons differently to support learners with Attention Deficit Hyperactivity Disorder (ADHD), </w:t>
      </w:r>
      <w:r w:rsidR="00B95C35">
        <w:rPr>
          <w:rFonts w:ascii="Arial" w:hAnsi="Arial" w:cs="Arial"/>
          <w:iCs/>
          <w:sz w:val="22"/>
          <w:szCs w:val="22"/>
        </w:rPr>
        <w:t>using key findings from resources from the National Health Service (NHS), and ADHD UK (ADHD UK). In addition to this, I will also be focusing on peer tutoring and surrounding the child with good role models</w:t>
      </w:r>
      <w:r w:rsidR="00A6024A">
        <w:rPr>
          <w:rFonts w:ascii="Arial" w:hAnsi="Arial" w:cs="Arial"/>
          <w:iCs/>
          <w:sz w:val="22"/>
          <w:szCs w:val="22"/>
        </w:rPr>
        <w:t>, using factors from Vygotsky’s Zone of Proximal Development (ZPD) to support my point.</w:t>
      </w:r>
      <w:r w:rsidR="00AE08AB">
        <w:rPr>
          <w:rFonts w:ascii="Arial" w:hAnsi="Arial" w:cs="Arial"/>
          <w:iCs/>
          <w:sz w:val="22"/>
          <w:szCs w:val="22"/>
        </w:rPr>
        <w:t xml:space="preserve"> </w:t>
      </w:r>
    </w:p>
    <w:p w14:paraId="5C527686" w14:textId="77777777" w:rsidR="00AE08AB" w:rsidRDefault="00AE08AB" w:rsidP="00AE08AB">
      <w:pPr>
        <w:spacing w:after="0" w:line="360" w:lineRule="auto"/>
        <w:ind w:right="1134"/>
        <w:rPr>
          <w:rFonts w:ascii="Arial" w:eastAsia="DengXian" w:hAnsi="Arial" w:cs="Arial"/>
          <w:b/>
          <w:bCs/>
          <w:i/>
          <w:sz w:val="28"/>
          <w:szCs w:val="28"/>
        </w:rPr>
      </w:pPr>
      <w:r>
        <w:rPr>
          <w:rFonts w:ascii="Arial" w:eastAsia="DengXian" w:hAnsi="Arial" w:cs="Arial"/>
          <w:b/>
          <w:bCs/>
          <w:i/>
          <w:sz w:val="28"/>
          <w:szCs w:val="28"/>
        </w:rPr>
        <w:lastRenderedPageBreak/>
        <w:t>Strategy 1:</w:t>
      </w:r>
    </w:p>
    <w:p w14:paraId="4523DFAF" w14:textId="3D1E7BC0" w:rsidR="002B3054" w:rsidRDefault="00AE08AB" w:rsidP="00564AA9">
      <w:pPr>
        <w:spacing w:after="0" w:line="360" w:lineRule="auto"/>
        <w:ind w:firstLine="720"/>
        <w:jc w:val="both"/>
        <w:rPr>
          <w:rFonts w:ascii="Arial" w:eastAsia="DengXian" w:hAnsi="Arial" w:cs="Arial"/>
          <w:iCs/>
          <w:sz w:val="22"/>
          <w:szCs w:val="22"/>
        </w:rPr>
      </w:pPr>
      <w:r>
        <w:rPr>
          <w:rFonts w:ascii="Arial" w:eastAsia="DengXian" w:hAnsi="Arial" w:cs="Arial"/>
          <w:iCs/>
          <w:sz w:val="22"/>
          <w:szCs w:val="22"/>
        </w:rPr>
        <w:t xml:space="preserve">My first strategy focuses on traditional classroom structure and how this may not be beneficial to students with ALN (more specifically ADHD). </w:t>
      </w:r>
      <w:r w:rsidR="002B3054">
        <w:rPr>
          <w:rFonts w:ascii="Arial" w:eastAsia="DengXian" w:hAnsi="Arial" w:cs="Arial"/>
          <w:iCs/>
          <w:sz w:val="22"/>
          <w:szCs w:val="22"/>
        </w:rPr>
        <w:t xml:space="preserve">Through thorough research, I have concluded that </w:t>
      </w:r>
      <w:r w:rsidR="002B3054" w:rsidRPr="002B3054">
        <w:rPr>
          <w:rFonts w:ascii="Arial" w:eastAsia="DengXian" w:hAnsi="Arial" w:cs="Arial"/>
          <w:i/>
          <w:sz w:val="22"/>
          <w:szCs w:val="22"/>
        </w:rPr>
        <w:t>Cognitive Load Theory</w:t>
      </w:r>
      <w:r w:rsidR="00564AA9">
        <w:rPr>
          <w:rFonts w:ascii="Arial" w:eastAsia="DengXian" w:hAnsi="Arial" w:cs="Arial"/>
          <w:i/>
          <w:sz w:val="22"/>
          <w:szCs w:val="22"/>
        </w:rPr>
        <w:t xml:space="preserve"> (CLT)</w:t>
      </w:r>
      <w:r w:rsidR="002B3054">
        <w:rPr>
          <w:rFonts w:ascii="Arial" w:eastAsia="DengXian" w:hAnsi="Arial" w:cs="Arial"/>
          <w:iCs/>
          <w:sz w:val="22"/>
          <w:szCs w:val="22"/>
        </w:rPr>
        <w:t xml:space="preserve"> (</w:t>
      </w:r>
      <w:proofErr w:type="spellStart"/>
      <w:r w:rsidR="002B3054" w:rsidRPr="002B3054">
        <w:rPr>
          <w:rFonts w:ascii="Arial" w:eastAsia="DengXian" w:hAnsi="Arial" w:cs="Arial"/>
          <w:iCs/>
          <w:sz w:val="22"/>
          <w:szCs w:val="22"/>
        </w:rPr>
        <w:t>Brünken</w:t>
      </w:r>
      <w:proofErr w:type="spellEnd"/>
      <w:r w:rsidR="002B3054" w:rsidRPr="002B3054">
        <w:rPr>
          <w:rFonts w:ascii="Arial" w:eastAsia="DengXian" w:hAnsi="Arial" w:cs="Arial"/>
          <w:iCs/>
          <w:sz w:val="22"/>
          <w:szCs w:val="22"/>
        </w:rPr>
        <w:t>,</w:t>
      </w:r>
      <w:r w:rsidR="002B3054">
        <w:rPr>
          <w:rFonts w:ascii="Arial" w:eastAsia="DengXian" w:hAnsi="Arial" w:cs="Arial"/>
          <w:iCs/>
          <w:sz w:val="22"/>
          <w:szCs w:val="22"/>
        </w:rPr>
        <w:t xml:space="preserve"> </w:t>
      </w:r>
      <w:r w:rsidR="002B3054" w:rsidRPr="002B3054">
        <w:rPr>
          <w:rFonts w:ascii="Arial" w:eastAsia="DengXian" w:hAnsi="Arial" w:cs="Arial"/>
          <w:iCs/>
          <w:sz w:val="22"/>
          <w:szCs w:val="22"/>
        </w:rPr>
        <w:t>Moreno, and Plass,</w:t>
      </w:r>
      <w:r w:rsidR="002B3054">
        <w:rPr>
          <w:rFonts w:ascii="Arial" w:eastAsia="DengXian" w:hAnsi="Arial" w:cs="Arial"/>
          <w:iCs/>
          <w:sz w:val="22"/>
          <w:szCs w:val="22"/>
        </w:rPr>
        <w:t xml:space="preserve"> 2012)</w:t>
      </w:r>
      <w:r>
        <w:rPr>
          <w:rFonts w:ascii="Arial" w:eastAsia="DengXian" w:hAnsi="Arial" w:cs="Arial"/>
          <w:iCs/>
          <w:sz w:val="22"/>
          <w:szCs w:val="22"/>
        </w:rPr>
        <w:t xml:space="preserve"> would suggest </w:t>
      </w:r>
      <w:r w:rsidR="002B3054">
        <w:rPr>
          <w:rFonts w:ascii="Arial" w:eastAsia="DengXian" w:hAnsi="Arial" w:cs="Arial"/>
          <w:iCs/>
          <w:sz w:val="22"/>
          <w:szCs w:val="22"/>
        </w:rPr>
        <w:t>that tasks may be too complex for the learner, resulting in outbursts as seen by Pupil A in my critical incident reflection, due to an overload of the cognitive brain function. However, to contrast this- but still apply it to my intervention strategy, tasks may also be too easy for the learner, not stimulating their brain enough</w:t>
      </w:r>
      <w:r w:rsidR="00631A59">
        <w:rPr>
          <w:rFonts w:ascii="Arial" w:eastAsia="DengXian" w:hAnsi="Arial" w:cs="Arial"/>
          <w:iCs/>
          <w:sz w:val="22"/>
          <w:szCs w:val="22"/>
        </w:rPr>
        <w:t>- which again results in the same sort of outburst</w:t>
      </w:r>
      <w:r w:rsidR="002B3054">
        <w:rPr>
          <w:rFonts w:ascii="Arial" w:eastAsia="DengXian" w:hAnsi="Arial" w:cs="Arial"/>
          <w:iCs/>
          <w:sz w:val="22"/>
          <w:szCs w:val="22"/>
        </w:rPr>
        <w:t xml:space="preserve">. To combat this, I would suggest on </w:t>
      </w:r>
      <w:r>
        <w:rPr>
          <w:rFonts w:ascii="Arial" w:eastAsia="DengXian" w:hAnsi="Arial" w:cs="Arial"/>
          <w:iCs/>
          <w:sz w:val="22"/>
          <w:szCs w:val="22"/>
        </w:rPr>
        <w:t xml:space="preserve">implementing </w:t>
      </w:r>
      <w:r w:rsidR="002B3054">
        <w:rPr>
          <w:rFonts w:ascii="Arial" w:eastAsia="DengXian" w:hAnsi="Arial" w:cs="Arial"/>
          <w:iCs/>
          <w:sz w:val="22"/>
          <w:szCs w:val="22"/>
        </w:rPr>
        <w:t>‘</w:t>
      </w:r>
      <w:r>
        <w:rPr>
          <w:rFonts w:ascii="Arial" w:eastAsia="DengXian" w:hAnsi="Arial" w:cs="Arial"/>
          <w:iCs/>
          <w:sz w:val="22"/>
          <w:szCs w:val="22"/>
        </w:rPr>
        <w:t xml:space="preserve">brain breaks,’ </w:t>
      </w:r>
      <w:r w:rsidR="002B3054">
        <w:rPr>
          <w:rFonts w:ascii="Arial" w:eastAsia="DengXian" w:hAnsi="Arial" w:cs="Arial"/>
          <w:iCs/>
          <w:sz w:val="22"/>
          <w:szCs w:val="22"/>
        </w:rPr>
        <w:t>to</w:t>
      </w:r>
      <w:r>
        <w:rPr>
          <w:rFonts w:ascii="Arial" w:eastAsia="DengXian" w:hAnsi="Arial" w:cs="Arial"/>
          <w:iCs/>
          <w:sz w:val="22"/>
          <w:szCs w:val="22"/>
        </w:rPr>
        <w:t xml:space="preserve"> improve the learning significantly, giving the pupil a chance to decompress and realign their mindset to fit the working environment of a classroom.</w:t>
      </w:r>
      <w:r w:rsidR="002B3054">
        <w:rPr>
          <w:rFonts w:ascii="Arial" w:eastAsia="DengXian" w:hAnsi="Arial" w:cs="Arial"/>
          <w:iCs/>
          <w:sz w:val="22"/>
          <w:szCs w:val="22"/>
        </w:rPr>
        <w:t xml:space="preserve"> This strategy could come in many forms, for example, asking the pupil to handout resources to the class, giving them a break from their desk, and a chance for them to focus their mind on something else. Additionally, these breaks could come in the form of a whole class game, to break up the tension that builds from sitting behind a desk for hours a day.</w:t>
      </w:r>
      <w:r w:rsidR="00631A59">
        <w:rPr>
          <w:rFonts w:ascii="Arial" w:eastAsia="DengXian" w:hAnsi="Arial" w:cs="Arial"/>
          <w:iCs/>
          <w:sz w:val="22"/>
          <w:szCs w:val="22"/>
        </w:rPr>
        <w:t xml:space="preserve"> The NHS suggests that brain breaks in a classroom would benefit someone with ADHD, suggesting it alongside many other strategies that should be implemented to create inclusive learning environments. (NHS, 2025)</w:t>
      </w:r>
    </w:p>
    <w:p w14:paraId="2BAED24F" w14:textId="5C7D4C52" w:rsidR="00564AA9" w:rsidRDefault="00564AA9" w:rsidP="00564AA9">
      <w:pPr>
        <w:spacing w:after="0" w:line="360" w:lineRule="auto"/>
        <w:ind w:firstLine="720"/>
        <w:jc w:val="both"/>
        <w:rPr>
          <w:rFonts w:ascii="Arial" w:eastAsia="DengXian" w:hAnsi="Arial" w:cs="Arial"/>
          <w:iCs/>
          <w:sz w:val="22"/>
          <w:szCs w:val="22"/>
        </w:rPr>
      </w:pPr>
      <w:r>
        <w:rPr>
          <w:rFonts w:ascii="Arial" w:eastAsia="DengXian" w:hAnsi="Arial" w:cs="Arial"/>
          <w:iCs/>
          <w:sz w:val="22"/>
          <w:szCs w:val="22"/>
        </w:rPr>
        <w:t xml:space="preserve">On the other hand, </w:t>
      </w:r>
      <w:r w:rsidR="00D029EC">
        <w:rPr>
          <w:rFonts w:ascii="Arial" w:eastAsia="DengXian" w:hAnsi="Arial" w:cs="Arial"/>
          <w:iCs/>
          <w:sz w:val="22"/>
          <w:szCs w:val="22"/>
        </w:rPr>
        <w:t xml:space="preserve">Lev Vygotsky argues that a child does not naturally ‘self-regulate’ and that this tool would need to be implemented and modelled by an adult </w:t>
      </w:r>
      <w:proofErr w:type="gramStart"/>
      <w:r w:rsidR="00D029EC">
        <w:rPr>
          <w:rFonts w:ascii="Arial" w:eastAsia="DengXian" w:hAnsi="Arial" w:cs="Arial"/>
          <w:iCs/>
          <w:sz w:val="22"/>
          <w:szCs w:val="22"/>
        </w:rPr>
        <w:t>in order for</w:t>
      </w:r>
      <w:proofErr w:type="gramEnd"/>
      <w:r w:rsidR="00D029EC">
        <w:rPr>
          <w:rFonts w:ascii="Arial" w:eastAsia="DengXian" w:hAnsi="Arial" w:cs="Arial"/>
          <w:iCs/>
          <w:sz w:val="22"/>
          <w:szCs w:val="22"/>
        </w:rPr>
        <w:t xml:space="preserve"> a child to fully grasp how to use the tool intentionally and beneficially. </w:t>
      </w:r>
      <w:r w:rsidR="00D029EC" w:rsidRPr="00D029EC">
        <w:rPr>
          <w:rFonts w:ascii="Arial" w:eastAsia="DengXian" w:hAnsi="Arial" w:cs="Arial"/>
          <w:iCs/>
          <w:sz w:val="22"/>
          <w:szCs w:val="22"/>
        </w:rPr>
        <w:t xml:space="preserve">(Vygotsky, 1978) </w:t>
      </w:r>
      <w:r w:rsidR="00D029EC">
        <w:rPr>
          <w:rFonts w:ascii="Arial" w:eastAsia="DengXian" w:hAnsi="Arial" w:cs="Arial"/>
          <w:iCs/>
          <w:sz w:val="22"/>
          <w:szCs w:val="22"/>
        </w:rPr>
        <w:t xml:space="preserve">He also argues that while brain breaks are useful tools in the classroom, that unstructured, or overly stimulating breaks leave the child overwhelmed and unable to learn efficiently. In addition to this, </w:t>
      </w:r>
      <w:r>
        <w:rPr>
          <w:rFonts w:ascii="Arial" w:eastAsia="DengXian" w:hAnsi="Arial" w:cs="Arial"/>
          <w:iCs/>
          <w:sz w:val="22"/>
          <w:szCs w:val="22"/>
        </w:rPr>
        <w:t>CLT suggests that brain breaks in the form of videos or loud music would introduce unnecessary cognitive load, contradicting the purpose of taking those breaks- to ensure the breaks are useful, they must be quiet, calm and relaxed.</w:t>
      </w:r>
    </w:p>
    <w:p w14:paraId="04936ABF" w14:textId="0BD64AA2" w:rsidR="00A6024A" w:rsidRDefault="00631A59" w:rsidP="002B1CA8">
      <w:pPr>
        <w:spacing w:after="0" w:line="360" w:lineRule="auto"/>
        <w:ind w:firstLine="720"/>
        <w:jc w:val="both"/>
        <w:rPr>
          <w:rFonts w:ascii="Arial" w:hAnsi="Arial" w:cs="Arial"/>
          <w:iCs/>
          <w:sz w:val="22"/>
          <w:szCs w:val="22"/>
        </w:rPr>
      </w:pPr>
      <w:r>
        <w:rPr>
          <w:rFonts w:ascii="Arial" w:hAnsi="Arial" w:cs="Arial"/>
          <w:iCs/>
          <w:sz w:val="22"/>
          <w:szCs w:val="22"/>
        </w:rPr>
        <w:t xml:space="preserve">To conclude, I would suggest that </w:t>
      </w:r>
      <w:r w:rsidR="00303D30">
        <w:rPr>
          <w:rFonts w:ascii="Arial" w:hAnsi="Arial" w:cs="Arial"/>
          <w:iCs/>
          <w:sz w:val="22"/>
          <w:szCs w:val="22"/>
        </w:rPr>
        <w:t>while</w:t>
      </w:r>
      <w:r>
        <w:rPr>
          <w:rFonts w:ascii="Arial" w:hAnsi="Arial" w:cs="Arial"/>
          <w:iCs/>
          <w:sz w:val="22"/>
          <w:szCs w:val="22"/>
        </w:rPr>
        <w:t xml:space="preserve"> </w:t>
      </w:r>
      <w:r w:rsidR="00D029EC">
        <w:rPr>
          <w:rFonts w:ascii="Arial" w:hAnsi="Arial" w:cs="Arial"/>
          <w:iCs/>
          <w:sz w:val="22"/>
          <w:szCs w:val="22"/>
        </w:rPr>
        <w:t xml:space="preserve">there are some arguments against using brain breaks as an intervention tool, if used correctly, I believe that they are highly effective in centring a child that needs to regulate their emotions. </w:t>
      </w:r>
      <w:r w:rsidR="00BE5A58">
        <w:rPr>
          <w:rFonts w:ascii="Arial" w:hAnsi="Arial" w:cs="Arial"/>
          <w:iCs/>
          <w:sz w:val="22"/>
          <w:szCs w:val="22"/>
        </w:rPr>
        <w:t>In addition to this, breaks are easy to implement in schools as no resources are needed, which financially benefits the school. Furthermore</w:t>
      </w:r>
      <w:r w:rsidR="00D029EC">
        <w:rPr>
          <w:rFonts w:ascii="Arial" w:hAnsi="Arial" w:cs="Arial"/>
          <w:iCs/>
          <w:sz w:val="22"/>
          <w:szCs w:val="22"/>
        </w:rPr>
        <w:t>,</w:t>
      </w:r>
      <w:r w:rsidR="00303D30">
        <w:rPr>
          <w:rFonts w:ascii="Arial" w:hAnsi="Arial" w:cs="Arial"/>
          <w:iCs/>
          <w:sz w:val="22"/>
          <w:szCs w:val="22"/>
        </w:rPr>
        <w:t xml:space="preserve"> </w:t>
      </w:r>
      <w:r>
        <w:rPr>
          <w:rFonts w:ascii="Arial" w:hAnsi="Arial" w:cs="Arial"/>
          <w:iCs/>
          <w:sz w:val="22"/>
          <w:szCs w:val="22"/>
        </w:rPr>
        <w:t xml:space="preserve">ADHD is a spectrum </w:t>
      </w:r>
      <w:r w:rsidR="00303D30">
        <w:rPr>
          <w:rFonts w:ascii="Arial" w:hAnsi="Arial" w:cs="Arial"/>
          <w:iCs/>
          <w:sz w:val="22"/>
          <w:szCs w:val="22"/>
        </w:rPr>
        <w:t>making</w:t>
      </w:r>
      <w:r>
        <w:rPr>
          <w:rFonts w:ascii="Arial" w:hAnsi="Arial" w:cs="Arial"/>
          <w:iCs/>
          <w:sz w:val="22"/>
          <w:szCs w:val="22"/>
        </w:rPr>
        <w:t xml:space="preserve"> every child different, </w:t>
      </w:r>
      <w:r w:rsidR="00D029EC">
        <w:rPr>
          <w:rFonts w:ascii="Arial" w:hAnsi="Arial" w:cs="Arial"/>
          <w:iCs/>
          <w:sz w:val="22"/>
          <w:szCs w:val="22"/>
        </w:rPr>
        <w:t>but I do believe that any</w:t>
      </w:r>
      <w:r>
        <w:rPr>
          <w:rFonts w:ascii="Arial" w:hAnsi="Arial" w:cs="Arial"/>
          <w:iCs/>
          <w:sz w:val="22"/>
          <w:szCs w:val="22"/>
        </w:rPr>
        <w:t xml:space="preserve"> child could </w:t>
      </w:r>
      <w:r w:rsidR="00303D30">
        <w:rPr>
          <w:rFonts w:ascii="Arial" w:hAnsi="Arial" w:cs="Arial"/>
          <w:iCs/>
          <w:sz w:val="22"/>
          <w:szCs w:val="22"/>
        </w:rPr>
        <w:t xml:space="preserve">and would </w:t>
      </w:r>
      <w:r>
        <w:rPr>
          <w:rFonts w:ascii="Arial" w:hAnsi="Arial" w:cs="Arial"/>
          <w:iCs/>
          <w:sz w:val="22"/>
          <w:szCs w:val="22"/>
        </w:rPr>
        <w:t>benefit from a few minutes of breaks throughout the school day, to ground and refocus them- ensuring that they are in the best possible mindset to receive their education, but that these breaks would be especially beneficial to children with ALN.</w:t>
      </w:r>
      <w:r w:rsidR="00BE5A58">
        <w:rPr>
          <w:rFonts w:ascii="Arial" w:hAnsi="Arial" w:cs="Arial"/>
          <w:iCs/>
          <w:sz w:val="22"/>
          <w:szCs w:val="22"/>
        </w:rPr>
        <w:t xml:space="preserve"> </w:t>
      </w:r>
    </w:p>
    <w:p w14:paraId="7ACFB1A7" w14:textId="77777777" w:rsidR="002B1CA8" w:rsidRDefault="00B37B4D" w:rsidP="002F12BE">
      <w:pPr>
        <w:spacing w:after="0" w:line="360" w:lineRule="auto"/>
        <w:jc w:val="both"/>
        <w:rPr>
          <w:rFonts w:ascii="Arial" w:hAnsi="Arial" w:cs="Arial"/>
          <w:iCs/>
          <w:sz w:val="22"/>
          <w:szCs w:val="22"/>
        </w:rPr>
      </w:pPr>
      <w:r>
        <w:rPr>
          <w:rFonts w:ascii="Arial" w:eastAsia="DengXian" w:hAnsi="Arial" w:cs="Arial"/>
          <w:b/>
          <w:bCs/>
          <w:i/>
          <w:sz w:val="28"/>
          <w:szCs w:val="28"/>
        </w:rPr>
        <w:t>Strategy 2:</w:t>
      </w:r>
      <w:r w:rsidR="002B1CA8" w:rsidRPr="002B1CA8">
        <w:rPr>
          <w:rFonts w:ascii="Arial" w:hAnsi="Arial" w:cs="Arial"/>
          <w:iCs/>
          <w:sz w:val="22"/>
          <w:szCs w:val="22"/>
        </w:rPr>
        <w:t xml:space="preserve"> </w:t>
      </w:r>
    </w:p>
    <w:p w14:paraId="4F91B580" w14:textId="04624C6A" w:rsidR="002B1CA8" w:rsidRDefault="002B1CA8" w:rsidP="002B1CA8">
      <w:pPr>
        <w:spacing w:after="0" w:line="360" w:lineRule="auto"/>
        <w:ind w:firstLine="720"/>
        <w:jc w:val="both"/>
        <w:rPr>
          <w:rFonts w:ascii="Arial" w:hAnsi="Arial" w:cs="Arial"/>
          <w:iCs/>
          <w:sz w:val="22"/>
          <w:szCs w:val="22"/>
        </w:rPr>
      </w:pPr>
      <w:r>
        <w:rPr>
          <w:rFonts w:ascii="Arial" w:hAnsi="Arial" w:cs="Arial"/>
          <w:iCs/>
          <w:sz w:val="22"/>
          <w:szCs w:val="22"/>
        </w:rPr>
        <w:t xml:space="preserve">My second intervention strategy would be to implement peer mentoring through seating plans that would utilise pairing ALN learners with high achieving pupils. Not only would this help the individual improve their classwork, </w:t>
      </w:r>
      <w:proofErr w:type="gramStart"/>
      <w:r>
        <w:rPr>
          <w:rFonts w:ascii="Arial" w:hAnsi="Arial" w:cs="Arial"/>
          <w:iCs/>
          <w:sz w:val="22"/>
          <w:szCs w:val="22"/>
        </w:rPr>
        <w:t>it</w:t>
      </w:r>
      <w:proofErr w:type="gramEnd"/>
      <w:r>
        <w:rPr>
          <w:rFonts w:ascii="Arial" w:hAnsi="Arial" w:cs="Arial"/>
          <w:iCs/>
          <w:sz w:val="22"/>
          <w:szCs w:val="22"/>
        </w:rPr>
        <w:t xml:space="preserve"> also links to the CLT mentioned in strategy one- if a pupil finds the task too hard but has a peer mentor to work with, this may reduce </w:t>
      </w:r>
      <w:r>
        <w:rPr>
          <w:rFonts w:ascii="Arial" w:hAnsi="Arial" w:cs="Arial"/>
          <w:iCs/>
          <w:sz w:val="22"/>
          <w:szCs w:val="22"/>
        </w:rPr>
        <w:lastRenderedPageBreak/>
        <w:t xml:space="preserve">outbursts seen in classrooms. In addition to CLT, Vygotsky’s ZPD states that learning happens best around a </w:t>
      </w:r>
      <w:r>
        <w:rPr>
          <w:rFonts w:ascii="Arial" w:hAnsi="Arial" w:cs="Arial"/>
          <w:i/>
          <w:sz w:val="22"/>
          <w:szCs w:val="22"/>
        </w:rPr>
        <w:t xml:space="preserve">more knowledgeable other </w:t>
      </w:r>
      <w:r>
        <w:rPr>
          <w:rFonts w:ascii="Arial" w:hAnsi="Arial" w:cs="Arial"/>
          <w:iCs/>
          <w:sz w:val="22"/>
          <w:szCs w:val="22"/>
        </w:rPr>
        <w:t>(MKO) (</w:t>
      </w:r>
      <w:proofErr w:type="spellStart"/>
      <w:r>
        <w:rPr>
          <w:rFonts w:ascii="Arial" w:hAnsi="Arial" w:cs="Arial"/>
          <w:iCs/>
          <w:sz w:val="22"/>
          <w:szCs w:val="22"/>
        </w:rPr>
        <w:t>Kozulin</w:t>
      </w:r>
      <w:proofErr w:type="spellEnd"/>
      <w:r>
        <w:rPr>
          <w:rFonts w:ascii="Arial" w:hAnsi="Arial" w:cs="Arial"/>
          <w:iCs/>
          <w:sz w:val="22"/>
          <w:szCs w:val="22"/>
        </w:rPr>
        <w:t xml:space="preserve"> 2003)</w:t>
      </w:r>
      <w:r w:rsidR="0062444C">
        <w:rPr>
          <w:rFonts w:ascii="Arial" w:hAnsi="Arial" w:cs="Arial"/>
          <w:iCs/>
          <w:sz w:val="22"/>
          <w:szCs w:val="22"/>
        </w:rPr>
        <w:t xml:space="preserve">. This means that the high performing child will scaffold sufficient working techniques, that the child with ADHD should in theory pick up on. As executive dysfunction is common in children with ADHD (ADHD UK, 2017), the peer mentor would step in right before executive dysfunction takes over, ensuring that learning persists despite an internal challenge arising for the neurodiverse learner. In addition to this, Vygotsky states </w:t>
      </w:r>
      <w:r w:rsidR="002F12BE">
        <w:rPr>
          <w:rFonts w:ascii="Arial" w:hAnsi="Arial" w:cs="Arial"/>
          <w:iCs/>
          <w:sz w:val="22"/>
          <w:szCs w:val="22"/>
        </w:rPr>
        <w:t xml:space="preserve">that learning shifts from talking to others, to talking to oneself out loud, to internally talking to oneself. Although I agree with this in most cases, learners with ADHD function differently, and often struggle to internalise and digest thoughts- peer mentoring through pedagogical techniques like </w:t>
      </w:r>
      <w:r w:rsidR="002F12BE" w:rsidRPr="002F12BE">
        <w:rPr>
          <w:rFonts w:ascii="Arial" w:hAnsi="Arial" w:cs="Arial"/>
          <w:i/>
          <w:sz w:val="22"/>
          <w:szCs w:val="22"/>
        </w:rPr>
        <w:t>think, pair, share</w:t>
      </w:r>
      <w:r w:rsidR="002F12BE">
        <w:rPr>
          <w:rFonts w:ascii="Arial" w:hAnsi="Arial" w:cs="Arial"/>
          <w:i/>
          <w:sz w:val="22"/>
          <w:szCs w:val="22"/>
        </w:rPr>
        <w:t xml:space="preserve"> </w:t>
      </w:r>
      <w:r w:rsidR="002F12BE">
        <w:rPr>
          <w:rFonts w:ascii="Arial" w:hAnsi="Arial" w:cs="Arial"/>
          <w:iCs/>
          <w:sz w:val="22"/>
          <w:szCs w:val="22"/>
        </w:rPr>
        <w:t xml:space="preserve">(Lyman, F, JR. 2022) flip that narrative by reversing the shifts, which would work best for someone with ADHD as it </w:t>
      </w:r>
      <w:r w:rsidR="00BE5A58">
        <w:rPr>
          <w:rFonts w:ascii="Arial" w:hAnsi="Arial" w:cs="Arial"/>
          <w:iCs/>
          <w:sz w:val="22"/>
          <w:szCs w:val="22"/>
        </w:rPr>
        <w:t>links</w:t>
      </w:r>
      <w:r w:rsidR="002F12BE">
        <w:rPr>
          <w:rFonts w:ascii="Arial" w:hAnsi="Arial" w:cs="Arial"/>
          <w:iCs/>
          <w:sz w:val="22"/>
          <w:szCs w:val="22"/>
        </w:rPr>
        <w:t xml:space="preserve"> cognitive ‘pacing’ directly into learning socially.</w:t>
      </w:r>
    </w:p>
    <w:p w14:paraId="6AA5FA96" w14:textId="1CC6CFDD" w:rsidR="00BE5A58" w:rsidRDefault="00BE5A58" w:rsidP="002B1CA8">
      <w:pPr>
        <w:spacing w:after="0" w:line="360" w:lineRule="auto"/>
        <w:ind w:firstLine="720"/>
        <w:jc w:val="both"/>
        <w:rPr>
          <w:rFonts w:ascii="Arial" w:hAnsi="Arial" w:cs="Arial"/>
          <w:iCs/>
          <w:sz w:val="22"/>
          <w:szCs w:val="22"/>
        </w:rPr>
      </w:pPr>
      <w:r>
        <w:rPr>
          <w:rFonts w:ascii="Arial" w:hAnsi="Arial" w:cs="Arial"/>
          <w:iCs/>
          <w:sz w:val="22"/>
          <w:szCs w:val="22"/>
        </w:rPr>
        <w:t>On the other hand, peer mentoring may not always be the best possible option- although learners model behaviours from others, this could have a negative impact on the high</w:t>
      </w:r>
      <w:r w:rsidR="004050FF">
        <w:rPr>
          <w:rFonts w:ascii="Arial" w:hAnsi="Arial" w:cs="Arial"/>
          <w:iCs/>
          <w:sz w:val="22"/>
          <w:szCs w:val="22"/>
        </w:rPr>
        <w:t>er</w:t>
      </w:r>
      <w:r>
        <w:rPr>
          <w:rFonts w:ascii="Arial" w:hAnsi="Arial" w:cs="Arial"/>
          <w:iCs/>
          <w:sz w:val="22"/>
          <w:szCs w:val="22"/>
        </w:rPr>
        <w:t xml:space="preserve"> achieving student. Albert Bandura argues that if both the mentor and mentee have similar cognitive functions, this could create a negative behaviour loop, negatively impacting on the learning. (Bandura, A. 1977) </w:t>
      </w:r>
      <w:r w:rsidR="004050FF">
        <w:rPr>
          <w:rFonts w:ascii="Arial" w:hAnsi="Arial" w:cs="Arial"/>
          <w:iCs/>
          <w:sz w:val="22"/>
          <w:szCs w:val="22"/>
        </w:rPr>
        <w:t>To some extent, I would agree with this, peer-mentoring takes a few trial-and-error runs, but once you find the right pairing, it works excellently in helping the ALN learner thrive. However, this takes time, and in the teaching profession, you may not always have the time you need to work out what seating arrangement works best for your class.</w:t>
      </w:r>
    </w:p>
    <w:p w14:paraId="1A9A9DAA" w14:textId="589D7A09" w:rsidR="004050FF" w:rsidRDefault="004050FF" w:rsidP="004050FF">
      <w:pPr>
        <w:spacing w:after="0" w:line="360" w:lineRule="auto"/>
        <w:ind w:firstLine="720"/>
        <w:jc w:val="both"/>
        <w:rPr>
          <w:rFonts w:ascii="Arial" w:hAnsi="Arial" w:cs="Arial"/>
          <w:iCs/>
          <w:sz w:val="22"/>
          <w:szCs w:val="22"/>
        </w:rPr>
      </w:pPr>
      <w:r>
        <w:rPr>
          <w:rFonts w:ascii="Arial" w:hAnsi="Arial" w:cs="Arial"/>
          <w:iCs/>
          <w:sz w:val="22"/>
          <w:szCs w:val="22"/>
        </w:rPr>
        <w:t xml:space="preserve">To conclude, there are both positives and negatives of implementing peer-mentoring. One of the biggest positives though, is that it promotes </w:t>
      </w:r>
      <w:r>
        <w:rPr>
          <w:rFonts w:ascii="Arial" w:hAnsi="Arial" w:cs="Arial"/>
          <w:i/>
          <w:sz w:val="22"/>
          <w:szCs w:val="22"/>
        </w:rPr>
        <w:t>ambitious, capable learners</w:t>
      </w:r>
      <w:r>
        <w:rPr>
          <w:rFonts w:ascii="Arial" w:hAnsi="Arial" w:cs="Arial"/>
          <w:iCs/>
          <w:sz w:val="22"/>
          <w:szCs w:val="22"/>
        </w:rPr>
        <w:t xml:space="preserve"> (Welsh Government, 2025) through social learning, which is one of the four purposes in the Welsh Curriculum.</w:t>
      </w:r>
      <w:r w:rsidR="00A37B6D">
        <w:rPr>
          <w:rFonts w:ascii="Arial" w:hAnsi="Arial" w:cs="Arial"/>
          <w:iCs/>
          <w:sz w:val="22"/>
          <w:szCs w:val="22"/>
        </w:rPr>
        <w:t xml:space="preserve"> If done correctly, it also helps ALN learners stay focused in class and achieve higher grades.</w:t>
      </w:r>
    </w:p>
    <w:p w14:paraId="147F824D" w14:textId="23ECBD47" w:rsidR="00B37B4D" w:rsidRDefault="00B37B4D" w:rsidP="000D427F">
      <w:pPr>
        <w:spacing w:after="0" w:line="360" w:lineRule="auto"/>
        <w:ind w:right="1134"/>
        <w:rPr>
          <w:rFonts w:ascii="Arial" w:eastAsia="DengXian" w:hAnsi="Arial" w:cs="Arial"/>
          <w:b/>
          <w:bCs/>
          <w:i/>
          <w:sz w:val="28"/>
          <w:szCs w:val="28"/>
        </w:rPr>
      </w:pPr>
    </w:p>
    <w:p w14:paraId="2DD83829" w14:textId="61AD8C02" w:rsidR="00B37B4D" w:rsidRDefault="00B37B4D" w:rsidP="000D427F">
      <w:pPr>
        <w:spacing w:after="0" w:line="360" w:lineRule="auto"/>
        <w:ind w:right="1134"/>
        <w:rPr>
          <w:rFonts w:ascii="Arial" w:eastAsia="DengXian" w:hAnsi="Arial" w:cs="Arial"/>
          <w:b/>
          <w:bCs/>
          <w:i/>
          <w:sz w:val="28"/>
          <w:szCs w:val="28"/>
        </w:rPr>
      </w:pPr>
      <w:r>
        <w:rPr>
          <w:rFonts w:ascii="Arial" w:eastAsia="DengXian" w:hAnsi="Arial" w:cs="Arial"/>
          <w:b/>
          <w:bCs/>
          <w:i/>
          <w:sz w:val="28"/>
          <w:szCs w:val="28"/>
        </w:rPr>
        <w:t>Reflection:</w:t>
      </w:r>
      <w:r w:rsidR="001B453C">
        <w:rPr>
          <w:rFonts w:ascii="Arial" w:eastAsia="DengXian" w:hAnsi="Arial" w:cs="Arial"/>
          <w:b/>
          <w:bCs/>
          <w:i/>
          <w:sz w:val="28"/>
          <w:szCs w:val="28"/>
        </w:rPr>
        <w:t xml:space="preserve"> </w:t>
      </w:r>
    </w:p>
    <w:p w14:paraId="4C25D8B0" w14:textId="652EB4C4" w:rsidR="00A37B6D" w:rsidRPr="004050FF" w:rsidRDefault="00A37B6D" w:rsidP="00A37B6D">
      <w:pPr>
        <w:spacing w:after="0" w:line="360" w:lineRule="auto"/>
        <w:ind w:firstLine="720"/>
        <w:jc w:val="both"/>
        <w:rPr>
          <w:rFonts w:ascii="Arial" w:hAnsi="Arial" w:cs="Arial"/>
          <w:iCs/>
          <w:sz w:val="22"/>
          <w:szCs w:val="22"/>
        </w:rPr>
      </w:pPr>
      <w:r>
        <w:rPr>
          <w:rFonts w:ascii="Arial" w:hAnsi="Arial" w:cs="Arial"/>
          <w:iCs/>
          <w:sz w:val="22"/>
          <w:szCs w:val="22"/>
        </w:rPr>
        <w:t xml:space="preserve">In conclusion, although there are negatives to both strategies, I think the positives outweigh them. Weaving support strategies for ALN learners through mainstream education is </w:t>
      </w:r>
      <w:proofErr w:type="gramStart"/>
      <w:r>
        <w:rPr>
          <w:rFonts w:ascii="Arial" w:hAnsi="Arial" w:cs="Arial"/>
          <w:iCs/>
          <w:sz w:val="22"/>
          <w:szCs w:val="22"/>
        </w:rPr>
        <w:t>absolutely vital</w:t>
      </w:r>
      <w:proofErr w:type="gramEnd"/>
      <w:r>
        <w:rPr>
          <w:rFonts w:ascii="Arial" w:hAnsi="Arial" w:cs="Arial"/>
          <w:iCs/>
          <w:sz w:val="22"/>
          <w:szCs w:val="22"/>
        </w:rPr>
        <w:t xml:space="preserve"> for ensuring they receive the best possible education to reach their full potential. Furthermore, both strategies mentioned in this essay incur no additional costs for the schools which would be highly beneficial given that funding for education isn’t always guaranteed. Going forward in my teaching career, I will be sure to implement these strategies wherever possible, as they require no resources other than time. </w:t>
      </w:r>
    </w:p>
    <w:p w14:paraId="064F2736" w14:textId="77777777" w:rsidR="00A37B6D" w:rsidRDefault="00A37B6D" w:rsidP="000D427F">
      <w:pPr>
        <w:spacing w:after="0" w:line="360" w:lineRule="auto"/>
        <w:ind w:right="1134"/>
        <w:rPr>
          <w:rFonts w:ascii="Arial" w:eastAsia="DengXian" w:hAnsi="Arial" w:cs="Arial"/>
          <w:b/>
          <w:bCs/>
          <w:i/>
          <w:sz w:val="28"/>
          <w:szCs w:val="28"/>
        </w:rPr>
      </w:pPr>
    </w:p>
    <w:p w14:paraId="2DA2977F" w14:textId="2D2CF6AF" w:rsidR="00A37B6D" w:rsidRDefault="00A37B6D" w:rsidP="000D427F">
      <w:pPr>
        <w:spacing w:after="0" w:line="360" w:lineRule="auto"/>
        <w:ind w:right="1134"/>
        <w:rPr>
          <w:rFonts w:ascii="Arial" w:eastAsia="DengXian" w:hAnsi="Arial" w:cs="Arial"/>
          <w:b/>
          <w:bCs/>
          <w:i/>
          <w:sz w:val="28"/>
          <w:szCs w:val="28"/>
        </w:rPr>
      </w:pPr>
      <w:r>
        <w:rPr>
          <w:rFonts w:ascii="Arial" w:eastAsia="DengXian" w:hAnsi="Arial" w:cs="Arial"/>
          <w:b/>
          <w:bCs/>
          <w:i/>
          <w:sz w:val="28"/>
          <w:szCs w:val="28"/>
        </w:rPr>
        <w:t>Word Count: 1308</w:t>
      </w:r>
    </w:p>
    <w:p w14:paraId="357DC8AF" w14:textId="1DE6EEB4" w:rsidR="000D427F" w:rsidRDefault="00B37B4D" w:rsidP="000D427F">
      <w:pPr>
        <w:spacing w:after="0" w:line="360" w:lineRule="auto"/>
        <w:ind w:right="1134"/>
        <w:rPr>
          <w:rFonts w:ascii="Arial" w:eastAsia="DengXian" w:hAnsi="Arial" w:cs="Arial"/>
          <w:b/>
          <w:bCs/>
          <w:i/>
          <w:sz w:val="28"/>
          <w:szCs w:val="28"/>
        </w:rPr>
      </w:pPr>
      <w:r w:rsidRPr="00B37B4D">
        <w:rPr>
          <w:rFonts w:ascii="Arial" w:eastAsia="DengXian" w:hAnsi="Arial" w:cs="Arial"/>
          <w:b/>
          <w:bCs/>
          <w:i/>
          <w:sz w:val="28"/>
          <w:szCs w:val="28"/>
        </w:rPr>
        <w:lastRenderedPageBreak/>
        <w:t>Referencing List:</w:t>
      </w:r>
    </w:p>
    <w:p w14:paraId="450DF5A2" w14:textId="36262735" w:rsidR="00A6024A" w:rsidRDefault="00A6024A" w:rsidP="00FB45A2">
      <w:pPr>
        <w:spacing w:after="0" w:line="360" w:lineRule="auto"/>
        <w:ind w:right="1134"/>
        <w:rPr>
          <w:rFonts w:ascii="Arial" w:eastAsia="DengXian" w:hAnsi="Arial" w:cs="Arial"/>
          <w:i/>
          <w:sz w:val="22"/>
          <w:szCs w:val="22"/>
        </w:rPr>
      </w:pPr>
      <w:r>
        <w:rPr>
          <w:rFonts w:ascii="Arial" w:eastAsia="DengXian" w:hAnsi="Arial" w:cs="Arial"/>
          <w:b/>
          <w:bCs/>
          <w:iCs/>
          <w:sz w:val="22"/>
          <w:szCs w:val="22"/>
        </w:rPr>
        <w:t xml:space="preserve">ADHD UK </w:t>
      </w:r>
      <w:r>
        <w:rPr>
          <w:rFonts w:ascii="Arial" w:eastAsia="DengXian" w:hAnsi="Arial" w:cs="Arial"/>
          <w:iCs/>
          <w:sz w:val="22"/>
          <w:szCs w:val="22"/>
        </w:rPr>
        <w:t xml:space="preserve">(2017) </w:t>
      </w:r>
      <w:r>
        <w:rPr>
          <w:rFonts w:ascii="Arial" w:eastAsia="DengXian" w:hAnsi="Arial" w:cs="Arial"/>
          <w:i/>
          <w:sz w:val="22"/>
          <w:szCs w:val="22"/>
        </w:rPr>
        <w:t xml:space="preserve">UK Teachers and ADHD </w:t>
      </w:r>
      <w:hyperlink r:id="rId10" w:history="1">
        <w:r w:rsidRPr="00532065">
          <w:rPr>
            <w:rStyle w:val="Hyperlink"/>
            <w:rFonts w:ascii="Arial" w:eastAsia="DengXian" w:hAnsi="Arial" w:cs="Arial"/>
            <w:i/>
            <w:sz w:val="22"/>
            <w:szCs w:val="22"/>
          </w:rPr>
          <w:t>https://adhduk.co.uk/teachers-and-adhd/</w:t>
        </w:r>
      </w:hyperlink>
      <w:r>
        <w:rPr>
          <w:rFonts w:ascii="Arial" w:eastAsia="DengXian" w:hAnsi="Arial" w:cs="Arial"/>
          <w:i/>
          <w:sz w:val="22"/>
          <w:szCs w:val="22"/>
        </w:rPr>
        <w:t xml:space="preserve"> </w:t>
      </w:r>
    </w:p>
    <w:p w14:paraId="5DCCBCD6" w14:textId="3EF2C006" w:rsidR="00BE5A58" w:rsidRPr="00BE5A58" w:rsidRDefault="00BE5A58" w:rsidP="00FB45A2">
      <w:pPr>
        <w:spacing w:after="0" w:line="360" w:lineRule="auto"/>
        <w:ind w:right="1134"/>
        <w:rPr>
          <w:rFonts w:ascii="Arial" w:eastAsia="DengXian" w:hAnsi="Arial" w:cs="Arial"/>
          <w:iCs/>
          <w:sz w:val="22"/>
          <w:szCs w:val="22"/>
        </w:rPr>
      </w:pPr>
      <w:r>
        <w:rPr>
          <w:rFonts w:ascii="Arial" w:eastAsia="DengXian" w:hAnsi="Arial" w:cs="Arial"/>
          <w:b/>
          <w:bCs/>
          <w:iCs/>
          <w:sz w:val="22"/>
          <w:szCs w:val="22"/>
        </w:rPr>
        <w:t xml:space="preserve">Bandura, A. </w:t>
      </w:r>
      <w:r>
        <w:rPr>
          <w:rFonts w:ascii="Arial" w:eastAsia="DengXian" w:hAnsi="Arial" w:cs="Arial"/>
          <w:iCs/>
          <w:sz w:val="22"/>
          <w:szCs w:val="22"/>
        </w:rPr>
        <w:t xml:space="preserve">(1977) </w:t>
      </w:r>
      <w:r>
        <w:rPr>
          <w:rFonts w:ascii="Arial" w:eastAsia="DengXian" w:hAnsi="Arial" w:cs="Arial"/>
          <w:i/>
          <w:sz w:val="22"/>
          <w:szCs w:val="22"/>
        </w:rPr>
        <w:t xml:space="preserve">Social Learning Theory </w:t>
      </w:r>
      <w:r>
        <w:rPr>
          <w:rFonts w:ascii="Arial" w:eastAsia="DengXian" w:hAnsi="Arial" w:cs="Arial"/>
          <w:iCs/>
          <w:sz w:val="22"/>
          <w:szCs w:val="22"/>
        </w:rPr>
        <w:t xml:space="preserve">Pg </w:t>
      </w:r>
      <w:r w:rsidR="004050FF">
        <w:rPr>
          <w:rFonts w:ascii="Arial" w:eastAsia="DengXian" w:hAnsi="Arial" w:cs="Arial"/>
          <w:iCs/>
          <w:sz w:val="22"/>
          <w:szCs w:val="22"/>
        </w:rPr>
        <w:t>8-11</w:t>
      </w:r>
    </w:p>
    <w:p w14:paraId="20E453E8" w14:textId="2481A9F7" w:rsidR="009742A3" w:rsidRPr="009742A3" w:rsidRDefault="009742A3" w:rsidP="009742A3">
      <w:pPr>
        <w:spacing w:after="0" w:line="360" w:lineRule="auto"/>
        <w:ind w:right="1134"/>
        <w:rPr>
          <w:rFonts w:ascii="Arial" w:eastAsia="DengXian" w:hAnsi="Arial" w:cs="Arial"/>
          <w:iCs/>
          <w:sz w:val="22"/>
          <w:szCs w:val="22"/>
        </w:rPr>
      </w:pPr>
      <w:proofErr w:type="spellStart"/>
      <w:r w:rsidRPr="009742A3">
        <w:rPr>
          <w:rFonts w:ascii="Arial" w:eastAsia="DengXian" w:hAnsi="Arial" w:cs="Arial"/>
          <w:b/>
          <w:bCs/>
          <w:iCs/>
          <w:sz w:val="22"/>
          <w:szCs w:val="22"/>
        </w:rPr>
        <w:t>Brünken</w:t>
      </w:r>
      <w:proofErr w:type="spellEnd"/>
      <w:r>
        <w:rPr>
          <w:rFonts w:ascii="Arial" w:eastAsia="DengXian" w:hAnsi="Arial" w:cs="Arial"/>
          <w:b/>
          <w:bCs/>
          <w:iCs/>
          <w:sz w:val="22"/>
          <w:szCs w:val="22"/>
        </w:rPr>
        <w:t xml:space="preserve">, R. Moreno, R. and Plass, J.L. </w:t>
      </w:r>
      <w:r>
        <w:rPr>
          <w:rFonts w:ascii="Arial" w:eastAsia="DengXian" w:hAnsi="Arial" w:cs="Arial"/>
          <w:iCs/>
          <w:sz w:val="22"/>
          <w:szCs w:val="22"/>
        </w:rPr>
        <w:t xml:space="preserve">(2012) </w:t>
      </w:r>
      <w:r>
        <w:rPr>
          <w:rFonts w:ascii="Arial" w:eastAsia="DengXian" w:hAnsi="Arial" w:cs="Arial"/>
          <w:i/>
          <w:sz w:val="22"/>
          <w:szCs w:val="22"/>
        </w:rPr>
        <w:t>Cognitive Load Theory</w:t>
      </w:r>
      <w:r>
        <w:rPr>
          <w:rFonts w:ascii="Arial" w:eastAsia="DengXian" w:hAnsi="Arial" w:cs="Arial"/>
          <w:iCs/>
          <w:sz w:val="22"/>
          <w:szCs w:val="22"/>
        </w:rPr>
        <w:t>, Cambridge University. (Pg</w:t>
      </w:r>
      <w:r w:rsidR="002B3054">
        <w:rPr>
          <w:rFonts w:ascii="Arial" w:eastAsia="DengXian" w:hAnsi="Arial" w:cs="Arial"/>
          <w:iCs/>
          <w:sz w:val="22"/>
          <w:szCs w:val="22"/>
        </w:rPr>
        <w:t xml:space="preserve"> 2-6)</w:t>
      </w:r>
    </w:p>
    <w:p w14:paraId="472DEB6B" w14:textId="29A1F3AD" w:rsidR="00FB45A2" w:rsidRDefault="00FB45A2" w:rsidP="00FB45A2">
      <w:pPr>
        <w:spacing w:after="0" w:line="360" w:lineRule="auto"/>
        <w:ind w:right="1134"/>
        <w:rPr>
          <w:rFonts w:ascii="Arial" w:eastAsia="DengXian" w:hAnsi="Arial" w:cs="Arial"/>
          <w:i/>
          <w:sz w:val="22"/>
          <w:szCs w:val="22"/>
        </w:rPr>
      </w:pPr>
      <w:r w:rsidRPr="00C65995">
        <w:rPr>
          <w:rFonts w:ascii="Arial" w:eastAsia="DengXian" w:hAnsi="Arial" w:cs="Arial"/>
          <w:b/>
          <w:bCs/>
          <w:iCs/>
          <w:sz w:val="22"/>
          <w:szCs w:val="22"/>
        </w:rPr>
        <w:t>Curriculum For Wales</w:t>
      </w:r>
      <w:r>
        <w:rPr>
          <w:rFonts w:ascii="Arial" w:eastAsia="DengXian" w:hAnsi="Arial" w:cs="Arial"/>
          <w:iCs/>
          <w:sz w:val="22"/>
          <w:szCs w:val="22"/>
        </w:rPr>
        <w:t xml:space="preserve"> (2025) </w:t>
      </w:r>
      <w:hyperlink r:id="rId11" w:history="1">
        <w:r w:rsidRPr="00532065">
          <w:rPr>
            <w:rStyle w:val="Hyperlink"/>
            <w:rFonts w:ascii="Arial" w:eastAsia="DengXian" w:hAnsi="Arial" w:cs="Arial"/>
            <w:i/>
            <w:sz w:val="22"/>
            <w:szCs w:val="22"/>
          </w:rPr>
          <w:t>https://hwb.gov.wales/curriculum-for-wales/summary-of-legislation/</w:t>
        </w:r>
      </w:hyperlink>
    </w:p>
    <w:p w14:paraId="5B0128D5" w14:textId="6B59570C" w:rsidR="00FB45A2" w:rsidRDefault="00FB45A2" w:rsidP="00FB45A2">
      <w:pPr>
        <w:spacing w:after="0" w:line="360" w:lineRule="auto"/>
        <w:ind w:right="1134"/>
        <w:rPr>
          <w:rStyle w:val="agcmg"/>
          <w:rFonts w:ascii="Arial" w:hAnsi="Arial" w:cs="Arial"/>
          <w:sz w:val="22"/>
          <w:szCs w:val="22"/>
        </w:rPr>
      </w:pPr>
      <w:r w:rsidRPr="00C65995">
        <w:rPr>
          <w:rStyle w:val="agcmg"/>
          <w:rFonts w:ascii="Arial" w:hAnsi="Arial" w:cs="Arial"/>
          <w:b/>
          <w:bCs/>
          <w:sz w:val="22"/>
          <w:szCs w:val="22"/>
        </w:rPr>
        <w:t>David Tripp</w:t>
      </w:r>
      <w:r w:rsidRPr="00FB45A2">
        <w:rPr>
          <w:rStyle w:val="agcmg"/>
          <w:rFonts w:ascii="Arial" w:hAnsi="Arial" w:cs="Arial"/>
          <w:sz w:val="22"/>
          <w:szCs w:val="22"/>
        </w:rPr>
        <w:t xml:space="preserve"> (2011) </w:t>
      </w:r>
      <w:r w:rsidRPr="00FB45A2">
        <w:rPr>
          <w:rStyle w:val="agcmg"/>
          <w:rFonts w:ascii="Arial" w:hAnsi="Arial" w:cs="Arial"/>
          <w:i/>
          <w:iCs/>
          <w:sz w:val="22"/>
          <w:szCs w:val="22"/>
        </w:rPr>
        <w:t xml:space="preserve">Critical Incidents in Teaching: Developing Professional Judgement. </w:t>
      </w:r>
      <w:r w:rsidRPr="00FB45A2">
        <w:rPr>
          <w:rStyle w:val="agcmg"/>
          <w:rFonts w:ascii="Arial" w:hAnsi="Arial" w:cs="Arial"/>
          <w:sz w:val="22"/>
          <w:szCs w:val="22"/>
        </w:rPr>
        <w:t>Classic Ed. Taylor and Francis.</w:t>
      </w:r>
      <w:r w:rsidR="0062444C">
        <w:rPr>
          <w:rStyle w:val="agcmg"/>
          <w:rFonts w:ascii="Arial" w:hAnsi="Arial" w:cs="Arial"/>
          <w:sz w:val="22"/>
          <w:szCs w:val="22"/>
        </w:rPr>
        <w:t xml:space="preserve"> Pg 5-8</w:t>
      </w:r>
    </w:p>
    <w:p w14:paraId="1ACA8A0B" w14:textId="3DB30D84" w:rsidR="0062444C" w:rsidRDefault="0062444C" w:rsidP="00FB45A2">
      <w:pPr>
        <w:spacing w:after="0" w:line="360" w:lineRule="auto"/>
        <w:ind w:right="1134"/>
        <w:rPr>
          <w:rStyle w:val="agcmg"/>
          <w:rFonts w:ascii="Arial" w:hAnsi="Arial" w:cs="Arial"/>
          <w:sz w:val="22"/>
          <w:szCs w:val="22"/>
        </w:rPr>
      </w:pPr>
      <w:proofErr w:type="spellStart"/>
      <w:r>
        <w:rPr>
          <w:rStyle w:val="agcmg"/>
          <w:rFonts w:ascii="Arial" w:hAnsi="Arial" w:cs="Arial"/>
          <w:b/>
          <w:bCs/>
          <w:sz w:val="22"/>
          <w:szCs w:val="22"/>
        </w:rPr>
        <w:t>Kouzlin</w:t>
      </w:r>
      <w:proofErr w:type="spellEnd"/>
      <w:r>
        <w:rPr>
          <w:rStyle w:val="agcmg"/>
          <w:rFonts w:ascii="Arial" w:hAnsi="Arial" w:cs="Arial"/>
          <w:b/>
          <w:bCs/>
          <w:sz w:val="22"/>
          <w:szCs w:val="22"/>
        </w:rPr>
        <w:t xml:space="preserve">, A. </w:t>
      </w:r>
      <w:r>
        <w:rPr>
          <w:rStyle w:val="agcmg"/>
          <w:rFonts w:ascii="Arial" w:hAnsi="Arial" w:cs="Arial"/>
          <w:sz w:val="22"/>
          <w:szCs w:val="22"/>
        </w:rPr>
        <w:t xml:space="preserve">(2003) </w:t>
      </w:r>
      <w:r>
        <w:rPr>
          <w:rStyle w:val="agcmg"/>
          <w:rFonts w:ascii="Arial" w:hAnsi="Arial" w:cs="Arial"/>
          <w:i/>
          <w:iCs/>
          <w:sz w:val="22"/>
          <w:szCs w:val="22"/>
        </w:rPr>
        <w:t>Vygotsky’s Educational Theory in Cultural Context.</w:t>
      </w:r>
      <w:r>
        <w:rPr>
          <w:rStyle w:val="agcmg"/>
          <w:rFonts w:ascii="Arial" w:hAnsi="Arial" w:cs="Arial"/>
          <w:sz w:val="22"/>
          <w:szCs w:val="22"/>
        </w:rPr>
        <w:t xml:space="preserve"> Pg 120-125</w:t>
      </w:r>
    </w:p>
    <w:p w14:paraId="6FFE3EA2" w14:textId="31ACED3B" w:rsidR="002F12BE" w:rsidRPr="002F12BE" w:rsidRDefault="002F12BE" w:rsidP="00FB45A2">
      <w:pPr>
        <w:spacing w:after="0" w:line="360" w:lineRule="auto"/>
        <w:ind w:right="1134"/>
        <w:rPr>
          <w:rFonts w:ascii="Arial" w:eastAsia="DengXian" w:hAnsi="Arial" w:cs="Arial"/>
          <w:sz w:val="20"/>
          <w:szCs w:val="20"/>
        </w:rPr>
      </w:pPr>
      <w:r>
        <w:rPr>
          <w:rStyle w:val="agcmg"/>
          <w:rFonts w:ascii="Arial" w:hAnsi="Arial" w:cs="Arial"/>
          <w:b/>
          <w:bCs/>
          <w:sz w:val="22"/>
          <w:szCs w:val="22"/>
        </w:rPr>
        <w:t xml:space="preserve">Lyman, F, JR. </w:t>
      </w:r>
      <w:r>
        <w:rPr>
          <w:rStyle w:val="agcmg"/>
          <w:rFonts w:ascii="Arial" w:hAnsi="Arial" w:cs="Arial"/>
          <w:sz w:val="22"/>
          <w:szCs w:val="22"/>
        </w:rPr>
        <w:t xml:space="preserve">(2022) </w:t>
      </w:r>
      <w:r>
        <w:rPr>
          <w:rStyle w:val="agcmg"/>
          <w:rFonts w:ascii="Arial" w:hAnsi="Arial" w:cs="Arial"/>
          <w:i/>
          <w:iCs/>
          <w:sz w:val="22"/>
          <w:szCs w:val="22"/>
        </w:rPr>
        <w:t xml:space="preserve">100 Teaching Ideas that Transfer and Transform Learning. </w:t>
      </w:r>
      <w:r>
        <w:rPr>
          <w:rStyle w:val="agcmg"/>
          <w:rFonts w:ascii="Arial" w:hAnsi="Arial" w:cs="Arial"/>
          <w:sz w:val="22"/>
          <w:szCs w:val="22"/>
        </w:rPr>
        <w:t>Pg 110-112</w:t>
      </w:r>
    </w:p>
    <w:p w14:paraId="16A994B9" w14:textId="695A29FA" w:rsidR="00B60C74" w:rsidRDefault="00B60C74" w:rsidP="000D427F">
      <w:pPr>
        <w:spacing w:after="0" w:line="360" w:lineRule="auto"/>
        <w:ind w:right="1134"/>
        <w:rPr>
          <w:rFonts w:ascii="Arial" w:eastAsia="DengXian" w:hAnsi="Arial" w:cs="Arial"/>
          <w:i/>
          <w:sz w:val="22"/>
          <w:szCs w:val="22"/>
        </w:rPr>
      </w:pPr>
      <w:r w:rsidRPr="00C65995">
        <w:rPr>
          <w:rFonts w:ascii="Arial" w:eastAsia="DengXian" w:hAnsi="Arial" w:cs="Arial"/>
          <w:b/>
          <w:bCs/>
          <w:iCs/>
          <w:sz w:val="22"/>
          <w:szCs w:val="22"/>
        </w:rPr>
        <w:t>National Day Nurseries Association</w:t>
      </w:r>
      <w:r w:rsidRPr="00B60C74">
        <w:rPr>
          <w:rFonts w:ascii="Arial" w:eastAsia="DengXian" w:hAnsi="Arial" w:cs="Arial"/>
          <w:iCs/>
          <w:sz w:val="22"/>
          <w:szCs w:val="22"/>
        </w:rPr>
        <w:t xml:space="preserve"> (2025) </w:t>
      </w:r>
      <w:r>
        <w:rPr>
          <w:rFonts w:ascii="Arial" w:eastAsia="DengXian" w:hAnsi="Arial" w:cs="Arial"/>
          <w:i/>
          <w:sz w:val="22"/>
          <w:szCs w:val="22"/>
        </w:rPr>
        <w:t xml:space="preserve">The Additional Learning Needs System in Wales. </w:t>
      </w:r>
      <w:hyperlink r:id="rId12" w:history="1">
        <w:r w:rsidRPr="00532065">
          <w:rPr>
            <w:rStyle w:val="Hyperlink"/>
            <w:rFonts w:ascii="Arial" w:eastAsia="DengXian" w:hAnsi="Arial" w:cs="Arial"/>
            <w:i/>
            <w:sz w:val="22"/>
            <w:szCs w:val="22"/>
          </w:rPr>
          <w:t>https://ndna.org.uk/wp-content/uploads/2025/04/FACTALN-WALES-The-Additional-Learning-Needs-System-in-Wales-CURRICULUM-FOR-WALES.pdf</w:t>
        </w:r>
      </w:hyperlink>
      <w:r>
        <w:rPr>
          <w:rFonts w:ascii="Arial" w:eastAsia="DengXian" w:hAnsi="Arial" w:cs="Arial"/>
          <w:i/>
          <w:sz w:val="22"/>
          <w:szCs w:val="22"/>
        </w:rPr>
        <w:t xml:space="preserve"> </w:t>
      </w:r>
    </w:p>
    <w:p w14:paraId="7DAC8DB7" w14:textId="1452C5FF" w:rsidR="00A6024A" w:rsidRPr="00A6024A" w:rsidRDefault="00A6024A" w:rsidP="000D427F">
      <w:pPr>
        <w:spacing w:after="0" w:line="360" w:lineRule="auto"/>
        <w:ind w:right="1134"/>
        <w:rPr>
          <w:rFonts w:ascii="Arial" w:eastAsia="DengXian" w:hAnsi="Arial" w:cs="Arial"/>
          <w:i/>
          <w:sz w:val="22"/>
          <w:szCs w:val="22"/>
        </w:rPr>
      </w:pPr>
      <w:r>
        <w:rPr>
          <w:rFonts w:ascii="Arial" w:eastAsia="DengXian" w:hAnsi="Arial" w:cs="Arial"/>
          <w:b/>
          <w:bCs/>
          <w:iCs/>
          <w:sz w:val="22"/>
          <w:szCs w:val="22"/>
        </w:rPr>
        <w:t xml:space="preserve">NHS </w:t>
      </w:r>
      <w:r>
        <w:rPr>
          <w:rFonts w:ascii="Arial" w:eastAsia="DengXian" w:hAnsi="Arial" w:cs="Arial"/>
          <w:iCs/>
          <w:sz w:val="22"/>
          <w:szCs w:val="22"/>
        </w:rPr>
        <w:t>(2025)</w:t>
      </w:r>
      <w:r w:rsidRPr="00A6024A">
        <w:rPr>
          <w:rFonts w:ascii="Arial" w:eastAsia="DengXian" w:hAnsi="Arial" w:cs="Arial"/>
          <w:iCs/>
          <w:sz w:val="20"/>
          <w:szCs w:val="20"/>
        </w:rPr>
        <w:t xml:space="preserve"> </w:t>
      </w:r>
      <w:r w:rsidRPr="00A6024A">
        <w:rPr>
          <w:rFonts w:ascii="Arial" w:hAnsi="Arial" w:cs="Arial"/>
          <w:i/>
          <w:iCs/>
          <w:color w:val="0D0D0D" w:themeColor="text1" w:themeTint="F2"/>
          <w:sz w:val="22"/>
          <w:szCs w:val="22"/>
        </w:rPr>
        <w:t>Attention Deficit Hyperactivity Disorder (ADHD) Advice for School</w:t>
      </w:r>
      <w:r>
        <w:rPr>
          <w:rFonts w:ascii="Arial" w:hAnsi="Arial" w:cs="Arial"/>
          <w:i/>
          <w:iCs/>
          <w:color w:val="0D0D0D" w:themeColor="text1" w:themeTint="F2"/>
          <w:sz w:val="22"/>
          <w:szCs w:val="22"/>
        </w:rPr>
        <w:t xml:space="preserve"> </w:t>
      </w:r>
      <w:hyperlink r:id="rId13" w:history="1">
        <w:r w:rsidRPr="00532065">
          <w:rPr>
            <w:rStyle w:val="Hyperlink"/>
            <w:rFonts w:ascii="Arial" w:hAnsi="Arial" w:cs="Arial"/>
            <w:i/>
            <w:iCs/>
            <w:color w:val="4B8090" w:themeColor="hyperlink" w:themeTint="F2"/>
            <w:sz w:val="22"/>
            <w:szCs w:val="22"/>
          </w:rPr>
          <w:t>https://www.royaldevon.nhs.uk/media/u0bk1tb2/attention-deficit-hyperactivity-disorder-adhd-advice-for-school-rd-25-053-001.pdf</w:t>
        </w:r>
      </w:hyperlink>
      <w:r>
        <w:rPr>
          <w:rFonts w:ascii="Arial" w:hAnsi="Arial" w:cs="Arial"/>
          <w:i/>
          <w:iCs/>
          <w:color w:val="0D0D0D" w:themeColor="text1" w:themeTint="F2"/>
          <w:sz w:val="22"/>
          <w:szCs w:val="22"/>
        </w:rPr>
        <w:t xml:space="preserve"> </w:t>
      </w:r>
    </w:p>
    <w:p w14:paraId="48D77A5E" w14:textId="77777777" w:rsidR="00564AA9" w:rsidRDefault="00564AA9" w:rsidP="00564AA9">
      <w:pPr>
        <w:spacing w:after="0" w:line="360" w:lineRule="auto"/>
        <w:ind w:right="1134"/>
        <w:rPr>
          <w:rFonts w:ascii="Arial" w:eastAsia="DengXian" w:hAnsi="Arial" w:cs="Arial"/>
          <w:iCs/>
          <w:sz w:val="22"/>
          <w:szCs w:val="22"/>
        </w:rPr>
      </w:pPr>
      <w:r w:rsidRPr="00564AA9">
        <w:rPr>
          <w:rFonts w:ascii="Arial" w:eastAsia="DengXian" w:hAnsi="Arial" w:cs="Arial"/>
          <w:b/>
          <w:bCs/>
          <w:iCs/>
          <w:sz w:val="22"/>
          <w:szCs w:val="22"/>
        </w:rPr>
        <w:t>Vygotsky, L.</w:t>
      </w:r>
      <w:r>
        <w:rPr>
          <w:rFonts w:ascii="Arial" w:eastAsia="DengXian" w:hAnsi="Arial" w:cs="Arial"/>
          <w:iCs/>
          <w:sz w:val="22"/>
          <w:szCs w:val="22"/>
        </w:rPr>
        <w:t xml:space="preserve"> (1978)</w:t>
      </w:r>
      <w:r w:rsidRPr="00564AA9">
        <w:t xml:space="preserve"> </w:t>
      </w:r>
      <w:r w:rsidRPr="00564AA9">
        <w:rPr>
          <w:rFonts w:ascii="Arial" w:eastAsia="DengXian" w:hAnsi="Arial" w:cs="Arial"/>
          <w:i/>
          <w:sz w:val="22"/>
          <w:szCs w:val="22"/>
        </w:rPr>
        <w:t>Mind in Society: The Development of Higher Psychological Processes.</w:t>
      </w:r>
      <w:r>
        <w:rPr>
          <w:rFonts w:ascii="Arial" w:eastAsia="DengXian" w:hAnsi="Arial" w:cs="Arial"/>
          <w:iCs/>
          <w:sz w:val="22"/>
          <w:szCs w:val="22"/>
        </w:rPr>
        <w:t xml:space="preserve"> Pg 79-85</w:t>
      </w:r>
    </w:p>
    <w:p w14:paraId="7E22EBD8" w14:textId="46AFAD09" w:rsidR="004050FF" w:rsidRPr="004050FF" w:rsidRDefault="004050FF" w:rsidP="00564AA9">
      <w:pPr>
        <w:spacing w:after="0" w:line="360" w:lineRule="auto"/>
        <w:ind w:right="1134"/>
        <w:rPr>
          <w:rFonts w:ascii="Arial" w:eastAsia="DengXian" w:hAnsi="Arial" w:cs="Arial"/>
          <w:iCs/>
          <w:sz w:val="22"/>
          <w:szCs w:val="22"/>
        </w:rPr>
      </w:pPr>
      <w:r>
        <w:rPr>
          <w:rFonts w:ascii="Arial" w:eastAsia="DengXian" w:hAnsi="Arial" w:cs="Arial"/>
          <w:b/>
          <w:bCs/>
          <w:iCs/>
          <w:sz w:val="22"/>
          <w:szCs w:val="22"/>
        </w:rPr>
        <w:t xml:space="preserve">Welsh Government </w:t>
      </w:r>
      <w:r>
        <w:rPr>
          <w:rFonts w:ascii="Arial" w:eastAsia="DengXian" w:hAnsi="Arial" w:cs="Arial"/>
          <w:iCs/>
          <w:sz w:val="22"/>
          <w:szCs w:val="22"/>
        </w:rPr>
        <w:t xml:space="preserve">(2025) </w:t>
      </w:r>
      <w:r>
        <w:rPr>
          <w:rFonts w:ascii="Arial" w:eastAsia="DengXian" w:hAnsi="Arial" w:cs="Arial"/>
          <w:i/>
          <w:sz w:val="22"/>
          <w:szCs w:val="22"/>
        </w:rPr>
        <w:t xml:space="preserve">A New Curriculum in Wales </w:t>
      </w:r>
      <w:hyperlink r:id="rId14" w:history="1">
        <w:r w:rsidRPr="00532065">
          <w:rPr>
            <w:rStyle w:val="Hyperlink"/>
            <w:rFonts w:ascii="Arial" w:eastAsia="DengXian" w:hAnsi="Arial" w:cs="Arial"/>
            <w:iCs/>
            <w:sz w:val="22"/>
            <w:szCs w:val="22"/>
          </w:rPr>
          <w:t>https://hwb.gov.wales/api/storage/44b74558-5d89-4a5b-bf54-32bd6dcad1c0/a-new-curriculum-in-wales-a-guide-for-children-young-people-and-families.pdf</w:t>
        </w:r>
      </w:hyperlink>
      <w:r>
        <w:rPr>
          <w:rFonts w:ascii="Arial" w:eastAsia="DengXian" w:hAnsi="Arial" w:cs="Arial"/>
          <w:iCs/>
          <w:sz w:val="22"/>
          <w:szCs w:val="22"/>
        </w:rPr>
        <w:t xml:space="preserve"> </w:t>
      </w:r>
    </w:p>
    <w:p w14:paraId="69E12CD3" w14:textId="4D3F9226" w:rsidR="00B60C74" w:rsidRDefault="00B60C74" w:rsidP="000D427F">
      <w:pPr>
        <w:spacing w:after="0" w:line="360" w:lineRule="auto"/>
        <w:ind w:right="1134"/>
        <w:rPr>
          <w:rFonts w:ascii="Arial" w:eastAsia="DengXian" w:hAnsi="Arial" w:cs="Arial"/>
          <w:i/>
          <w:sz w:val="22"/>
          <w:szCs w:val="22"/>
        </w:rPr>
      </w:pPr>
      <w:r w:rsidRPr="00C65995">
        <w:rPr>
          <w:rFonts w:ascii="Arial" w:eastAsia="DengXian" w:hAnsi="Arial" w:cs="Arial"/>
          <w:b/>
          <w:bCs/>
          <w:iCs/>
          <w:sz w:val="22"/>
          <w:szCs w:val="22"/>
        </w:rPr>
        <w:t>Welsh Government</w:t>
      </w:r>
      <w:r>
        <w:rPr>
          <w:rFonts w:ascii="Arial" w:eastAsia="DengXian" w:hAnsi="Arial" w:cs="Arial"/>
          <w:iCs/>
          <w:sz w:val="22"/>
          <w:szCs w:val="22"/>
        </w:rPr>
        <w:t xml:space="preserve"> (2018) </w:t>
      </w:r>
      <w:r w:rsidRPr="00B60C74">
        <w:rPr>
          <w:rFonts w:ascii="Arial" w:eastAsia="DengXian" w:hAnsi="Arial" w:cs="Arial"/>
          <w:i/>
          <w:sz w:val="22"/>
          <w:szCs w:val="22"/>
        </w:rPr>
        <w:t>Additional Learning Needs and Education Tribunal (Wales) Act 2018</w:t>
      </w:r>
      <w:r>
        <w:rPr>
          <w:rFonts w:ascii="Arial" w:eastAsia="DengXian" w:hAnsi="Arial" w:cs="Arial"/>
          <w:i/>
          <w:sz w:val="22"/>
          <w:szCs w:val="22"/>
        </w:rPr>
        <w:t xml:space="preserve"> </w:t>
      </w:r>
      <w:hyperlink r:id="rId15" w:history="1">
        <w:r w:rsidRPr="00532065">
          <w:rPr>
            <w:rStyle w:val="Hyperlink"/>
            <w:rFonts w:ascii="Arial" w:eastAsia="DengXian" w:hAnsi="Arial" w:cs="Arial"/>
            <w:i/>
            <w:sz w:val="22"/>
            <w:szCs w:val="22"/>
          </w:rPr>
          <w:t>https://www.legislation.gov.uk/anaw/2018/2/contents/enacted</w:t>
        </w:r>
      </w:hyperlink>
      <w:r>
        <w:rPr>
          <w:rFonts w:ascii="Arial" w:eastAsia="DengXian" w:hAnsi="Arial" w:cs="Arial"/>
          <w:i/>
          <w:sz w:val="22"/>
          <w:szCs w:val="22"/>
        </w:rPr>
        <w:t xml:space="preserve"> </w:t>
      </w:r>
    </w:p>
    <w:p w14:paraId="3A2E26EC" w14:textId="77777777" w:rsidR="00564AA9" w:rsidRPr="00D10D72" w:rsidRDefault="00564AA9">
      <w:pPr>
        <w:spacing w:after="0" w:line="360" w:lineRule="auto"/>
        <w:ind w:right="1134"/>
        <w:rPr>
          <w:rFonts w:ascii="Arial" w:eastAsia="DengXian" w:hAnsi="Arial" w:cs="Arial"/>
          <w:iCs/>
          <w:sz w:val="22"/>
          <w:szCs w:val="22"/>
        </w:rPr>
      </w:pPr>
    </w:p>
    <w:sectPr w:rsidR="00564AA9" w:rsidRPr="00D10D72" w:rsidSect="002E66D8">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A74FE" w14:textId="77777777" w:rsidR="005C5D73" w:rsidRDefault="005C5D73" w:rsidP="00F13C1B">
      <w:pPr>
        <w:spacing w:after="0" w:line="240" w:lineRule="auto"/>
      </w:pPr>
      <w:r>
        <w:separator/>
      </w:r>
    </w:p>
  </w:endnote>
  <w:endnote w:type="continuationSeparator" w:id="0">
    <w:p w14:paraId="4F7C15DC" w14:textId="77777777" w:rsidR="005C5D73" w:rsidRDefault="005C5D73" w:rsidP="00F13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1B91B" w14:textId="77777777" w:rsidR="005C5D73" w:rsidRDefault="005C5D73" w:rsidP="00F13C1B">
      <w:pPr>
        <w:spacing w:after="0" w:line="240" w:lineRule="auto"/>
      </w:pPr>
      <w:r>
        <w:separator/>
      </w:r>
    </w:p>
  </w:footnote>
  <w:footnote w:type="continuationSeparator" w:id="0">
    <w:p w14:paraId="459F0E4E" w14:textId="77777777" w:rsidR="005C5D73" w:rsidRDefault="005C5D73" w:rsidP="00F13C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54551"/>
    <w:rsid w:val="00061BBC"/>
    <w:rsid w:val="00063ADC"/>
    <w:rsid w:val="000A2E17"/>
    <w:rsid w:val="000A470F"/>
    <w:rsid w:val="000C144A"/>
    <w:rsid w:val="000C541C"/>
    <w:rsid w:val="000C68CB"/>
    <w:rsid w:val="000D427F"/>
    <w:rsid w:val="000D5B34"/>
    <w:rsid w:val="0010406A"/>
    <w:rsid w:val="001118FB"/>
    <w:rsid w:val="00115538"/>
    <w:rsid w:val="00135DD1"/>
    <w:rsid w:val="001819DF"/>
    <w:rsid w:val="001B086C"/>
    <w:rsid w:val="001B453C"/>
    <w:rsid w:val="001C6E70"/>
    <w:rsid w:val="00262DC1"/>
    <w:rsid w:val="002B1CA8"/>
    <w:rsid w:val="002B3054"/>
    <w:rsid w:val="002C05B1"/>
    <w:rsid w:val="002E66D8"/>
    <w:rsid w:val="002F12BE"/>
    <w:rsid w:val="002F243A"/>
    <w:rsid w:val="00301906"/>
    <w:rsid w:val="00302BB1"/>
    <w:rsid w:val="00303D30"/>
    <w:rsid w:val="003341DF"/>
    <w:rsid w:val="00347EA1"/>
    <w:rsid w:val="00382546"/>
    <w:rsid w:val="003A709B"/>
    <w:rsid w:val="003D223A"/>
    <w:rsid w:val="004050FF"/>
    <w:rsid w:val="00417AB6"/>
    <w:rsid w:val="004564BC"/>
    <w:rsid w:val="004D474C"/>
    <w:rsid w:val="004E3CA0"/>
    <w:rsid w:val="004F71FC"/>
    <w:rsid w:val="00536CFB"/>
    <w:rsid w:val="00543F5E"/>
    <w:rsid w:val="00564AA9"/>
    <w:rsid w:val="00584970"/>
    <w:rsid w:val="005B783A"/>
    <w:rsid w:val="005C5D73"/>
    <w:rsid w:val="005F42D0"/>
    <w:rsid w:val="005F7C42"/>
    <w:rsid w:val="0062310A"/>
    <w:rsid w:val="0062444C"/>
    <w:rsid w:val="00631A59"/>
    <w:rsid w:val="00664B16"/>
    <w:rsid w:val="006B52C3"/>
    <w:rsid w:val="007203C3"/>
    <w:rsid w:val="007352C0"/>
    <w:rsid w:val="00743752"/>
    <w:rsid w:val="007D3AE1"/>
    <w:rsid w:val="007E01E0"/>
    <w:rsid w:val="00803155"/>
    <w:rsid w:val="00840BEE"/>
    <w:rsid w:val="00851EDB"/>
    <w:rsid w:val="008D2301"/>
    <w:rsid w:val="008F1086"/>
    <w:rsid w:val="009060A0"/>
    <w:rsid w:val="0091355A"/>
    <w:rsid w:val="00917008"/>
    <w:rsid w:val="00935B8D"/>
    <w:rsid w:val="009742A3"/>
    <w:rsid w:val="00975E6F"/>
    <w:rsid w:val="009A738D"/>
    <w:rsid w:val="009B164A"/>
    <w:rsid w:val="00A0794A"/>
    <w:rsid w:val="00A23D6E"/>
    <w:rsid w:val="00A37B6D"/>
    <w:rsid w:val="00A6024A"/>
    <w:rsid w:val="00AD7313"/>
    <w:rsid w:val="00AE08AB"/>
    <w:rsid w:val="00AE2AA9"/>
    <w:rsid w:val="00AE3307"/>
    <w:rsid w:val="00AF3A0F"/>
    <w:rsid w:val="00B028A8"/>
    <w:rsid w:val="00B103B9"/>
    <w:rsid w:val="00B37B4D"/>
    <w:rsid w:val="00B51B61"/>
    <w:rsid w:val="00B60C74"/>
    <w:rsid w:val="00B724BB"/>
    <w:rsid w:val="00B95C35"/>
    <w:rsid w:val="00BE2A35"/>
    <w:rsid w:val="00BE3554"/>
    <w:rsid w:val="00BE5A58"/>
    <w:rsid w:val="00C129B8"/>
    <w:rsid w:val="00C24461"/>
    <w:rsid w:val="00C2550A"/>
    <w:rsid w:val="00C4699D"/>
    <w:rsid w:val="00C65995"/>
    <w:rsid w:val="00C676D0"/>
    <w:rsid w:val="00CF32AC"/>
    <w:rsid w:val="00D029EC"/>
    <w:rsid w:val="00D10D72"/>
    <w:rsid w:val="00D24ADF"/>
    <w:rsid w:val="00D26517"/>
    <w:rsid w:val="00DC55F3"/>
    <w:rsid w:val="00DD5969"/>
    <w:rsid w:val="00DF176E"/>
    <w:rsid w:val="00E10797"/>
    <w:rsid w:val="00E243A8"/>
    <w:rsid w:val="00E6747C"/>
    <w:rsid w:val="00EA0B9A"/>
    <w:rsid w:val="00EA15D1"/>
    <w:rsid w:val="00EA6220"/>
    <w:rsid w:val="00EC1771"/>
    <w:rsid w:val="00F13C1B"/>
    <w:rsid w:val="00F8089C"/>
    <w:rsid w:val="00FB45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3C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C1B"/>
  </w:style>
  <w:style w:type="paragraph" w:styleId="Footer">
    <w:name w:val="footer"/>
    <w:basedOn w:val="Normal"/>
    <w:link w:val="FooterChar"/>
    <w:uiPriority w:val="99"/>
    <w:unhideWhenUsed/>
    <w:rsid w:val="00F13C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C1B"/>
  </w:style>
  <w:style w:type="table" w:customStyle="1" w:styleId="TableGrid1">
    <w:name w:val="Table Grid1"/>
    <w:basedOn w:val="TableNormal"/>
    <w:next w:val="TableGrid"/>
    <w:uiPriority w:val="39"/>
    <w:rsid w:val="002E66D8"/>
    <w:pPr>
      <w:spacing w:after="0" w:line="240" w:lineRule="auto"/>
    </w:pPr>
    <w:rPr>
      <w:rFonts w:ascii="Calibri" w:eastAsia="Calibri" w:hAnsi="Calibri" w:cs="Arial"/>
      <w:kern w:val="0"/>
      <w:sz w:val="22"/>
      <w:szCs w:val="22"/>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0C74"/>
    <w:rPr>
      <w:color w:val="467886" w:themeColor="hyperlink"/>
      <w:u w:val="single"/>
    </w:rPr>
  </w:style>
  <w:style w:type="character" w:styleId="UnresolvedMention">
    <w:name w:val="Unresolved Mention"/>
    <w:basedOn w:val="DefaultParagraphFont"/>
    <w:uiPriority w:val="99"/>
    <w:semiHidden/>
    <w:unhideWhenUsed/>
    <w:rsid w:val="00B60C74"/>
    <w:rPr>
      <w:color w:val="605E5C"/>
      <w:shd w:val="clear" w:color="auto" w:fill="E1DFDD"/>
    </w:rPr>
  </w:style>
  <w:style w:type="character" w:customStyle="1" w:styleId="agcmg">
    <w:name w:val="a_gcmg"/>
    <w:basedOn w:val="DefaultParagraphFont"/>
    <w:rsid w:val="00FB4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royaldevon.nhs.uk/media/u0bk1tb2/attention-deficit-hyperactivity-disorder-adhd-advice-for-school-rd-25-053-001.pdf"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ndna.org.uk/wp-content/uploads/2025/04/FACTALN-WALES-The-Additional-Learning-Needs-System-in-Wales-CURRICULUM-FOR-WALES.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wb.gov.wales/curriculum-for-wales/summary-of-legislation/" TargetMode="External"/><Relationship Id="rId5" Type="http://schemas.openxmlformats.org/officeDocument/2006/relationships/settings" Target="settings.xml"/><Relationship Id="rId15" Type="http://schemas.openxmlformats.org/officeDocument/2006/relationships/hyperlink" Target="https://www.legislation.gov.uk/anaw/2018/2/contents/enacted" TargetMode="External"/><Relationship Id="rId10" Type="http://schemas.openxmlformats.org/officeDocument/2006/relationships/hyperlink" Target="https://adhduk.co.uk/teachers-and-adhd/"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hwb.gov.wales/api/storage/44b74558-5d89-4a5b-bf54-32bd6dcad1c0/a-new-curriculum-in-wales-a-guide-for-children-young-people-and-famil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243a9bb7a13a2e69ef6b8641e5b5d35c">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bbd25f5242c466ff7c6b939d3118e5a5"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168FDD-5758-4582-B997-CCBF90708663}">
  <ds:schemaRefs>
    <ds:schemaRef ds:uri="http://schemas.microsoft.com/office/2006/metadata/properties"/>
    <ds:schemaRef ds:uri="http://schemas.microsoft.com/office/infopath/2007/PartnerControls"/>
    <ds:schemaRef ds:uri="be49ff73-cec0-4379-9da8-63ff3cc411bb"/>
  </ds:schemaRefs>
</ds:datastoreItem>
</file>

<file path=customXml/itemProps2.xml><?xml version="1.0" encoding="utf-8"?>
<ds:datastoreItem xmlns:ds="http://schemas.openxmlformats.org/officeDocument/2006/customXml" ds:itemID="{41ACF0D2-60CA-443E-8B35-193F401DAC84}">
  <ds:schemaRefs>
    <ds:schemaRef ds:uri="http://schemas.microsoft.com/sharepoint/v3/contenttype/forms"/>
  </ds:schemaRefs>
</ds:datastoreItem>
</file>

<file path=customXml/itemProps3.xml><?xml version="1.0" encoding="utf-8"?>
<ds:datastoreItem xmlns:ds="http://schemas.openxmlformats.org/officeDocument/2006/customXml" ds:itemID="{289DCEF5-4D56-4F80-8ECF-9FD839168F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1661</Words>
  <Characters>9470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Megan Anderson (2100379)</cp:lastModifiedBy>
  <cp:revision>2</cp:revision>
  <dcterms:created xsi:type="dcterms:W3CDTF">2026-10-16T19:17:00Z</dcterms:created>
  <dcterms:modified xsi:type="dcterms:W3CDTF">2026-10-16T19:17:00Z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