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0577B485"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B74EBE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40222A">
        <w:rPr>
          <w:rFonts w:ascii="Arial" w:hAnsi="Arial" w:cs="Arial"/>
          <w:sz w:val="28"/>
          <w:szCs w:val="28"/>
        </w:rPr>
        <w:t>Lukasz Blechert</w:t>
      </w:r>
    </w:p>
    <w:p w14:paraId="476C763A" w14:textId="4A7DA14B"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0222A">
        <w:rPr>
          <w:rFonts w:ascii="Arial" w:hAnsi="Arial" w:cs="Arial"/>
          <w:sz w:val="28"/>
          <w:szCs w:val="28"/>
          <w:lang w:val="nl-NL"/>
        </w:rPr>
        <w:t xml:space="preserve"> 2513412</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43EA97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40222A">
        <w:rPr>
          <w:rFonts w:ascii="Arial" w:hAnsi="Arial" w:cs="Arial"/>
          <w:sz w:val="28"/>
          <w:szCs w:val="28"/>
          <w:lang w:val="nl-NL"/>
        </w:rPr>
        <w:t xml:space="preserve">Introduction to </w:t>
      </w:r>
      <w:r w:rsidR="000119A0">
        <w:rPr>
          <w:rFonts w:ascii="Arial" w:hAnsi="Arial" w:cs="Arial"/>
          <w:sz w:val="28"/>
          <w:szCs w:val="28"/>
          <w:lang w:val="nl-NL"/>
        </w:rPr>
        <w:t xml:space="preserve">Public </w:t>
      </w:r>
      <w:r w:rsidR="00EE3968">
        <w:rPr>
          <w:rFonts w:ascii="Arial" w:hAnsi="Arial" w:cs="Arial"/>
          <w:sz w:val="28"/>
          <w:szCs w:val="28"/>
          <w:lang w:val="nl-NL"/>
        </w:rPr>
        <w:t>Health</w:t>
      </w:r>
    </w:p>
    <w:p w14:paraId="0009AFB0" w14:textId="1A1CAB68"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40222A">
        <w:rPr>
          <w:rFonts w:ascii="Arial" w:hAnsi="Arial" w:cs="Arial"/>
          <w:sz w:val="28"/>
          <w:szCs w:val="28"/>
        </w:rPr>
        <w:t xml:space="preserve"> </w:t>
      </w:r>
      <w:r w:rsidR="009F380A">
        <w:rPr>
          <w:rFonts w:ascii="Arial" w:hAnsi="Arial" w:cs="Arial"/>
          <w:sz w:val="28"/>
          <w:szCs w:val="28"/>
        </w:rPr>
        <w:t>LCHS4008</w:t>
      </w:r>
    </w:p>
    <w:p w14:paraId="0EA5B494" w14:textId="7E710207" w:rsidR="00833470" w:rsidRPr="0020413D" w:rsidRDefault="00833470" w:rsidP="00833470">
      <w:r w:rsidRPr="0020413D">
        <w:rPr>
          <w:rFonts w:ascii="Arial" w:hAnsi="Arial" w:cs="Arial"/>
          <w:b/>
          <w:bCs/>
          <w:sz w:val="28"/>
          <w:szCs w:val="28"/>
        </w:rPr>
        <w:t>Lecturer name</w:t>
      </w:r>
      <w:r w:rsidR="0040222A">
        <w:rPr>
          <w:rFonts w:ascii="Arial" w:hAnsi="Arial" w:cs="Arial"/>
          <w:b/>
          <w:bCs/>
          <w:sz w:val="28"/>
          <w:szCs w:val="28"/>
        </w:rPr>
        <w:t xml:space="preserve">: </w:t>
      </w:r>
      <w:r w:rsidR="0041336C" w:rsidRPr="00CF4BFF">
        <w:rPr>
          <w:rFonts w:ascii="Arial" w:hAnsi="Arial" w:cs="Arial"/>
          <w:sz w:val="28"/>
          <w:szCs w:val="28"/>
        </w:rPr>
        <w:t>J</w:t>
      </w:r>
      <w:r w:rsidR="00CF4BFF">
        <w:rPr>
          <w:rFonts w:ascii="Arial" w:hAnsi="Arial" w:cs="Arial"/>
          <w:sz w:val="28"/>
          <w:szCs w:val="28"/>
        </w:rPr>
        <w:t>olly</w:t>
      </w:r>
      <w:r w:rsidR="0041336C" w:rsidRPr="00CF4BFF">
        <w:rPr>
          <w:rFonts w:ascii="Arial" w:hAnsi="Arial" w:cs="Arial"/>
          <w:sz w:val="28"/>
          <w:szCs w:val="28"/>
        </w:rPr>
        <w:t xml:space="preserve"> </w:t>
      </w:r>
      <w:r w:rsidR="00CF4BFF" w:rsidRPr="00CF4BFF">
        <w:rPr>
          <w:rFonts w:ascii="Arial" w:hAnsi="Arial" w:cs="Arial"/>
          <w:sz w:val="28"/>
          <w:szCs w:val="28"/>
        </w:rPr>
        <w:t>N</w:t>
      </w:r>
      <w:r w:rsidR="00CF4BFF">
        <w:rPr>
          <w:rFonts w:ascii="Arial" w:hAnsi="Arial" w:cs="Arial"/>
          <w:sz w:val="28"/>
          <w:szCs w:val="28"/>
        </w:rPr>
        <w:t>wankwo</w:t>
      </w:r>
    </w:p>
    <w:bookmarkEnd w:id="0"/>
    <w:p w14:paraId="258B6EFA" w14:textId="77777777" w:rsidR="00987D42" w:rsidRDefault="00987D42"/>
    <w:p w14:paraId="7F123491" w14:textId="77777777" w:rsidR="00987D42" w:rsidRPr="00F428C0" w:rsidRDefault="00987D42">
      <w:pPr>
        <w:rPr>
          <w:rFonts w:ascii="Arial" w:hAnsi="Arial" w:cs="Arial"/>
          <w:b/>
          <w:bCs/>
          <w:sz w:val="28"/>
          <w:szCs w:val="28"/>
        </w:rPr>
      </w:pPr>
    </w:p>
    <w:p w14:paraId="410C101D" w14:textId="635C4A47" w:rsidR="00987D42" w:rsidRPr="00F428C0" w:rsidRDefault="00987D42">
      <w:pPr>
        <w:rPr>
          <w:rFonts w:ascii="Arial" w:hAnsi="Arial" w:cs="Arial"/>
          <w:b/>
          <w:bCs/>
          <w:sz w:val="28"/>
          <w:szCs w:val="28"/>
        </w:rPr>
        <w:sectPr w:rsidR="00987D42" w:rsidRPr="00F428C0" w:rsidSect="00E5403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pPr>
      <w:r w:rsidRPr="00F428C0">
        <w:rPr>
          <w:rFonts w:ascii="Arial" w:hAnsi="Arial" w:cs="Arial"/>
          <w:b/>
          <w:bCs/>
          <w:sz w:val="28"/>
          <w:szCs w:val="28"/>
        </w:rPr>
        <w:t xml:space="preserve">Assignment Title: </w:t>
      </w:r>
      <w:r w:rsidR="002919F1">
        <w:rPr>
          <w:rFonts w:ascii="Arial" w:hAnsi="Arial" w:cs="Arial"/>
          <w:b/>
          <w:bCs/>
          <w:sz w:val="28"/>
          <w:szCs w:val="28"/>
        </w:rPr>
        <w:t>Report on a health issue - Polio</w:t>
      </w:r>
    </w:p>
    <w:sdt>
      <w:sdtPr>
        <w:rPr>
          <w:rFonts w:asciiTheme="minorHAnsi" w:eastAsiaTheme="minorEastAsia" w:hAnsiTheme="minorHAnsi" w:cstheme="minorBidi"/>
          <w:color w:val="auto"/>
          <w:sz w:val="22"/>
          <w:szCs w:val="22"/>
          <w:lang w:val="en-GB" w:eastAsia="zh-CN"/>
        </w:rPr>
        <w:id w:val="109333941"/>
        <w:docPartObj>
          <w:docPartGallery w:val="Table of Contents"/>
          <w:docPartUnique/>
        </w:docPartObj>
      </w:sdtPr>
      <w:sdtEndPr>
        <w:rPr>
          <w:b/>
          <w:bCs/>
          <w:noProof/>
        </w:rPr>
      </w:sdtEndPr>
      <w:sdtContent>
        <w:p w14:paraId="62CBBACA" w14:textId="6901C07D" w:rsidR="007461BA" w:rsidRDefault="007461BA">
          <w:pPr>
            <w:pStyle w:val="TOCHeading"/>
          </w:pPr>
          <w:r>
            <w:t>Contents</w:t>
          </w:r>
        </w:p>
        <w:p w14:paraId="7D5C8074" w14:textId="27A91603" w:rsidR="007461BA" w:rsidRDefault="007461BA">
          <w:pPr>
            <w:pStyle w:val="TOC1"/>
            <w:tabs>
              <w:tab w:val="left" w:pos="480"/>
              <w:tab w:val="right" w:leader="dot" w:pos="9016"/>
            </w:tabs>
            <w:rPr>
              <w:noProof/>
            </w:rPr>
          </w:pPr>
          <w:r>
            <w:fldChar w:fldCharType="begin"/>
          </w:r>
          <w:r>
            <w:instrText xml:space="preserve"> TOC \o "1-3" \h \z \u </w:instrText>
          </w:r>
          <w:r>
            <w:fldChar w:fldCharType="separate"/>
          </w:r>
          <w:hyperlink w:anchor="_Toc236151416" w:history="1">
            <w:r w:rsidRPr="0002367A">
              <w:rPr>
                <w:rStyle w:val="Hyperlink"/>
                <w:noProof/>
              </w:rPr>
              <w:t>1.</w:t>
            </w:r>
            <w:r>
              <w:rPr>
                <w:noProof/>
              </w:rPr>
              <w:tab/>
            </w:r>
            <w:r w:rsidRPr="0002367A">
              <w:rPr>
                <w:rStyle w:val="Hyperlink"/>
                <w:noProof/>
              </w:rPr>
              <w:t>Introduction</w:t>
            </w:r>
            <w:r>
              <w:rPr>
                <w:noProof/>
                <w:webHidden/>
              </w:rPr>
              <w:tab/>
            </w:r>
            <w:r>
              <w:rPr>
                <w:noProof/>
                <w:webHidden/>
              </w:rPr>
              <w:fldChar w:fldCharType="begin"/>
            </w:r>
            <w:r>
              <w:rPr>
                <w:noProof/>
                <w:webHidden/>
              </w:rPr>
              <w:instrText xml:space="preserve"> PAGEREF _Toc236151416 \h </w:instrText>
            </w:r>
            <w:r>
              <w:rPr>
                <w:noProof/>
                <w:webHidden/>
              </w:rPr>
            </w:r>
            <w:r>
              <w:rPr>
                <w:noProof/>
                <w:webHidden/>
              </w:rPr>
              <w:fldChar w:fldCharType="separate"/>
            </w:r>
            <w:r>
              <w:rPr>
                <w:noProof/>
                <w:webHidden/>
              </w:rPr>
              <w:t>3</w:t>
            </w:r>
            <w:r>
              <w:rPr>
                <w:noProof/>
                <w:webHidden/>
              </w:rPr>
              <w:fldChar w:fldCharType="end"/>
            </w:r>
          </w:hyperlink>
        </w:p>
        <w:p w14:paraId="60B8EA35" w14:textId="48C0DB7D" w:rsidR="007461BA" w:rsidRDefault="007461BA">
          <w:pPr>
            <w:pStyle w:val="TOC1"/>
            <w:tabs>
              <w:tab w:val="left" w:pos="480"/>
              <w:tab w:val="right" w:leader="dot" w:pos="9016"/>
            </w:tabs>
            <w:rPr>
              <w:noProof/>
            </w:rPr>
          </w:pPr>
          <w:hyperlink w:anchor="_Toc236151417" w:history="1">
            <w:r w:rsidRPr="0002367A">
              <w:rPr>
                <w:rStyle w:val="Hyperlink"/>
                <w:noProof/>
              </w:rPr>
              <w:t>2.</w:t>
            </w:r>
            <w:r>
              <w:rPr>
                <w:noProof/>
              </w:rPr>
              <w:tab/>
            </w:r>
            <w:r w:rsidRPr="0002367A">
              <w:rPr>
                <w:rStyle w:val="Hyperlink"/>
                <w:noProof/>
              </w:rPr>
              <w:t>Measuring and Monitoring Polio</w:t>
            </w:r>
            <w:r>
              <w:rPr>
                <w:noProof/>
                <w:webHidden/>
              </w:rPr>
              <w:tab/>
            </w:r>
            <w:r>
              <w:rPr>
                <w:noProof/>
                <w:webHidden/>
              </w:rPr>
              <w:fldChar w:fldCharType="begin"/>
            </w:r>
            <w:r>
              <w:rPr>
                <w:noProof/>
                <w:webHidden/>
              </w:rPr>
              <w:instrText xml:space="preserve"> PAGEREF _Toc236151417 \h </w:instrText>
            </w:r>
            <w:r>
              <w:rPr>
                <w:noProof/>
                <w:webHidden/>
              </w:rPr>
            </w:r>
            <w:r>
              <w:rPr>
                <w:noProof/>
                <w:webHidden/>
              </w:rPr>
              <w:fldChar w:fldCharType="separate"/>
            </w:r>
            <w:r>
              <w:rPr>
                <w:noProof/>
                <w:webHidden/>
              </w:rPr>
              <w:t>3</w:t>
            </w:r>
            <w:r>
              <w:rPr>
                <w:noProof/>
                <w:webHidden/>
              </w:rPr>
              <w:fldChar w:fldCharType="end"/>
            </w:r>
          </w:hyperlink>
        </w:p>
        <w:p w14:paraId="30FDEE10" w14:textId="0DED8439" w:rsidR="007461BA" w:rsidRDefault="007461BA">
          <w:pPr>
            <w:pStyle w:val="TOC1"/>
            <w:tabs>
              <w:tab w:val="left" w:pos="480"/>
              <w:tab w:val="right" w:leader="dot" w:pos="9016"/>
            </w:tabs>
            <w:rPr>
              <w:noProof/>
            </w:rPr>
          </w:pPr>
          <w:hyperlink w:anchor="_Toc236151418" w:history="1">
            <w:r w:rsidRPr="0002367A">
              <w:rPr>
                <w:rStyle w:val="Hyperlink"/>
                <w:noProof/>
              </w:rPr>
              <w:t>3.</w:t>
            </w:r>
            <w:r>
              <w:rPr>
                <w:noProof/>
              </w:rPr>
              <w:tab/>
            </w:r>
            <w:r w:rsidRPr="0002367A">
              <w:rPr>
                <w:rStyle w:val="Hyperlink"/>
                <w:noProof/>
              </w:rPr>
              <w:t>Disease Control Strategies</w:t>
            </w:r>
            <w:r>
              <w:rPr>
                <w:noProof/>
                <w:webHidden/>
              </w:rPr>
              <w:tab/>
            </w:r>
            <w:r>
              <w:rPr>
                <w:noProof/>
                <w:webHidden/>
              </w:rPr>
              <w:fldChar w:fldCharType="begin"/>
            </w:r>
            <w:r>
              <w:rPr>
                <w:noProof/>
                <w:webHidden/>
              </w:rPr>
              <w:instrText xml:space="preserve"> PAGEREF _Toc236151418 \h </w:instrText>
            </w:r>
            <w:r>
              <w:rPr>
                <w:noProof/>
                <w:webHidden/>
              </w:rPr>
            </w:r>
            <w:r>
              <w:rPr>
                <w:noProof/>
                <w:webHidden/>
              </w:rPr>
              <w:fldChar w:fldCharType="separate"/>
            </w:r>
            <w:r>
              <w:rPr>
                <w:noProof/>
                <w:webHidden/>
              </w:rPr>
              <w:t>4</w:t>
            </w:r>
            <w:r>
              <w:rPr>
                <w:noProof/>
                <w:webHidden/>
              </w:rPr>
              <w:fldChar w:fldCharType="end"/>
            </w:r>
          </w:hyperlink>
        </w:p>
        <w:p w14:paraId="18A2AA7D" w14:textId="61A4C794" w:rsidR="007461BA" w:rsidRDefault="007461BA">
          <w:pPr>
            <w:pStyle w:val="TOC1"/>
            <w:tabs>
              <w:tab w:val="left" w:pos="480"/>
              <w:tab w:val="right" w:leader="dot" w:pos="9016"/>
            </w:tabs>
            <w:rPr>
              <w:noProof/>
            </w:rPr>
          </w:pPr>
          <w:hyperlink w:anchor="_Toc236151419" w:history="1">
            <w:r w:rsidRPr="0002367A">
              <w:rPr>
                <w:rStyle w:val="Hyperlink"/>
                <w:noProof/>
              </w:rPr>
              <w:t>4.</w:t>
            </w:r>
            <w:r>
              <w:rPr>
                <w:noProof/>
              </w:rPr>
              <w:tab/>
            </w:r>
            <w:r w:rsidRPr="0002367A">
              <w:rPr>
                <w:rStyle w:val="Hyperlink"/>
                <w:noProof/>
              </w:rPr>
              <w:t>Consequences for Individuals and Communities</w:t>
            </w:r>
            <w:r>
              <w:rPr>
                <w:noProof/>
                <w:webHidden/>
              </w:rPr>
              <w:tab/>
            </w:r>
            <w:r>
              <w:rPr>
                <w:noProof/>
                <w:webHidden/>
              </w:rPr>
              <w:fldChar w:fldCharType="begin"/>
            </w:r>
            <w:r>
              <w:rPr>
                <w:noProof/>
                <w:webHidden/>
              </w:rPr>
              <w:instrText xml:space="preserve"> PAGEREF _Toc236151419 \h </w:instrText>
            </w:r>
            <w:r>
              <w:rPr>
                <w:noProof/>
                <w:webHidden/>
              </w:rPr>
            </w:r>
            <w:r>
              <w:rPr>
                <w:noProof/>
                <w:webHidden/>
              </w:rPr>
              <w:fldChar w:fldCharType="separate"/>
            </w:r>
            <w:r>
              <w:rPr>
                <w:noProof/>
                <w:webHidden/>
              </w:rPr>
              <w:t>5</w:t>
            </w:r>
            <w:r>
              <w:rPr>
                <w:noProof/>
                <w:webHidden/>
              </w:rPr>
              <w:fldChar w:fldCharType="end"/>
            </w:r>
          </w:hyperlink>
        </w:p>
        <w:p w14:paraId="33734C9C" w14:textId="74C84F41" w:rsidR="007461BA" w:rsidRDefault="007461BA">
          <w:pPr>
            <w:pStyle w:val="TOC1"/>
            <w:tabs>
              <w:tab w:val="left" w:pos="480"/>
              <w:tab w:val="right" w:leader="dot" w:pos="9016"/>
            </w:tabs>
            <w:rPr>
              <w:noProof/>
            </w:rPr>
          </w:pPr>
          <w:hyperlink w:anchor="_Toc236151420" w:history="1">
            <w:r w:rsidRPr="0002367A">
              <w:rPr>
                <w:rStyle w:val="Hyperlink"/>
                <w:noProof/>
              </w:rPr>
              <w:t>5.</w:t>
            </w:r>
            <w:r>
              <w:rPr>
                <w:noProof/>
              </w:rPr>
              <w:tab/>
            </w:r>
            <w:r w:rsidRPr="0002367A">
              <w:rPr>
                <w:rStyle w:val="Hyperlink"/>
                <w:noProof/>
              </w:rPr>
              <w:t>Health and Social Care Support Services</w:t>
            </w:r>
            <w:r>
              <w:rPr>
                <w:noProof/>
                <w:webHidden/>
              </w:rPr>
              <w:tab/>
            </w:r>
            <w:r>
              <w:rPr>
                <w:noProof/>
                <w:webHidden/>
              </w:rPr>
              <w:fldChar w:fldCharType="begin"/>
            </w:r>
            <w:r>
              <w:rPr>
                <w:noProof/>
                <w:webHidden/>
              </w:rPr>
              <w:instrText xml:space="preserve"> PAGEREF _Toc236151420 \h </w:instrText>
            </w:r>
            <w:r>
              <w:rPr>
                <w:noProof/>
                <w:webHidden/>
              </w:rPr>
            </w:r>
            <w:r>
              <w:rPr>
                <w:noProof/>
                <w:webHidden/>
              </w:rPr>
              <w:fldChar w:fldCharType="separate"/>
            </w:r>
            <w:r>
              <w:rPr>
                <w:noProof/>
                <w:webHidden/>
              </w:rPr>
              <w:t>5</w:t>
            </w:r>
            <w:r>
              <w:rPr>
                <w:noProof/>
                <w:webHidden/>
              </w:rPr>
              <w:fldChar w:fldCharType="end"/>
            </w:r>
          </w:hyperlink>
        </w:p>
        <w:p w14:paraId="694ED649" w14:textId="53A63B3F" w:rsidR="007461BA" w:rsidRDefault="007461BA">
          <w:pPr>
            <w:pStyle w:val="TOC1"/>
            <w:tabs>
              <w:tab w:val="left" w:pos="480"/>
              <w:tab w:val="right" w:leader="dot" w:pos="9016"/>
            </w:tabs>
            <w:rPr>
              <w:noProof/>
            </w:rPr>
          </w:pPr>
          <w:hyperlink w:anchor="_Toc236151421" w:history="1">
            <w:r w:rsidRPr="0002367A">
              <w:rPr>
                <w:rStyle w:val="Hyperlink"/>
                <w:noProof/>
              </w:rPr>
              <w:t>6.</w:t>
            </w:r>
            <w:r>
              <w:rPr>
                <w:noProof/>
              </w:rPr>
              <w:tab/>
            </w:r>
            <w:r w:rsidRPr="0002367A">
              <w:rPr>
                <w:rStyle w:val="Hyperlink"/>
                <w:noProof/>
              </w:rPr>
              <w:t>Conclusion</w:t>
            </w:r>
            <w:r>
              <w:rPr>
                <w:noProof/>
                <w:webHidden/>
              </w:rPr>
              <w:tab/>
            </w:r>
            <w:r>
              <w:rPr>
                <w:noProof/>
                <w:webHidden/>
              </w:rPr>
              <w:fldChar w:fldCharType="begin"/>
            </w:r>
            <w:r>
              <w:rPr>
                <w:noProof/>
                <w:webHidden/>
              </w:rPr>
              <w:instrText xml:space="preserve"> PAGEREF _Toc236151421 \h </w:instrText>
            </w:r>
            <w:r>
              <w:rPr>
                <w:noProof/>
                <w:webHidden/>
              </w:rPr>
            </w:r>
            <w:r>
              <w:rPr>
                <w:noProof/>
                <w:webHidden/>
              </w:rPr>
              <w:fldChar w:fldCharType="separate"/>
            </w:r>
            <w:r>
              <w:rPr>
                <w:noProof/>
                <w:webHidden/>
              </w:rPr>
              <w:t>6</w:t>
            </w:r>
            <w:r>
              <w:rPr>
                <w:noProof/>
                <w:webHidden/>
              </w:rPr>
              <w:fldChar w:fldCharType="end"/>
            </w:r>
          </w:hyperlink>
        </w:p>
        <w:p w14:paraId="107F91A7" w14:textId="2D8D4387" w:rsidR="007461BA" w:rsidRDefault="007461BA">
          <w:pPr>
            <w:pStyle w:val="TOC1"/>
            <w:tabs>
              <w:tab w:val="right" w:leader="dot" w:pos="9016"/>
            </w:tabs>
            <w:rPr>
              <w:noProof/>
            </w:rPr>
          </w:pPr>
          <w:hyperlink w:anchor="_Toc236151422" w:history="1">
            <w:r w:rsidRPr="0002367A">
              <w:rPr>
                <w:rStyle w:val="Hyperlink"/>
                <w:noProof/>
              </w:rPr>
              <w:t>References</w:t>
            </w:r>
            <w:r>
              <w:rPr>
                <w:noProof/>
                <w:webHidden/>
              </w:rPr>
              <w:tab/>
            </w:r>
            <w:r>
              <w:rPr>
                <w:noProof/>
                <w:webHidden/>
              </w:rPr>
              <w:fldChar w:fldCharType="begin"/>
            </w:r>
            <w:r>
              <w:rPr>
                <w:noProof/>
                <w:webHidden/>
              </w:rPr>
              <w:instrText xml:space="preserve"> PAGEREF _Toc236151422 \h </w:instrText>
            </w:r>
            <w:r>
              <w:rPr>
                <w:noProof/>
                <w:webHidden/>
              </w:rPr>
            </w:r>
            <w:r>
              <w:rPr>
                <w:noProof/>
                <w:webHidden/>
              </w:rPr>
              <w:fldChar w:fldCharType="separate"/>
            </w:r>
            <w:r>
              <w:rPr>
                <w:noProof/>
                <w:webHidden/>
              </w:rPr>
              <w:t>8</w:t>
            </w:r>
            <w:r>
              <w:rPr>
                <w:noProof/>
                <w:webHidden/>
              </w:rPr>
              <w:fldChar w:fldCharType="end"/>
            </w:r>
          </w:hyperlink>
        </w:p>
        <w:p w14:paraId="3CC9D556" w14:textId="1F64619E" w:rsidR="007461BA" w:rsidRDefault="007461BA">
          <w:r>
            <w:rPr>
              <w:b/>
              <w:bCs/>
              <w:noProof/>
            </w:rPr>
            <w:fldChar w:fldCharType="end"/>
          </w:r>
        </w:p>
      </w:sdtContent>
    </w:sdt>
    <w:p w14:paraId="3BF185BD" w14:textId="29BEE2F5" w:rsidR="00833470" w:rsidRPr="004D35FC" w:rsidRDefault="00833470" w:rsidP="00833470">
      <w:pPr>
        <w:rPr>
          <w:rFonts w:ascii="Arial" w:hAnsi="Arial" w:cs="Arial"/>
          <w:b/>
          <w:bCs/>
          <w:sz w:val="28"/>
          <w:szCs w:val="28"/>
        </w:rPr>
      </w:pPr>
    </w:p>
    <w:p w14:paraId="46279368" w14:textId="77777777" w:rsidR="00D605C8" w:rsidRDefault="00D605C8" w:rsidP="00833470">
      <w:pPr>
        <w:rPr>
          <w:rFonts w:ascii="Arial" w:hAnsi="Arial" w:cs="Arial"/>
          <w:b/>
          <w:bCs/>
          <w:sz w:val="28"/>
          <w:szCs w:val="28"/>
        </w:rPr>
      </w:pPr>
    </w:p>
    <w:p w14:paraId="01415D75" w14:textId="77777777" w:rsidR="00D605C8" w:rsidRDefault="00D605C8" w:rsidP="00602946">
      <w:pPr>
        <w:rPr>
          <w:rFonts w:ascii="Arial" w:hAnsi="Arial" w:cs="Arial"/>
          <w:sz w:val="24"/>
          <w:szCs w:val="24"/>
        </w:rPr>
      </w:pPr>
    </w:p>
    <w:p w14:paraId="334D7D33" w14:textId="77777777" w:rsidR="00D605C8" w:rsidRDefault="00D605C8" w:rsidP="00602946">
      <w:pPr>
        <w:rPr>
          <w:sz w:val="24"/>
          <w:szCs w:val="24"/>
        </w:rPr>
      </w:pPr>
    </w:p>
    <w:p w14:paraId="1D3B8395" w14:textId="3963BB04" w:rsidR="00D605C8" w:rsidRPr="0047750E" w:rsidRDefault="00D605C8" w:rsidP="00602946">
      <w:pPr>
        <w:rPr>
          <w:sz w:val="24"/>
          <w:szCs w:val="24"/>
        </w:rPr>
        <w:sectPr w:rsidR="00D605C8" w:rsidRPr="0047750E" w:rsidSect="00602946">
          <w:pgSz w:w="11906" w:h="16838"/>
          <w:pgMar w:top="1440" w:right="1440" w:bottom="1440" w:left="1440" w:header="708" w:footer="708" w:gutter="0"/>
          <w:cols w:space="708"/>
          <w:docGrid w:linePitch="360"/>
        </w:sectPr>
      </w:pPr>
    </w:p>
    <w:p w14:paraId="6AD46CA4" w14:textId="45687CEC" w:rsidR="00AE5015" w:rsidRDefault="007F5C0E" w:rsidP="00524EDE">
      <w:pPr>
        <w:pStyle w:val="Heading1"/>
        <w:numPr>
          <w:ilvl w:val="0"/>
          <w:numId w:val="7"/>
        </w:numPr>
      </w:pPr>
      <w:bookmarkStart w:id="1" w:name="_Toc236151416"/>
      <w:r w:rsidRPr="0006513B">
        <w:lastRenderedPageBreak/>
        <w:t>Introduction</w:t>
      </w:r>
      <w:bookmarkEnd w:id="1"/>
    </w:p>
    <w:p w14:paraId="5CC8F60A" w14:textId="77777777" w:rsidR="00C13A67" w:rsidRPr="00C13A67" w:rsidRDefault="00C13A67" w:rsidP="00C13A67"/>
    <w:p w14:paraId="7DDCF932" w14:textId="2E354FC9" w:rsidR="00DB54C8" w:rsidRDefault="00092A0C" w:rsidP="00ED6986">
      <w:pPr>
        <w:spacing w:line="360" w:lineRule="auto"/>
        <w:jc w:val="both"/>
        <w:rPr>
          <w:rFonts w:ascii="Arial" w:hAnsi="Arial" w:cs="Arial"/>
        </w:rPr>
      </w:pPr>
      <w:r w:rsidRPr="00092A0C">
        <w:rPr>
          <w:rFonts w:ascii="Arial" w:hAnsi="Arial" w:cs="Arial"/>
        </w:rPr>
        <w:t>Polio, also known as Heine-Medin disease, is an acute and highly infectious disease caused by the poliovirus</w:t>
      </w:r>
      <w:r w:rsidR="002C1B5C">
        <w:rPr>
          <w:rFonts w:ascii="Arial" w:hAnsi="Arial" w:cs="Arial"/>
        </w:rPr>
        <w:t xml:space="preserve"> (WHO,</w:t>
      </w:r>
      <w:r w:rsidR="0022250C">
        <w:rPr>
          <w:rFonts w:ascii="Arial" w:hAnsi="Arial" w:cs="Arial"/>
        </w:rPr>
        <w:t xml:space="preserve"> </w:t>
      </w:r>
      <w:r w:rsidR="002C1B5C">
        <w:rPr>
          <w:rFonts w:ascii="Arial" w:hAnsi="Arial" w:cs="Arial"/>
        </w:rPr>
        <w:t>2023)</w:t>
      </w:r>
      <w:r w:rsidRPr="00092A0C">
        <w:rPr>
          <w:rFonts w:ascii="Arial" w:hAnsi="Arial" w:cs="Arial"/>
        </w:rPr>
        <w:t xml:space="preserve">. Transmitted via the </w:t>
      </w:r>
      <w:proofErr w:type="spellStart"/>
      <w:r w:rsidRPr="00092A0C">
        <w:rPr>
          <w:rFonts w:ascii="Arial" w:hAnsi="Arial" w:cs="Arial"/>
        </w:rPr>
        <w:t>fecal</w:t>
      </w:r>
      <w:proofErr w:type="spellEnd"/>
      <w:r w:rsidRPr="00092A0C">
        <w:rPr>
          <w:rFonts w:ascii="Arial" w:hAnsi="Arial" w:cs="Arial"/>
        </w:rPr>
        <w:t>-oral route, the virus attacks the central nervous system</w:t>
      </w:r>
      <w:r w:rsidR="00EB62F3">
        <w:rPr>
          <w:rFonts w:ascii="Arial" w:hAnsi="Arial" w:cs="Arial"/>
        </w:rPr>
        <w:t xml:space="preserve"> </w:t>
      </w:r>
      <w:r w:rsidR="00484F3B">
        <w:rPr>
          <w:rFonts w:ascii="Arial" w:hAnsi="Arial" w:cs="Arial"/>
        </w:rPr>
        <w:t>(WHO,</w:t>
      </w:r>
      <w:r w:rsidR="0022250C">
        <w:rPr>
          <w:rFonts w:ascii="Arial" w:hAnsi="Arial" w:cs="Arial"/>
        </w:rPr>
        <w:t xml:space="preserve"> </w:t>
      </w:r>
      <w:r w:rsidR="00484F3B">
        <w:rPr>
          <w:rFonts w:ascii="Arial" w:hAnsi="Arial" w:cs="Arial"/>
        </w:rPr>
        <w:t>2023)</w:t>
      </w:r>
      <w:r w:rsidRPr="00092A0C">
        <w:rPr>
          <w:rFonts w:ascii="Arial" w:hAnsi="Arial" w:cs="Arial"/>
        </w:rPr>
        <w:t>. Typically, 70–90% of infections are asymptomatic or present with mild, flu-like symptoms (such as fever and headache)</w:t>
      </w:r>
      <w:r w:rsidR="00484F3B">
        <w:rPr>
          <w:rFonts w:ascii="Arial" w:hAnsi="Arial" w:cs="Arial"/>
        </w:rPr>
        <w:t xml:space="preserve"> (WHO,</w:t>
      </w:r>
      <w:r w:rsidR="0022250C">
        <w:rPr>
          <w:rFonts w:ascii="Arial" w:hAnsi="Arial" w:cs="Arial"/>
        </w:rPr>
        <w:t xml:space="preserve"> </w:t>
      </w:r>
      <w:r w:rsidR="00484F3B">
        <w:rPr>
          <w:rFonts w:ascii="Arial" w:hAnsi="Arial" w:cs="Arial"/>
        </w:rPr>
        <w:t>2023)</w:t>
      </w:r>
      <w:r w:rsidRPr="00092A0C">
        <w:rPr>
          <w:rFonts w:ascii="Arial" w:hAnsi="Arial" w:cs="Arial"/>
        </w:rPr>
        <w:t>. However, in less than 1% of cases, the virus destroys motor neurons in the spinal cord, leading to irreversible acute flaccid paralysis (AFP) or even death</w:t>
      </w:r>
      <w:r w:rsidR="00EB62F3">
        <w:rPr>
          <w:rFonts w:ascii="Arial" w:hAnsi="Arial" w:cs="Arial"/>
        </w:rPr>
        <w:t xml:space="preserve"> </w:t>
      </w:r>
      <w:r w:rsidR="00635CE8">
        <w:rPr>
          <w:rFonts w:ascii="Arial" w:hAnsi="Arial" w:cs="Arial"/>
        </w:rPr>
        <w:t>(WHO,</w:t>
      </w:r>
      <w:r w:rsidR="0022250C">
        <w:rPr>
          <w:rFonts w:ascii="Arial" w:hAnsi="Arial" w:cs="Arial"/>
        </w:rPr>
        <w:t xml:space="preserve"> </w:t>
      </w:r>
      <w:r w:rsidR="00635CE8">
        <w:rPr>
          <w:rFonts w:ascii="Arial" w:hAnsi="Arial" w:cs="Arial"/>
        </w:rPr>
        <w:t>2023)</w:t>
      </w:r>
      <w:r w:rsidRPr="00092A0C">
        <w:rPr>
          <w:rFonts w:ascii="Arial" w:hAnsi="Arial" w:cs="Arial"/>
        </w:rPr>
        <w:t xml:space="preserve">. </w:t>
      </w:r>
    </w:p>
    <w:p w14:paraId="5C7CD9AF" w14:textId="2EF8D36D" w:rsidR="006024A6" w:rsidRDefault="00092A0C" w:rsidP="00ED6986">
      <w:pPr>
        <w:spacing w:line="360" w:lineRule="auto"/>
        <w:jc w:val="both"/>
        <w:rPr>
          <w:rFonts w:ascii="Arial" w:hAnsi="Arial" w:cs="Arial"/>
        </w:rPr>
      </w:pPr>
      <w:r w:rsidRPr="00092A0C">
        <w:rPr>
          <w:rFonts w:ascii="Arial" w:hAnsi="Arial" w:cs="Arial"/>
        </w:rPr>
        <w:t>Polio was once a major threat; in the 1950s, the UK recorded up to 8,000 cases of paralysis annually</w:t>
      </w:r>
      <w:r w:rsidR="00635CE8">
        <w:rPr>
          <w:rFonts w:ascii="Arial" w:hAnsi="Arial" w:cs="Arial"/>
        </w:rPr>
        <w:t xml:space="preserve"> </w:t>
      </w:r>
      <w:r w:rsidR="00635CE8" w:rsidRPr="00635CE8">
        <w:rPr>
          <w:rFonts w:ascii="Arial" w:hAnsi="Arial" w:cs="Arial"/>
        </w:rPr>
        <w:t>(Oxford Vaccine Group, 2023)</w:t>
      </w:r>
      <w:r w:rsidRPr="00092A0C">
        <w:rPr>
          <w:rFonts w:ascii="Arial" w:hAnsi="Arial" w:cs="Arial"/>
        </w:rPr>
        <w:t>, while worldwide, the disease paralyzed over 350,000 children each year</w:t>
      </w:r>
      <w:r w:rsidR="00BA3494">
        <w:rPr>
          <w:rFonts w:ascii="Arial" w:hAnsi="Arial" w:cs="Arial"/>
        </w:rPr>
        <w:t xml:space="preserve"> </w:t>
      </w:r>
      <w:r w:rsidR="00BA3494" w:rsidRPr="00BA3494">
        <w:rPr>
          <w:rFonts w:ascii="Arial" w:hAnsi="Arial" w:cs="Arial"/>
        </w:rPr>
        <w:t>(GPEI, 2024)</w:t>
      </w:r>
      <w:r w:rsidRPr="00092A0C">
        <w:rPr>
          <w:rFonts w:ascii="Arial" w:hAnsi="Arial" w:cs="Arial"/>
        </w:rPr>
        <w:t>. The introduction of mass vaccination campaigns led to a 99% reduction in global incidence, with the virus subsequently found only in Pakistan and Afghanistan</w:t>
      </w:r>
      <w:r w:rsidR="00BA3494" w:rsidRPr="00BA3494">
        <w:t xml:space="preserve"> </w:t>
      </w:r>
      <w:r w:rsidR="00BA3494" w:rsidRPr="00BA3494">
        <w:rPr>
          <w:rFonts w:ascii="Arial" w:hAnsi="Arial" w:cs="Arial"/>
        </w:rPr>
        <w:t>(GPEI, 2024)</w:t>
      </w:r>
      <w:r w:rsidRPr="00092A0C">
        <w:rPr>
          <w:rFonts w:ascii="Arial" w:hAnsi="Arial" w:cs="Arial"/>
        </w:rPr>
        <w:t>. The UK was declared polio-free in 2003</w:t>
      </w:r>
      <w:r w:rsidR="005D2795" w:rsidRPr="00EB62F3">
        <w:rPr>
          <w:rFonts w:ascii="Arial" w:hAnsi="Arial" w:cs="Arial"/>
        </w:rPr>
        <w:t xml:space="preserve"> (UKHSA, 2022)</w:t>
      </w:r>
      <w:r w:rsidRPr="00EB62F3">
        <w:rPr>
          <w:rFonts w:ascii="Arial" w:hAnsi="Arial" w:cs="Arial"/>
        </w:rPr>
        <w:t xml:space="preserve">; </w:t>
      </w:r>
      <w:r w:rsidRPr="00092A0C">
        <w:rPr>
          <w:rFonts w:ascii="Arial" w:hAnsi="Arial" w:cs="Arial"/>
        </w:rPr>
        <w:t>however, in 2022, poliovirus (VDPV2) was detected in London's sewage</w:t>
      </w:r>
      <w:r w:rsidR="00EB62F3">
        <w:rPr>
          <w:rFonts w:ascii="Arial" w:hAnsi="Arial" w:cs="Arial"/>
        </w:rPr>
        <w:t xml:space="preserve"> </w:t>
      </w:r>
      <w:r w:rsidR="00EB62F3" w:rsidRPr="00EB62F3">
        <w:rPr>
          <w:rFonts w:ascii="Arial" w:hAnsi="Arial" w:cs="Arial"/>
        </w:rPr>
        <w:t>(UKHSA, 2022)</w:t>
      </w:r>
      <w:r w:rsidRPr="00092A0C">
        <w:rPr>
          <w:rFonts w:ascii="Arial" w:hAnsi="Arial" w:cs="Arial"/>
        </w:rPr>
        <w:t>. This highlights the need for ongoing surveillance, even in areas theoretically free from the threat.</w:t>
      </w:r>
    </w:p>
    <w:p w14:paraId="49A683BE" w14:textId="77777777" w:rsidR="00486DEF" w:rsidRDefault="00486DEF" w:rsidP="00ED6986">
      <w:pPr>
        <w:spacing w:line="360" w:lineRule="auto"/>
        <w:jc w:val="both"/>
        <w:rPr>
          <w:rFonts w:ascii="Arial" w:hAnsi="Arial" w:cs="Arial"/>
        </w:rPr>
      </w:pPr>
    </w:p>
    <w:p w14:paraId="5E48CE28" w14:textId="37EC27FA" w:rsidR="00583AD3" w:rsidRDefault="00AA3BB7" w:rsidP="00303F96">
      <w:pPr>
        <w:pStyle w:val="Heading1"/>
        <w:numPr>
          <w:ilvl w:val="0"/>
          <w:numId w:val="7"/>
        </w:numPr>
      </w:pPr>
      <w:bookmarkStart w:id="2" w:name="_Toc236151417"/>
      <w:r w:rsidRPr="001D3594">
        <w:t>Measuring and Monitoring Polio</w:t>
      </w:r>
      <w:bookmarkEnd w:id="2"/>
    </w:p>
    <w:p w14:paraId="7F2F1D0A" w14:textId="77777777" w:rsidR="00C13A67" w:rsidRPr="00C13A67" w:rsidRDefault="00C13A67" w:rsidP="00C13A67"/>
    <w:p w14:paraId="035AA14C" w14:textId="77777777" w:rsidR="006F1765" w:rsidRDefault="004F46F2" w:rsidP="00DB2580">
      <w:pPr>
        <w:spacing w:line="360" w:lineRule="auto"/>
        <w:jc w:val="both"/>
        <w:rPr>
          <w:rFonts w:ascii="Arial" w:hAnsi="Arial" w:cs="Arial"/>
        </w:rPr>
      </w:pPr>
      <w:r w:rsidRPr="00DB2580">
        <w:rPr>
          <w:rFonts w:ascii="Arial" w:hAnsi="Arial" w:cs="Arial"/>
        </w:rPr>
        <w:t>In the public health sector, effective polio management relies on two complementary surveillance strategies: clinical case surveillance and environmental monitoring.</w:t>
      </w:r>
      <w:r w:rsidR="00FD6A2C">
        <w:rPr>
          <w:rFonts w:ascii="Arial" w:hAnsi="Arial" w:cs="Arial"/>
        </w:rPr>
        <w:br/>
      </w:r>
      <w:r w:rsidRPr="00DB2580">
        <w:rPr>
          <w:rFonts w:ascii="Arial" w:hAnsi="Arial" w:cs="Arial"/>
        </w:rPr>
        <w:t>Acute Flaccid Paralysis (AFP) surveillance is the primary method used to measure polio incidence; this is a global standard established by the World Health Organization (WHO, 2023). This approach requires healthcare providers to immediately report cases of sudden, flaccid muscle weakness in patients under the age of 15 (WHO, 2023).</w:t>
      </w:r>
      <w:r w:rsidR="00FD6A2C">
        <w:rPr>
          <w:rFonts w:ascii="Arial" w:hAnsi="Arial" w:cs="Arial"/>
        </w:rPr>
        <w:br/>
      </w:r>
      <w:r w:rsidRPr="00DB2580">
        <w:rPr>
          <w:rFonts w:ascii="Arial" w:hAnsi="Arial" w:cs="Arial"/>
        </w:rPr>
        <w:t xml:space="preserve">To confirm the presence of poliovirus, two stool samples must be collected within 14 days of the onset of paralysis. These samples are then </w:t>
      </w:r>
      <w:proofErr w:type="spellStart"/>
      <w:r w:rsidRPr="00DB2580">
        <w:rPr>
          <w:rFonts w:ascii="Arial" w:hAnsi="Arial" w:cs="Arial"/>
        </w:rPr>
        <w:t>analyzed</w:t>
      </w:r>
      <w:proofErr w:type="spellEnd"/>
      <w:r w:rsidRPr="00DB2580">
        <w:rPr>
          <w:rFonts w:ascii="Arial" w:hAnsi="Arial" w:cs="Arial"/>
        </w:rPr>
        <w:t xml:space="preserve"> within the Global Polio Laboratory Network (GPLN) to isolate the virus and perform genomic sequencing (GPEI, 2024).</w:t>
      </w:r>
      <w:r w:rsidR="00FD6A2C">
        <w:rPr>
          <w:rFonts w:ascii="Arial" w:hAnsi="Arial" w:cs="Arial"/>
        </w:rPr>
        <w:br/>
      </w:r>
      <w:r w:rsidRPr="00DB2580">
        <w:rPr>
          <w:rFonts w:ascii="Arial" w:hAnsi="Arial" w:cs="Arial"/>
        </w:rPr>
        <w:t>Since 70% to 90% of poliovirus infections are asymptomatic, relying solely on clinical cases is flawed, as it creates a diagnostic blind spot involving silent transmission within the community (WHO, 2023). To address this, proactive environmental surveillance—which involves the routine testing of sewage samples—is employed (UKHSA, 2022). In the United Kingdom, this task is carried out by the UK Health Security Agency (UKHSA). It continuously monitors wastewater at strategic treatment plants, including the Beckton wastewater treatment plant in London (UKHSA, 2022).</w:t>
      </w:r>
    </w:p>
    <w:p w14:paraId="194DB9AF" w14:textId="0233413E" w:rsidR="004F46F2" w:rsidRPr="00DB2580" w:rsidRDefault="00FD6A2C" w:rsidP="00DB2580">
      <w:pPr>
        <w:spacing w:line="360" w:lineRule="auto"/>
        <w:jc w:val="both"/>
        <w:rPr>
          <w:rFonts w:ascii="Arial" w:hAnsi="Arial" w:cs="Arial"/>
        </w:rPr>
      </w:pPr>
      <w:r>
        <w:rPr>
          <w:rFonts w:ascii="Arial" w:hAnsi="Arial" w:cs="Arial"/>
        </w:rPr>
        <w:lastRenderedPageBreak/>
        <w:br/>
      </w:r>
      <w:r w:rsidR="004F46F2" w:rsidRPr="00DB2580">
        <w:rPr>
          <w:rFonts w:ascii="Arial" w:hAnsi="Arial" w:cs="Arial"/>
        </w:rPr>
        <w:t>Environmental monitoring enables the detection of poliovirus particles excreted in the stool of asymptomatic individuals, even before clinical cases of paralysis occur (UKHSA, 2022).</w:t>
      </w:r>
    </w:p>
    <w:p w14:paraId="6D73FAF5" w14:textId="2357166A" w:rsidR="004F46F2" w:rsidRDefault="004F46F2" w:rsidP="00DB2580">
      <w:pPr>
        <w:spacing w:line="360" w:lineRule="auto"/>
        <w:jc w:val="both"/>
        <w:rPr>
          <w:rFonts w:ascii="Arial" w:hAnsi="Arial" w:cs="Arial"/>
        </w:rPr>
      </w:pPr>
      <w:r w:rsidRPr="00DB2580">
        <w:rPr>
          <w:rFonts w:ascii="Arial" w:hAnsi="Arial" w:cs="Arial"/>
        </w:rPr>
        <w:t>There is a distinction between vaccine-derived poliovirus (VDPV) and wild strains; advanced genomic analysis makes it possible to differentiate between them. This allows for the determination of the virus's genetic origin and evolutionary lineage (UKHSA, 2022). When a strain is detected in wastewater, public health agencies identify gaps in population immunity and organize appropriate supplementary vaccination campaigns (UKHSA, 2022).</w:t>
      </w:r>
      <w:r w:rsidR="00FD6A2C">
        <w:rPr>
          <w:rFonts w:ascii="Arial" w:hAnsi="Arial" w:cs="Arial"/>
        </w:rPr>
        <w:br/>
      </w:r>
      <w:r w:rsidRPr="00DB2580">
        <w:rPr>
          <w:rFonts w:ascii="Arial" w:hAnsi="Arial" w:cs="Arial"/>
        </w:rPr>
        <w:t>Clinical reporting of acute flaccid paralysis (AFP) and environmental sampling provide a robust public health framework for assessing population risk. They enable rapid intervention to prevent widespread clinical transmission (GPEI, 2024).</w:t>
      </w:r>
    </w:p>
    <w:p w14:paraId="05CD6F2E" w14:textId="77777777" w:rsidR="004733F5" w:rsidRDefault="004733F5" w:rsidP="00DB2580">
      <w:pPr>
        <w:spacing w:line="360" w:lineRule="auto"/>
        <w:jc w:val="both"/>
        <w:rPr>
          <w:rFonts w:ascii="Arial" w:hAnsi="Arial" w:cs="Arial"/>
        </w:rPr>
      </w:pPr>
    </w:p>
    <w:p w14:paraId="6355BD56" w14:textId="23E6F5C1" w:rsidR="007A1236" w:rsidRDefault="004733F5" w:rsidP="00303F96">
      <w:pPr>
        <w:pStyle w:val="Heading1"/>
        <w:numPr>
          <w:ilvl w:val="0"/>
          <w:numId w:val="7"/>
        </w:numPr>
      </w:pPr>
      <w:bookmarkStart w:id="3" w:name="_Toc236151418"/>
      <w:r w:rsidRPr="001D3594">
        <w:t>Disease Control Strategies</w:t>
      </w:r>
      <w:bookmarkEnd w:id="3"/>
    </w:p>
    <w:p w14:paraId="26DAAC81" w14:textId="77777777" w:rsidR="00C13A67" w:rsidRPr="00C13A67" w:rsidRDefault="00C13A67" w:rsidP="00C13A67"/>
    <w:p w14:paraId="5868531A" w14:textId="5B7217EE" w:rsidR="00031966" w:rsidRPr="00031966" w:rsidRDefault="00031966" w:rsidP="00031966">
      <w:pPr>
        <w:spacing w:line="360" w:lineRule="auto"/>
        <w:jc w:val="both"/>
        <w:rPr>
          <w:rFonts w:ascii="Arial" w:hAnsi="Arial" w:cs="Arial"/>
        </w:rPr>
      </w:pPr>
      <w:r w:rsidRPr="00031966">
        <w:rPr>
          <w:rFonts w:ascii="Arial" w:hAnsi="Arial" w:cs="Arial"/>
        </w:rPr>
        <w:t>Due to the fact that there is no effective causal treatment, so-called population immuni</w:t>
      </w:r>
      <w:r w:rsidR="00932C03">
        <w:rPr>
          <w:rFonts w:ascii="Arial" w:hAnsi="Arial" w:cs="Arial"/>
        </w:rPr>
        <w:t>s</w:t>
      </w:r>
      <w:r w:rsidRPr="00031966">
        <w:rPr>
          <w:rFonts w:ascii="Arial" w:hAnsi="Arial" w:cs="Arial"/>
        </w:rPr>
        <w:t>ation is used to prevent and control polio. It is a process during which the population is immunized on a mass scale, most often through vaccinations. Two types of vaccines are used here: oral polio vaccine (OPV) and in</w:t>
      </w:r>
      <w:r w:rsidR="00867C9A">
        <w:rPr>
          <w:rFonts w:ascii="Arial" w:hAnsi="Arial" w:cs="Arial"/>
        </w:rPr>
        <w:t>activated</w:t>
      </w:r>
      <w:r w:rsidRPr="00031966">
        <w:rPr>
          <w:rFonts w:ascii="Arial" w:hAnsi="Arial" w:cs="Arial"/>
        </w:rPr>
        <w:t xml:space="preserve"> polio vaccine (IPV) (WHO, 2023).</w:t>
      </w:r>
    </w:p>
    <w:p w14:paraId="3548F68B" w14:textId="2BF8F242" w:rsidR="00031966" w:rsidRPr="00031966" w:rsidRDefault="00031966" w:rsidP="00031966">
      <w:pPr>
        <w:spacing w:line="360" w:lineRule="auto"/>
        <w:jc w:val="both"/>
        <w:rPr>
          <w:rFonts w:ascii="Arial" w:hAnsi="Arial" w:cs="Arial"/>
        </w:rPr>
      </w:pPr>
      <w:r w:rsidRPr="00031966">
        <w:rPr>
          <w:rFonts w:ascii="Arial" w:hAnsi="Arial" w:cs="Arial"/>
        </w:rPr>
        <w:t>The difference between the two vaccines is that OPV contains a weakened live virus. It provides intestinal immunity, thus greatly reducing transmission in endemic areas (GPEI, 2024). However, the virus from this vaccine may mutate and eventually develop into vaccine-derived pol</w:t>
      </w:r>
      <w:r w:rsidR="00C2317D">
        <w:rPr>
          <w:rFonts w:ascii="Arial" w:hAnsi="Arial" w:cs="Arial"/>
        </w:rPr>
        <w:t>i</w:t>
      </w:r>
      <w:r w:rsidRPr="00031966">
        <w:rPr>
          <w:rFonts w:ascii="Arial" w:hAnsi="Arial" w:cs="Arial"/>
        </w:rPr>
        <w:t>ovirus (</w:t>
      </w:r>
      <w:proofErr w:type="spellStart"/>
      <w:r w:rsidRPr="00031966">
        <w:rPr>
          <w:rFonts w:ascii="Arial" w:hAnsi="Arial" w:cs="Arial"/>
        </w:rPr>
        <w:t>cVDPV</w:t>
      </w:r>
      <w:proofErr w:type="spellEnd"/>
      <w:r w:rsidRPr="00031966">
        <w:rPr>
          <w:rFonts w:ascii="Arial" w:hAnsi="Arial" w:cs="Arial"/>
        </w:rPr>
        <w:t xml:space="preserve">) (WHO, 2023). However, IPV contains a killed virus and completely eliminates the risk of causing paralysis or mutation. That is why </w:t>
      </w:r>
      <w:r w:rsidR="007A031E">
        <w:rPr>
          <w:rFonts w:ascii="Arial" w:hAnsi="Arial" w:cs="Arial"/>
        </w:rPr>
        <w:t xml:space="preserve">the United </w:t>
      </w:r>
      <w:r w:rsidR="00DE16C6">
        <w:rPr>
          <w:rFonts w:ascii="Arial" w:hAnsi="Arial" w:cs="Arial"/>
        </w:rPr>
        <w:t>Kingdom</w:t>
      </w:r>
      <w:r w:rsidRPr="00031966">
        <w:rPr>
          <w:rFonts w:ascii="Arial" w:hAnsi="Arial" w:cs="Arial"/>
        </w:rPr>
        <w:t>, as well as other high-income countries, only use this type of vaccination (Oxford Vaccine Group, 2023). In the UK, vaccinations are carried out using the National Immunization Schedule (NHS Routine Immunization Schedule). This program involves administering the IPV vaccine to children at eight, twelve and sixteen weeks of age, followed by booster vaccinations at ages three and 14 (NHS, 2023).</w:t>
      </w:r>
    </w:p>
    <w:p w14:paraId="2FF2B3CC" w14:textId="529E37F0" w:rsidR="007D2D79" w:rsidRDefault="00031966" w:rsidP="00031966">
      <w:pPr>
        <w:spacing w:line="360" w:lineRule="auto"/>
        <w:jc w:val="both"/>
        <w:rPr>
          <w:rFonts w:ascii="Arial" w:hAnsi="Arial" w:cs="Arial"/>
        </w:rPr>
      </w:pPr>
      <w:r w:rsidRPr="00031966">
        <w:rPr>
          <w:rFonts w:ascii="Arial" w:hAnsi="Arial" w:cs="Arial"/>
        </w:rPr>
        <w:t xml:space="preserve">Population immunity requires a vaccination </w:t>
      </w:r>
      <w:r w:rsidR="00892657">
        <w:rPr>
          <w:rFonts w:ascii="Arial" w:hAnsi="Arial" w:cs="Arial"/>
        </w:rPr>
        <w:t>coverage</w:t>
      </w:r>
      <w:r w:rsidRPr="00031966">
        <w:rPr>
          <w:rFonts w:ascii="Arial" w:hAnsi="Arial" w:cs="Arial"/>
        </w:rPr>
        <w:t xml:space="preserve"> of 95% of the population (WHO, 2023). This is a key assumption of public health control. Below this threshold, so-called immunity gaps arise and there is a risk of the virus re-emerging. The UKHSA decision from 2022 can be cited as an example of such a situation. This involved an additional IPV booster for children aged up to nine years old after the virus was detected in sewage in London. (UKHSA, 2022). </w:t>
      </w:r>
      <w:r w:rsidRPr="00031966">
        <w:rPr>
          <w:rFonts w:ascii="Arial" w:hAnsi="Arial" w:cs="Arial"/>
        </w:rPr>
        <w:lastRenderedPageBreak/>
        <w:t>Interventions such as this, together with routine vaccinations, form the basis for preventing polio epidemics in the community.</w:t>
      </w:r>
    </w:p>
    <w:p w14:paraId="64BAAC91" w14:textId="77777777" w:rsidR="00C13A67" w:rsidRDefault="00C13A67" w:rsidP="00031966">
      <w:pPr>
        <w:spacing w:line="360" w:lineRule="auto"/>
        <w:jc w:val="both"/>
        <w:rPr>
          <w:rFonts w:ascii="Arial" w:hAnsi="Arial" w:cs="Arial"/>
        </w:rPr>
      </w:pPr>
    </w:p>
    <w:p w14:paraId="0B64D5FB" w14:textId="1D43C041" w:rsidR="007D2D79" w:rsidRDefault="00B934F4" w:rsidP="000D2825">
      <w:pPr>
        <w:pStyle w:val="Heading1"/>
        <w:numPr>
          <w:ilvl w:val="0"/>
          <w:numId w:val="7"/>
        </w:numPr>
      </w:pPr>
      <w:bookmarkStart w:id="4" w:name="_Toc236151419"/>
      <w:r w:rsidRPr="0033538B">
        <w:t>Consequences for Individuals and Communities</w:t>
      </w:r>
      <w:bookmarkEnd w:id="4"/>
    </w:p>
    <w:p w14:paraId="7075FC48" w14:textId="77777777" w:rsidR="00C13A67" w:rsidRPr="00C13A67" w:rsidRDefault="00C13A67" w:rsidP="00C13A67"/>
    <w:p w14:paraId="0B37B632" w14:textId="77777777" w:rsidR="00097F2F" w:rsidRPr="00097F2F" w:rsidRDefault="00097F2F" w:rsidP="00097F2F">
      <w:pPr>
        <w:spacing w:line="360" w:lineRule="auto"/>
        <w:jc w:val="both"/>
        <w:rPr>
          <w:rFonts w:ascii="Arial" w:hAnsi="Arial" w:cs="Arial"/>
        </w:rPr>
      </w:pPr>
      <w:r w:rsidRPr="00097F2F">
        <w:rPr>
          <w:rFonts w:ascii="Arial" w:hAnsi="Arial" w:cs="Arial"/>
        </w:rPr>
        <w:t>The consequences of polio extending beyond the acute phase of infection have a profound and long-term impact on the lives of infected individuals, as well as their families and communities. From a physical standpoint, the most severe outcome is acute flaccid paralysis (AFP), resulting in irreversible muscle atrophy, limb deformities, and physical disability (WHO, 2023). If the poliovirus attacks neurons in the brainstem or the respiratory muscles, patients require lifelong ventilatory support; historically, this necessitated the use of a device known as the "iron lung" (Oxford Vaccine Group, 2023).</w:t>
      </w:r>
    </w:p>
    <w:p w14:paraId="73554D8A" w14:textId="77777777" w:rsidR="00097F2F" w:rsidRPr="00097F2F" w:rsidRDefault="00097F2F" w:rsidP="00097F2F">
      <w:pPr>
        <w:spacing w:line="360" w:lineRule="auto"/>
        <w:jc w:val="both"/>
        <w:rPr>
          <w:rFonts w:ascii="Arial" w:hAnsi="Arial" w:cs="Arial"/>
        </w:rPr>
      </w:pPr>
      <w:r w:rsidRPr="00097F2F">
        <w:rPr>
          <w:rFonts w:ascii="Arial" w:hAnsi="Arial" w:cs="Arial"/>
        </w:rPr>
        <w:t>Beyond the physical aspect, there is a socio-economic dimension involving consequences such as social exclusion and stigmatization, as well as numerous barriers to accessing education and employment (GPEI, 2024). These individuals require long-term care, which imposes a significant psychological and financial burden, ultimately reducing the economic productivity of entire families and households (GPEI, 2024).</w:t>
      </w:r>
    </w:p>
    <w:p w14:paraId="4EAEB80F" w14:textId="2A8C9BDF" w:rsidR="002E3395" w:rsidRDefault="00097F2F" w:rsidP="00097F2F">
      <w:pPr>
        <w:spacing w:line="360" w:lineRule="auto"/>
        <w:jc w:val="both"/>
        <w:rPr>
          <w:rFonts w:ascii="Arial" w:hAnsi="Arial" w:cs="Arial"/>
        </w:rPr>
      </w:pPr>
      <w:r w:rsidRPr="00097F2F">
        <w:rPr>
          <w:rFonts w:ascii="Arial" w:hAnsi="Arial" w:cs="Arial"/>
        </w:rPr>
        <w:t>In the United Kingdom and other highly developed countries, a significant public health issue is Post-Polio Syndrome (PPS). This neurological disorder affects between 25% and 40% of polio survivors, typically manifesting 20 to 40 years after recovery (British Polio Fellowship, 2023). It is characterized by muscle weakness, severe and chronic fatigue, breathing difficulties, joint pain, and swallowing problems (British Polio Fellowship, 2023). Individuals with Post-Polio Syndrome—who originally contracted the poliovirus in the mid-20th century—must once again confront issues such as a renewed loss of independence, a decline in quality of life, and long-term challenges within their local communities. Addressing these challenges requires reliable and ongoing cooperation among public health institutions to fully meet the needs of these individuals. Raising awareness among healthcare professionals is also crucial to ensure prompt diagnosis and comprehensive treatment.</w:t>
      </w:r>
    </w:p>
    <w:p w14:paraId="131F9609" w14:textId="77777777" w:rsidR="00257B34" w:rsidRPr="00097F2F" w:rsidRDefault="00257B34" w:rsidP="00097F2F">
      <w:pPr>
        <w:spacing w:line="360" w:lineRule="auto"/>
        <w:jc w:val="both"/>
        <w:rPr>
          <w:rFonts w:ascii="Arial" w:hAnsi="Arial" w:cs="Arial"/>
        </w:rPr>
      </w:pPr>
    </w:p>
    <w:p w14:paraId="341FD5EE" w14:textId="3CE48357" w:rsidR="00097F2F" w:rsidRDefault="006C4CA9" w:rsidP="000D2825">
      <w:pPr>
        <w:pStyle w:val="Heading1"/>
        <w:numPr>
          <w:ilvl w:val="0"/>
          <w:numId w:val="7"/>
        </w:numPr>
      </w:pPr>
      <w:bookmarkStart w:id="5" w:name="_Toc236151420"/>
      <w:r w:rsidRPr="00903FB7">
        <w:t>Health and Social Care Support Services</w:t>
      </w:r>
      <w:bookmarkEnd w:id="5"/>
    </w:p>
    <w:p w14:paraId="55D916BE" w14:textId="77777777" w:rsidR="00C13A67" w:rsidRPr="00C13A67" w:rsidRDefault="00C13A67" w:rsidP="00C13A67"/>
    <w:p w14:paraId="5B312D7A" w14:textId="546A97E2" w:rsidR="00097F2F" w:rsidRDefault="00257B34" w:rsidP="00257B34">
      <w:pPr>
        <w:spacing w:line="360" w:lineRule="auto"/>
        <w:jc w:val="both"/>
        <w:rPr>
          <w:rFonts w:ascii="Arial" w:hAnsi="Arial" w:cs="Arial"/>
        </w:rPr>
      </w:pPr>
      <w:r w:rsidRPr="00257B34">
        <w:rPr>
          <w:rFonts w:ascii="Arial" w:hAnsi="Arial" w:cs="Arial"/>
        </w:rPr>
        <w:t>Given the nature of post-polio complications, the care system in the UK is structured around a collaboration between various entities from the medical sector, social care, and non-</w:t>
      </w:r>
      <w:r w:rsidRPr="00257B34">
        <w:rPr>
          <w:rFonts w:ascii="Arial" w:hAnsi="Arial" w:cs="Arial"/>
        </w:rPr>
        <w:lastRenderedPageBreak/>
        <w:t>governmental organizations. Within the NHS, multidisciplinary teams (MDTs) play a pivotal role. These teams include, among others, neurologists, physiotherapists, orthotists, and pain management specialists (NHS, 2023). They operate within specialized Post-Polio Syndrome clinics—such as the Lane Fox REMEO Centre in London—which provide patients with a range of targeted services, including rehabilitation, appropriately fitted orthotic equipment, and various respiratory support therapies (British Polio Fellowship, 2023). General Practitioners (GPs) and community nurses also play a crucial role, continuously monitoring patients' health and administering vaccination programs (NHS, 2023).</w:t>
      </w:r>
    </w:p>
    <w:p w14:paraId="70AE5ABE" w14:textId="77777777" w:rsidR="00923B15" w:rsidRPr="00923B15" w:rsidRDefault="00923B15" w:rsidP="00923B15">
      <w:pPr>
        <w:spacing w:line="360" w:lineRule="auto"/>
        <w:jc w:val="both"/>
        <w:rPr>
          <w:rFonts w:ascii="Arial" w:hAnsi="Arial" w:cs="Arial"/>
        </w:rPr>
      </w:pPr>
      <w:r w:rsidRPr="00923B15">
        <w:rPr>
          <w:rFonts w:ascii="Arial" w:hAnsi="Arial" w:cs="Arial"/>
        </w:rPr>
        <w:t>Regarding social care in the UK, local authorities prioritize patient independence within the home environment. Assessments of living conditions are conducted first, followed by the organization of necessary and immediate home adaptations—such as the installation of ramps, grab rails, and stairlifts (UKHSA, 2022). Individuals with significant disabilities can also access paid domiciliary care to assist with daily living, as well as various financial benefits, including the Personal Independence Payment (PIP) (British Polio Fellowship, 2023).</w:t>
      </w:r>
    </w:p>
    <w:p w14:paraId="6BDC15CB" w14:textId="77777777" w:rsidR="00923B15" w:rsidRPr="00923B15" w:rsidRDefault="00923B15" w:rsidP="00923B15">
      <w:pPr>
        <w:spacing w:line="360" w:lineRule="auto"/>
        <w:jc w:val="both"/>
        <w:rPr>
          <w:rFonts w:ascii="Arial" w:hAnsi="Arial" w:cs="Arial"/>
        </w:rPr>
      </w:pPr>
      <w:r w:rsidRPr="00923B15">
        <w:rPr>
          <w:rFonts w:ascii="Arial" w:hAnsi="Arial" w:cs="Arial"/>
        </w:rPr>
        <w:t>The non-governmental sector plays a vital role in systemic support. One of the largest charities in this field is the British Polio Fellowship (British Polio Fellowship, 2023). The organization supports individuals who have experienced polio and their families by offering legal advice, financial assistance for purchasing rehabilitation equipment, and support groups designed to combat social isolation (British Polio Fellowship, 2023).</w:t>
      </w:r>
    </w:p>
    <w:p w14:paraId="102F5AF7" w14:textId="753D06CD" w:rsidR="00097F2F" w:rsidRDefault="00923B15" w:rsidP="00923B15">
      <w:pPr>
        <w:spacing w:line="360" w:lineRule="auto"/>
        <w:jc w:val="both"/>
        <w:rPr>
          <w:rFonts w:ascii="Arial" w:hAnsi="Arial" w:cs="Arial"/>
        </w:rPr>
      </w:pPr>
      <w:r w:rsidRPr="00923B15">
        <w:rPr>
          <w:rFonts w:ascii="Arial" w:hAnsi="Arial" w:cs="Arial"/>
        </w:rPr>
        <w:t>These three pillars—state healthcare, social support, and charitable organizations—form a professional support network for individuals affected by polio, as well as their families and loved ones.</w:t>
      </w:r>
    </w:p>
    <w:p w14:paraId="4D52D2FB" w14:textId="77777777" w:rsidR="0048736B" w:rsidRDefault="0048736B" w:rsidP="00923B15">
      <w:pPr>
        <w:spacing w:line="360" w:lineRule="auto"/>
        <w:jc w:val="both"/>
        <w:rPr>
          <w:rFonts w:ascii="Arial" w:hAnsi="Arial" w:cs="Arial"/>
        </w:rPr>
      </w:pPr>
    </w:p>
    <w:p w14:paraId="3F887450" w14:textId="0525C90C" w:rsidR="00FC3F31" w:rsidRDefault="00FC3F31" w:rsidP="000D2825">
      <w:pPr>
        <w:pStyle w:val="Heading1"/>
        <w:numPr>
          <w:ilvl w:val="0"/>
          <w:numId w:val="7"/>
        </w:numPr>
      </w:pPr>
      <w:bookmarkStart w:id="6" w:name="_Toc236151421"/>
      <w:r w:rsidRPr="0048736B">
        <w:t>Conclusion</w:t>
      </w:r>
      <w:bookmarkEnd w:id="6"/>
    </w:p>
    <w:p w14:paraId="33CD6BC9" w14:textId="77777777" w:rsidR="00C13A67" w:rsidRPr="00C13A67" w:rsidRDefault="00C13A67" w:rsidP="00C13A67"/>
    <w:p w14:paraId="3388E47E" w14:textId="77777777" w:rsidR="00403410" w:rsidRPr="00403410" w:rsidRDefault="00403410" w:rsidP="00403410">
      <w:pPr>
        <w:spacing w:line="360" w:lineRule="auto"/>
        <w:jc w:val="both"/>
        <w:rPr>
          <w:rFonts w:ascii="Arial" w:hAnsi="Arial" w:cs="Arial"/>
        </w:rPr>
      </w:pPr>
      <w:r w:rsidRPr="00403410">
        <w:rPr>
          <w:rFonts w:ascii="Arial" w:hAnsi="Arial" w:cs="Arial"/>
        </w:rPr>
        <w:t>In summary, effective polio management requires professional public health measures, such as clinical surveillance, environmental monitoring, community immunization, and integrated social care. Although wild poliovirus strains have been almost entirely eliminated across most of the globe, vaccine-derived strains continue to pose challenges, as evidenced by the virus detected in London’s sewage.</w:t>
      </w:r>
    </w:p>
    <w:p w14:paraId="25B27577" w14:textId="77777777" w:rsidR="00403410" w:rsidRPr="00403410" w:rsidRDefault="00403410" w:rsidP="00403410">
      <w:pPr>
        <w:spacing w:line="360" w:lineRule="auto"/>
        <w:jc w:val="both"/>
        <w:rPr>
          <w:rFonts w:ascii="Arial" w:hAnsi="Arial" w:cs="Arial"/>
        </w:rPr>
      </w:pPr>
      <w:r w:rsidRPr="00403410">
        <w:rPr>
          <w:rFonts w:ascii="Arial" w:hAnsi="Arial" w:cs="Arial"/>
        </w:rPr>
        <w:t>Maintaining population immunity at a minimum level of 95% remains crucial. This goal is achieved through the NHS routine vaccination schedule, which is the most effective way to protect the public against a resurgence of the disease.</w:t>
      </w:r>
    </w:p>
    <w:p w14:paraId="4A5118D7" w14:textId="77777777" w:rsidR="00403410" w:rsidRPr="00403410" w:rsidRDefault="00403410" w:rsidP="00403410">
      <w:pPr>
        <w:spacing w:line="360" w:lineRule="auto"/>
        <w:jc w:val="both"/>
        <w:rPr>
          <w:rFonts w:ascii="Arial" w:hAnsi="Arial" w:cs="Arial"/>
        </w:rPr>
      </w:pPr>
      <w:r w:rsidRPr="00403410">
        <w:rPr>
          <w:rFonts w:ascii="Arial" w:hAnsi="Arial" w:cs="Arial"/>
        </w:rPr>
        <w:lastRenderedPageBreak/>
        <w:t>Addressing the long-term physical, socio-economic, and neurological consequences—such as Post-Polio Syndrome—is also vital. This requires close collaboration between the NHS, local authorities, social care services, and non-governmental organizations like The British Polio Fellowship.</w:t>
      </w:r>
    </w:p>
    <w:p w14:paraId="2EF65C07" w14:textId="2432DC4E" w:rsidR="00097F2F" w:rsidRPr="00403410" w:rsidRDefault="00403410" w:rsidP="00403410">
      <w:pPr>
        <w:spacing w:line="360" w:lineRule="auto"/>
        <w:jc w:val="both"/>
        <w:rPr>
          <w:rFonts w:ascii="Arial" w:hAnsi="Arial" w:cs="Arial"/>
        </w:rPr>
      </w:pPr>
      <w:r w:rsidRPr="00403410">
        <w:rPr>
          <w:rFonts w:ascii="Arial" w:hAnsi="Arial" w:cs="Arial"/>
        </w:rPr>
        <w:t>To safeguard public health in the UK and ensure a decent quality of life for polio survivors, robust environmental surveillance combined with multi-sector support from trained professionals is essential.</w:t>
      </w:r>
    </w:p>
    <w:p w14:paraId="6541844A" w14:textId="77777777" w:rsidR="00097F2F" w:rsidRPr="00257B34" w:rsidRDefault="00097F2F" w:rsidP="0033538B">
      <w:pPr>
        <w:pStyle w:val="ListParagraph"/>
        <w:spacing w:line="360" w:lineRule="auto"/>
        <w:jc w:val="both"/>
        <w:rPr>
          <w:rFonts w:ascii="Arial" w:hAnsi="Arial" w:cs="Arial"/>
          <w:b/>
          <w:bCs/>
          <w:sz w:val="28"/>
          <w:szCs w:val="28"/>
        </w:rPr>
      </w:pPr>
    </w:p>
    <w:p w14:paraId="5C735276" w14:textId="77777777" w:rsidR="00097F2F" w:rsidRPr="00257B34" w:rsidRDefault="00097F2F" w:rsidP="0033538B">
      <w:pPr>
        <w:pStyle w:val="ListParagraph"/>
        <w:spacing w:line="360" w:lineRule="auto"/>
        <w:jc w:val="both"/>
        <w:rPr>
          <w:rFonts w:ascii="Arial" w:hAnsi="Arial" w:cs="Arial"/>
          <w:b/>
          <w:bCs/>
          <w:sz w:val="28"/>
          <w:szCs w:val="28"/>
        </w:rPr>
      </w:pPr>
    </w:p>
    <w:p w14:paraId="69674EAD" w14:textId="77777777" w:rsidR="00097F2F" w:rsidRPr="00257B34" w:rsidRDefault="00097F2F" w:rsidP="0033538B">
      <w:pPr>
        <w:pStyle w:val="ListParagraph"/>
        <w:spacing w:line="360" w:lineRule="auto"/>
        <w:jc w:val="both"/>
        <w:rPr>
          <w:rFonts w:ascii="Arial" w:hAnsi="Arial" w:cs="Arial"/>
          <w:b/>
          <w:bCs/>
          <w:sz w:val="28"/>
          <w:szCs w:val="28"/>
        </w:rPr>
      </w:pPr>
    </w:p>
    <w:p w14:paraId="770AA74A" w14:textId="77777777" w:rsidR="00097F2F" w:rsidRPr="00257B34" w:rsidRDefault="00097F2F" w:rsidP="0033538B">
      <w:pPr>
        <w:pStyle w:val="ListParagraph"/>
        <w:spacing w:line="360" w:lineRule="auto"/>
        <w:jc w:val="both"/>
        <w:rPr>
          <w:rFonts w:ascii="Arial" w:hAnsi="Arial" w:cs="Arial"/>
          <w:b/>
          <w:bCs/>
          <w:sz w:val="28"/>
          <w:szCs w:val="28"/>
        </w:rPr>
      </w:pPr>
    </w:p>
    <w:p w14:paraId="7324E046" w14:textId="77777777" w:rsidR="00097F2F" w:rsidRPr="00257B34" w:rsidRDefault="00097F2F" w:rsidP="0033538B">
      <w:pPr>
        <w:pStyle w:val="ListParagraph"/>
        <w:spacing w:line="360" w:lineRule="auto"/>
        <w:jc w:val="both"/>
        <w:rPr>
          <w:rFonts w:ascii="Arial" w:hAnsi="Arial" w:cs="Arial"/>
          <w:b/>
          <w:bCs/>
          <w:sz w:val="28"/>
          <w:szCs w:val="28"/>
        </w:rPr>
      </w:pPr>
    </w:p>
    <w:p w14:paraId="2C50D27C" w14:textId="77777777" w:rsidR="00097F2F" w:rsidRPr="00257B34" w:rsidRDefault="00097F2F" w:rsidP="0033538B">
      <w:pPr>
        <w:pStyle w:val="ListParagraph"/>
        <w:spacing w:line="360" w:lineRule="auto"/>
        <w:jc w:val="both"/>
        <w:rPr>
          <w:rFonts w:ascii="Arial" w:hAnsi="Arial" w:cs="Arial"/>
          <w:b/>
          <w:bCs/>
          <w:sz w:val="28"/>
          <w:szCs w:val="28"/>
        </w:rPr>
      </w:pPr>
    </w:p>
    <w:p w14:paraId="43221D02" w14:textId="77777777" w:rsidR="00097F2F" w:rsidRPr="00257B34" w:rsidRDefault="00097F2F" w:rsidP="0033538B">
      <w:pPr>
        <w:pStyle w:val="ListParagraph"/>
        <w:spacing w:line="360" w:lineRule="auto"/>
        <w:jc w:val="both"/>
        <w:rPr>
          <w:rFonts w:ascii="Arial" w:hAnsi="Arial" w:cs="Arial"/>
          <w:b/>
          <w:bCs/>
          <w:sz w:val="28"/>
          <w:szCs w:val="28"/>
        </w:rPr>
      </w:pPr>
    </w:p>
    <w:p w14:paraId="6CB628B7" w14:textId="77777777" w:rsidR="00097F2F" w:rsidRPr="00257B34" w:rsidRDefault="00097F2F" w:rsidP="0033538B">
      <w:pPr>
        <w:pStyle w:val="ListParagraph"/>
        <w:spacing w:line="360" w:lineRule="auto"/>
        <w:jc w:val="both"/>
        <w:rPr>
          <w:rFonts w:ascii="Arial" w:hAnsi="Arial" w:cs="Arial"/>
          <w:b/>
          <w:bCs/>
          <w:sz w:val="28"/>
          <w:szCs w:val="28"/>
        </w:rPr>
      </w:pPr>
    </w:p>
    <w:p w14:paraId="22C2C4EB" w14:textId="77777777" w:rsidR="00097F2F" w:rsidRPr="00257B34" w:rsidRDefault="00097F2F" w:rsidP="0033538B">
      <w:pPr>
        <w:pStyle w:val="ListParagraph"/>
        <w:spacing w:line="360" w:lineRule="auto"/>
        <w:jc w:val="both"/>
        <w:rPr>
          <w:rFonts w:ascii="Arial" w:hAnsi="Arial" w:cs="Arial"/>
          <w:b/>
          <w:bCs/>
          <w:sz w:val="28"/>
          <w:szCs w:val="28"/>
        </w:rPr>
      </w:pPr>
    </w:p>
    <w:p w14:paraId="6D35B6DE" w14:textId="77777777" w:rsidR="00097F2F" w:rsidRPr="00257B34" w:rsidRDefault="00097F2F" w:rsidP="0033538B">
      <w:pPr>
        <w:pStyle w:val="ListParagraph"/>
        <w:spacing w:line="360" w:lineRule="auto"/>
        <w:jc w:val="both"/>
        <w:rPr>
          <w:rFonts w:ascii="Arial" w:hAnsi="Arial" w:cs="Arial"/>
          <w:b/>
          <w:bCs/>
          <w:sz w:val="28"/>
          <w:szCs w:val="28"/>
        </w:rPr>
      </w:pPr>
    </w:p>
    <w:p w14:paraId="080E88D9" w14:textId="77777777" w:rsidR="00097F2F" w:rsidRPr="00257B34" w:rsidRDefault="00097F2F" w:rsidP="0033538B">
      <w:pPr>
        <w:pStyle w:val="ListParagraph"/>
        <w:spacing w:line="360" w:lineRule="auto"/>
        <w:jc w:val="both"/>
        <w:rPr>
          <w:rFonts w:ascii="Arial" w:hAnsi="Arial" w:cs="Arial"/>
          <w:b/>
          <w:bCs/>
          <w:sz w:val="28"/>
          <w:szCs w:val="28"/>
        </w:rPr>
      </w:pPr>
    </w:p>
    <w:p w14:paraId="3630EDAD" w14:textId="77777777" w:rsidR="00097F2F" w:rsidRPr="00257B34" w:rsidRDefault="00097F2F" w:rsidP="0033538B">
      <w:pPr>
        <w:pStyle w:val="ListParagraph"/>
        <w:spacing w:line="360" w:lineRule="auto"/>
        <w:jc w:val="both"/>
        <w:rPr>
          <w:rFonts w:ascii="Arial" w:hAnsi="Arial" w:cs="Arial"/>
          <w:b/>
          <w:bCs/>
          <w:sz w:val="28"/>
          <w:szCs w:val="28"/>
        </w:rPr>
      </w:pPr>
    </w:p>
    <w:p w14:paraId="34863CD5" w14:textId="77777777" w:rsidR="00097F2F" w:rsidRPr="00257B34" w:rsidRDefault="00097F2F" w:rsidP="0033538B">
      <w:pPr>
        <w:pStyle w:val="ListParagraph"/>
        <w:spacing w:line="360" w:lineRule="auto"/>
        <w:jc w:val="both"/>
        <w:rPr>
          <w:rFonts w:ascii="Arial" w:hAnsi="Arial" w:cs="Arial"/>
          <w:b/>
          <w:bCs/>
          <w:sz w:val="28"/>
          <w:szCs w:val="28"/>
        </w:rPr>
      </w:pPr>
    </w:p>
    <w:p w14:paraId="37CFAAFA" w14:textId="77777777" w:rsidR="00097F2F" w:rsidRPr="00257B34" w:rsidRDefault="00097F2F" w:rsidP="0033538B">
      <w:pPr>
        <w:pStyle w:val="ListParagraph"/>
        <w:spacing w:line="360" w:lineRule="auto"/>
        <w:jc w:val="both"/>
        <w:rPr>
          <w:rFonts w:ascii="Arial" w:hAnsi="Arial" w:cs="Arial"/>
          <w:b/>
          <w:bCs/>
          <w:sz w:val="28"/>
          <w:szCs w:val="28"/>
        </w:rPr>
      </w:pPr>
    </w:p>
    <w:p w14:paraId="6DE70309" w14:textId="77777777" w:rsidR="00097F2F" w:rsidRPr="00257B34" w:rsidRDefault="00097F2F" w:rsidP="0033538B">
      <w:pPr>
        <w:pStyle w:val="ListParagraph"/>
        <w:spacing w:line="360" w:lineRule="auto"/>
        <w:jc w:val="both"/>
        <w:rPr>
          <w:rFonts w:ascii="Arial" w:hAnsi="Arial" w:cs="Arial"/>
          <w:b/>
          <w:bCs/>
          <w:sz w:val="28"/>
          <w:szCs w:val="28"/>
        </w:rPr>
      </w:pPr>
    </w:p>
    <w:p w14:paraId="2520C3E9" w14:textId="77777777" w:rsidR="00097F2F" w:rsidRPr="00257B34" w:rsidRDefault="00097F2F" w:rsidP="0033538B">
      <w:pPr>
        <w:pStyle w:val="ListParagraph"/>
        <w:spacing w:line="360" w:lineRule="auto"/>
        <w:jc w:val="both"/>
        <w:rPr>
          <w:rFonts w:ascii="Arial" w:hAnsi="Arial" w:cs="Arial"/>
          <w:b/>
          <w:bCs/>
          <w:sz w:val="28"/>
          <w:szCs w:val="28"/>
        </w:rPr>
      </w:pPr>
    </w:p>
    <w:p w14:paraId="6325798A" w14:textId="77777777" w:rsidR="00097F2F" w:rsidRPr="00257B34" w:rsidRDefault="00097F2F" w:rsidP="0033538B">
      <w:pPr>
        <w:pStyle w:val="ListParagraph"/>
        <w:spacing w:line="360" w:lineRule="auto"/>
        <w:jc w:val="both"/>
        <w:rPr>
          <w:rFonts w:ascii="Arial" w:hAnsi="Arial" w:cs="Arial"/>
          <w:b/>
          <w:bCs/>
          <w:sz w:val="28"/>
          <w:szCs w:val="28"/>
        </w:rPr>
      </w:pPr>
    </w:p>
    <w:p w14:paraId="3E753CBA" w14:textId="77777777" w:rsidR="00097F2F" w:rsidRPr="00257B34" w:rsidRDefault="00097F2F" w:rsidP="0033538B">
      <w:pPr>
        <w:pStyle w:val="ListParagraph"/>
        <w:spacing w:line="360" w:lineRule="auto"/>
        <w:jc w:val="both"/>
        <w:rPr>
          <w:rFonts w:ascii="Arial" w:hAnsi="Arial" w:cs="Arial"/>
          <w:b/>
          <w:bCs/>
          <w:sz w:val="28"/>
          <w:szCs w:val="28"/>
        </w:rPr>
      </w:pPr>
    </w:p>
    <w:p w14:paraId="5F70E1EB" w14:textId="77777777" w:rsidR="00097F2F" w:rsidRPr="00257B34" w:rsidRDefault="00097F2F" w:rsidP="0033538B">
      <w:pPr>
        <w:pStyle w:val="ListParagraph"/>
        <w:spacing w:line="360" w:lineRule="auto"/>
        <w:jc w:val="both"/>
        <w:rPr>
          <w:rFonts w:ascii="Arial" w:hAnsi="Arial" w:cs="Arial"/>
          <w:b/>
          <w:bCs/>
          <w:sz w:val="28"/>
          <w:szCs w:val="28"/>
        </w:rPr>
      </w:pPr>
    </w:p>
    <w:p w14:paraId="461059C9" w14:textId="77777777" w:rsidR="00097F2F" w:rsidRDefault="00097F2F" w:rsidP="0033538B">
      <w:pPr>
        <w:pStyle w:val="ListParagraph"/>
        <w:spacing w:line="360" w:lineRule="auto"/>
        <w:jc w:val="both"/>
        <w:rPr>
          <w:rFonts w:ascii="Arial" w:hAnsi="Arial" w:cs="Arial"/>
          <w:b/>
          <w:bCs/>
          <w:sz w:val="28"/>
          <w:szCs w:val="28"/>
        </w:rPr>
      </w:pPr>
    </w:p>
    <w:p w14:paraId="29D87009" w14:textId="77777777" w:rsidR="00403410" w:rsidRDefault="00403410" w:rsidP="0033538B">
      <w:pPr>
        <w:pStyle w:val="ListParagraph"/>
        <w:spacing w:line="360" w:lineRule="auto"/>
        <w:jc w:val="both"/>
        <w:rPr>
          <w:rFonts w:ascii="Arial" w:hAnsi="Arial" w:cs="Arial"/>
          <w:b/>
          <w:bCs/>
          <w:sz w:val="28"/>
          <w:szCs w:val="28"/>
        </w:rPr>
      </w:pPr>
    </w:p>
    <w:p w14:paraId="55334D75" w14:textId="77777777" w:rsidR="00097F2F" w:rsidRPr="00384F66" w:rsidRDefault="00097F2F" w:rsidP="00384F66">
      <w:pPr>
        <w:spacing w:line="360" w:lineRule="auto"/>
        <w:jc w:val="both"/>
        <w:rPr>
          <w:rFonts w:ascii="Arial" w:hAnsi="Arial" w:cs="Arial"/>
          <w:b/>
          <w:bCs/>
          <w:sz w:val="28"/>
          <w:szCs w:val="28"/>
        </w:rPr>
      </w:pPr>
    </w:p>
    <w:p w14:paraId="23578436" w14:textId="77777777" w:rsidR="00833470" w:rsidRDefault="00833470" w:rsidP="00C64FEB">
      <w:pPr>
        <w:pStyle w:val="Heading1"/>
      </w:pPr>
      <w:bookmarkStart w:id="7" w:name="_Toc236151422"/>
      <w:r w:rsidRPr="009A6E05">
        <w:lastRenderedPageBreak/>
        <w:t>References</w:t>
      </w:r>
      <w:bookmarkEnd w:id="7"/>
    </w:p>
    <w:p w14:paraId="7BE897F8" w14:textId="77777777" w:rsidR="00214621" w:rsidRPr="00214621" w:rsidRDefault="00214621" w:rsidP="00214621"/>
    <w:p w14:paraId="16F4BCE8" w14:textId="0018E15B" w:rsidR="004B5911" w:rsidRPr="001944BF" w:rsidRDefault="004B5911" w:rsidP="004B5911">
      <w:r w:rsidRPr="001944BF">
        <w:t xml:space="preserve">British Polio Fellowship (2023) </w:t>
      </w:r>
      <w:r w:rsidRPr="00F3037B">
        <w:rPr>
          <w:i/>
          <w:iCs/>
        </w:rPr>
        <w:t>Post-Polio Syndrome (PPS): Information and support</w:t>
      </w:r>
      <w:r w:rsidRPr="001944BF">
        <w:t xml:space="preserve">. Available at: </w:t>
      </w:r>
      <w:hyperlink r:id="rId16" w:tgtFrame="_blank" w:history="1">
        <w:r w:rsidRPr="001944BF">
          <w:rPr>
            <w:rStyle w:val="Hyperlink"/>
          </w:rPr>
          <w:t>https://www.britishpolio.org.uk</w:t>
        </w:r>
      </w:hyperlink>
      <w:r w:rsidRPr="001944BF">
        <w:t xml:space="preserve"> (Accessed: 2</w:t>
      </w:r>
      <w:r w:rsidR="001746DD">
        <w:t>5</w:t>
      </w:r>
      <w:r w:rsidRPr="001944BF">
        <w:t xml:space="preserve"> July 2026). </w:t>
      </w:r>
    </w:p>
    <w:p w14:paraId="6A7449D1" w14:textId="67373EBC" w:rsidR="001944BF" w:rsidRPr="001944BF" w:rsidRDefault="001944BF" w:rsidP="001944BF">
      <w:r w:rsidRPr="001944BF">
        <w:t xml:space="preserve">GPEI (2024) </w:t>
      </w:r>
      <w:r w:rsidRPr="000A774A">
        <w:rPr>
          <w:i/>
          <w:iCs/>
        </w:rPr>
        <w:t>Global Polio Eradication Initiative: Annual Report and Surveillance Data</w:t>
      </w:r>
      <w:r w:rsidRPr="001944BF">
        <w:t xml:space="preserve">. Global Polio Eradication Initiative. Available at: </w:t>
      </w:r>
      <w:hyperlink r:id="rId17" w:tgtFrame="_blank" w:history="1">
        <w:r w:rsidRPr="001944BF">
          <w:rPr>
            <w:rStyle w:val="Hyperlink"/>
          </w:rPr>
          <w:t>https://polioeradication.org</w:t>
        </w:r>
      </w:hyperlink>
      <w:r w:rsidRPr="001944BF">
        <w:t xml:space="preserve"> (Accessed: 2</w:t>
      </w:r>
      <w:r w:rsidR="00FF27C8">
        <w:t>4</w:t>
      </w:r>
      <w:r w:rsidRPr="001944BF">
        <w:t xml:space="preserve"> July 2026). </w:t>
      </w:r>
    </w:p>
    <w:p w14:paraId="36086BD4" w14:textId="77777777" w:rsidR="001C7C6C" w:rsidRPr="001C7C6C" w:rsidRDefault="001C7C6C" w:rsidP="001C7C6C">
      <w:r w:rsidRPr="001C7C6C">
        <w:t xml:space="preserve">NHS (2023) </w:t>
      </w:r>
      <w:r w:rsidRPr="00EE512E">
        <w:rPr>
          <w:i/>
          <w:iCs/>
        </w:rPr>
        <w:t>NHS vaccinations and when to have them. National Health Service.</w:t>
      </w:r>
      <w:r w:rsidRPr="001C7C6C">
        <w:t xml:space="preserve"> Available at: </w:t>
      </w:r>
      <w:hyperlink r:id="rId18" w:tgtFrame="_blank" w:history="1">
        <w:r w:rsidRPr="001C7C6C">
          <w:rPr>
            <w:rStyle w:val="Hyperlink"/>
          </w:rPr>
          <w:t>https://www.nhs.uk/conditions/vaccinations/nhs-vaccinations-and-when-to-have-them/</w:t>
        </w:r>
      </w:hyperlink>
      <w:r w:rsidRPr="001C7C6C">
        <w:t xml:space="preserve"> (Accessed: 23 July 2026). </w:t>
      </w:r>
    </w:p>
    <w:p w14:paraId="73734E41" w14:textId="2B4D7544" w:rsidR="00605F68" w:rsidRPr="00605F68" w:rsidRDefault="00605F68" w:rsidP="00605F68">
      <w:r w:rsidRPr="00605F68">
        <w:t xml:space="preserve">Oxford Vaccine Group (2023) </w:t>
      </w:r>
      <w:r w:rsidRPr="00EE512E">
        <w:rPr>
          <w:i/>
          <w:iCs/>
        </w:rPr>
        <w:t>Polio Vaccine Knowledge. University of Oxford.</w:t>
      </w:r>
      <w:r w:rsidRPr="00605F68">
        <w:t xml:space="preserve"> Available at: </w:t>
      </w:r>
      <w:hyperlink r:id="rId19" w:tgtFrame="_blank" w:history="1">
        <w:r w:rsidRPr="00605F68">
          <w:rPr>
            <w:rStyle w:val="Hyperlink"/>
          </w:rPr>
          <w:t>https://vk.ovg.ox.ac.uk/vk/polio</w:t>
        </w:r>
      </w:hyperlink>
      <w:r w:rsidRPr="00605F68">
        <w:t xml:space="preserve"> (Accessed: 2</w:t>
      </w:r>
      <w:r w:rsidR="001746DD">
        <w:t>4</w:t>
      </w:r>
      <w:r w:rsidRPr="00605F68">
        <w:t xml:space="preserve"> July 2026). </w:t>
      </w:r>
    </w:p>
    <w:p w14:paraId="3786DFCE" w14:textId="77777777" w:rsidR="00605F68" w:rsidRPr="00605F68" w:rsidRDefault="00605F68" w:rsidP="00605F68">
      <w:r w:rsidRPr="00605F68">
        <w:t xml:space="preserve">UKHSA (2022) </w:t>
      </w:r>
      <w:r w:rsidRPr="00EE512E">
        <w:rPr>
          <w:i/>
          <w:iCs/>
        </w:rPr>
        <w:t>UKHSA update on poliovirus detected in London sewage. UK Health Security Agency.</w:t>
      </w:r>
      <w:r w:rsidRPr="00605F68">
        <w:t xml:space="preserve"> Available at: </w:t>
      </w:r>
      <w:hyperlink r:id="rId20" w:tgtFrame="_blank" w:history="1">
        <w:r w:rsidRPr="00605F68">
          <w:rPr>
            <w:rStyle w:val="Hyperlink"/>
          </w:rPr>
          <w:t>https://www.gov.uk/government/organisations/uk-health-security-agency</w:t>
        </w:r>
      </w:hyperlink>
      <w:r w:rsidRPr="00605F68">
        <w:t xml:space="preserve"> (Accessed: 23 July 2026). </w:t>
      </w:r>
    </w:p>
    <w:p w14:paraId="17F8F170" w14:textId="77777777" w:rsidR="00F41C82" w:rsidRPr="00F41C82" w:rsidRDefault="00F41C82" w:rsidP="00F41C82">
      <w:r w:rsidRPr="00F41C82">
        <w:t xml:space="preserve">WHO (2023) </w:t>
      </w:r>
      <w:r w:rsidRPr="00EE512E">
        <w:rPr>
          <w:i/>
          <w:iCs/>
        </w:rPr>
        <w:t>Poliomyelitis: Key facts and global surveillance guidelines. World Health Organization.</w:t>
      </w:r>
      <w:r w:rsidRPr="00F41C82">
        <w:t xml:space="preserve"> Available at: </w:t>
      </w:r>
      <w:hyperlink r:id="rId21" w:tgtFrame="_blank" w:history="1">
        <w:r w:rsidRPr="00F41C82">
          <w:rPr>
            <w:rStyle w:val="Hyperlink"/>
          </w:rPr>
          <w:t>https://www.who.int/news-room/fact-sheets/detail/poliomyelitis</w:t>
        </w:r>
      </w:hyperlink>
      <w:r w:rsidRPr="00F41C82">
        <w:t xml:space="preserve"> (Accessed: 23 July 2026).</w:t>
      </w: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DF020" w14:textId="77777777" w:rsidR="00152525" w:rsidRDefault="00152525" w:rsidP="00BE6BE0">
      <w:pPr>
        <w:spacing w:after="0" w:line="240" w:lineRule="auto"/>
      </w:pPr>
      <w:r>
        <w:separator/>
      </w:r>
    </w:p>
  </w:endnote>
  <w:endnote w:type="continuationSeparator" w:id="0">
    <w:p w14:paraId="3B317E26" w14:textId="77777777" w:rsidR="00152525" w:rsidRDefault="0015252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7E4B5" w14:textId="77777777" w:rsidR="009A2DA0" w:rsidRDefault="009A2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610962"/>
      <w:docPartObj>
        <w:docPartGallery w:val="Page Numbers (Bottom of Page)"/>
        <w:docPartUnique/>
      </w:docPartObj>
    </w:sdtPr>
    <w:sdtEndPr>
      <w:rPr>
        <w:noProof/>
      </w:rPr>
    </w:sdtEndPr>
    <w:sdtContent>
      <w:p w14:paraId="5CFFFCE4" w14:textId="068746A8" w:rsidR="009A2DA0" w:rsidRDefault="009A2D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3AE87D" w14:textId="77777777" w:rsidR="009E257B" w:rsidRDefault="009E25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1B69C" w14:textId="77777777" w:rsidR="009A2DA0" w:rsidRDefault="009A2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59070" w14:textId="77777777" w:rsidR="00152525" w:rsidRDefault="00152525" w:rsidP="00BE6BE0">
      <w:pPr>
        <w:spacing w:after="0" w:line="240" w:lineRule="auto"/>
      </w:pPr>
      <w:r>
        <w:separator/>
      </w:r>
    </w:p>
  </w:footnote>
  <w:footnote w:type="continuationSeparator" w:id="0">
    <w:p w14:paraId="215C7404" w14:textId="77777777" w:rsidR="00152525" w:rsidRDefault="0015252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7E6F9" w14:textId="77777777" w:rsidR="009A2DA0" w:rsidRDefault="009A2D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06C04" w14:textId="77777777" w:rsidR="009A2DA0" w:rsidRDefault="009A2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448C5"/>
    <w:multiLevelType w:val="hybridMultilevel"/>
    <w:tmpl w:val="F8462A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60B666C"/>
    <w:multiLevelType w:val="hybridMultilevel"/>
    <w:tmpl w:val="B35A3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2664E2F"/>
    <w:multiLevelType w:val="hybridMultilevel"/>
    <w:tmpl w:val="4DB487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23430A4"/>
    <w:multiLevelType w:val="hybridMultilevel"/>
    <w:tmpl w:val="9BB26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61B3E78"/>
    <w:multiLevelType w:val="hybridMultilevel"/>
    <w:tmpl w:val="469A11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A206710"/>
    <w:multiLevelType w:val="hybridMultilevel"/>
    <w:tmpl w:val="E93A18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9A950B4"/>
    <w:multiLevelType w:val="hybridMultilevel"/>
    <w:tmpl w:val="316434A6"/>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69075780">
    <w:abstractNumId w:val="2"/>
  </w:num>
  <w:num w:numId="2" w16cid:durableId="1774353506">
    <w:abstractNumId w:val="0"/>
  </w:num>
  <w:num w:numId="3" w16cid:durableId="1681007399">
    <w:abstractNumId w:val="1"/>
  </w:num>
  <w:num w:numId="4" w16cid:durableId="338236003">
    <w:abstractNumId w:val="4"/>
  </w:num>
  <w:num w:numId="5" w16cid:durableId="1563832462">
    <w:abstractNumId w:val="5"/>
  </w:num>
  <w:num w:numId="6" w16cid:durableId="1782458667">
    <w:abstractNumId w:val="6"/>
  </w:num>
  <w:num w:numId="7" w16cid:durableId="1845512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19A0"/>
    <w:rsid w:val="00031966"/>
    <w:rsid w:val="00045AFF"/>
    <w:rsid w:val="000464A0"/>
    <w:rsid w:val="000509E8"/>
    <w:rsid w:val="00056EB1"/>
    <w:rsid w:val="0006513B"/>
    <w:rsid w:val="00091302"/>
    <w:rsid w:val="00092A0C"/>
    <w:rsid w:val="00097F2F"/>
    <w:rsid w:val="000A774A"/>
    <w:rsid w:val="000B5086"/>
    <w:rsid w:val="000C76D3"/>
    <w:rsid w:val="000D2825"/>
    <w:rsid w:val="00126B68"/>
    <w:rsid w:val="001331D8"/>
    <w:rsid w:val="00150B22"/>
    <w:rsid w:val="001524A5"/>
    <w:rsid w:val="00152525"/>
    <w:rsid w:val="001607DD"/>
    <w:rsid w:val="00166CEB"/>
    <w:rsid w:val="00170CF2"/>
    <w:rsid w:val="001746DD"/>
    <w:rsid w:val="001944BF"/>
    <w:rsid w:val="001B49B2"/>
    <w:rsid w:val="001C6B9A"/>
    <w:rsid w:val="001C7C6C"/>
    <w:rsid w:val="001D2B06"/>
    <w:rsid w:val="001D3594"/>
    <w:rsid w:val="001D456B"/>
    <w:rsid w:val="001E5A89"/>
    <w:rsid w:val="001F183C"/>
    <w:rsid w:val="002001B8"/>
    <w:rsid w:val="0021045C"/>
    <w:rsid w:val="00214621"/>
    <w:rsid w:val="0022250C"/>
    <w:rsid w:val="002342B6"/>
    <w:rsid w:val="002405A6"/>
    <w:rsid w:val="00247F89"/>
    <w:rsid w:val="00251467"/>
    <w:rsid w:val="002552B4"/>
    <w:rsid w:val="00256CB0"/>
    <w:rsid w:val="00257B34"/>
    <w:rsid w:val="002767BF"/>
    <w:rsid w:val="00283BB2"/>
    <w:rsid w:val="002919F1"/>
    <w:rsid w:val="002B079F"/>
    <w:rsid w:val="002B299A"/>
    <w:rsid w:val="002B2C7C"/>
    <w:rsid w:val="002C1B5C"/>
    <w:rsid w:val="002C3193"/>
    <w:rsid w:val="002C496E"/>
    <w:rsid w:val="002E3395"/>
    <w:rsid w:val="002F7785"/>
    <w:rsid w:val="00303F96"/>
    <w:rsid w:val="00312819"/>
    <w:rsid w:val="00326DF4"/>
    <w:rsid w:val="0033538B"/>
    <w:rsid w:val="00342543"/>
    <w:rsid w:val="00347DFD"/>
    <w:rsid w:val="00375460"/>
    <w:rsid w:val="00381D4C"/>
    <w:rsid w:val="00384F66"/>
    <w:rsid w:val="003A000F"/>
    <w:rsid w:val="003B1709"/>
    <w:rsid w:val="003B73F6"/>
    <w:rsid w:val="003C782A"/>
    <w:rsid w:val="003E6DE3"/>
    <w:rsid w:val="0040222A"/>
    <w:rsid w:val="00403410"/>
    <w:rsid w:val="0041336C"/>
    <w:rsid w:val="004147A2"/>
    <w:rsid w:val="00435AD3"/>
    <w:rsid w:val="0045530D"/>
    <w:rsid w:val="00472DB6"/>
    <w:rsid w:val="004733F5"/>
    <w:rsid w:val="0047750E"/>
    <w:rsid w:val="00484F3B"/>
    <w:rsid w:val="00486DEF"/>
    <w:rsid w:val="0048736B"/>
    <w:rsid w:val="004A1218"/>
    <w:rsid w:val="004B5911"/>
    <w:rsid w:val="004B650F"/>
    <w:rsid w:val="004E2AAB"/>
    <w:rsid w:val="004E5CA5"/>
    <w:rsid w:val="004F162E"/>
    <w:rsid w:val="004F46F2"/>
    <w:rsid w:val="004F51CB"/>
    <w:rsid w:val="0050189E"/>
    <w:rsid w:val="005109EF"/>
    <w:rsid w:val="00524EDE"/>
    <w:rsid w:val="005279FA"/>
    <w:rsid w:val="00530D70"/>
    <w:rsid w:val="00547E63"/>
    <w:rsid w:val="00560C14"/>
    <w:rsid w:val="00583AD3"/>
    <w:rsid w:val="00583BA4"/>
    <w:rsid w:val="005A4230"/>
    <w:rsid w:val="005A6B6D"/>
    <w:rsid w:val="005B04CC"/>
    <w:rsid w:val="005B3827"/>
    <w:rsid w:val="005D0AAC"/>
    <w:rsid w:val="005D2795"/>
    <w:rsid w:val="005D7BC1"/>
    <w:rsid w:val="005E01ED"/>
    <w:rsid w:val="005F522B"/>
    <w:rsid w:val="006024A6"/>
    <w:rsid w:val="00602946"/>
    <w:rsid w:val="00605F68"/>
    <w:rsid w:val="00626CDD"/>
    <w:rsid w:val="00635CE8"/>
    <w:rsid w:val="0064516D"/>
    <w:rsid w:val="0066023F"/>
    <w:rsid w:val="006A6816"/>
    <w:rsid w:val="006B4BDA"/>
    <w:rsid w:val="006C4CA9"/>
    <w:rsid w:val="006D7F0A"/>
    <w:rsid w:val="006E4D5D"/>
    <w:rsid w:val="006F1765"/>
    <w:rsid w:val="006F1910"/>
    <w:rsid w:val="006F257A"/>
    <w:rsid w:val="00706CE7"/>
    <w:rsid w:val="00715045"/>
    <w:rsid w:val="00716C34"/>
    <w:rsid w:val="0074284D"/>
    <w:rsid w:val="00745C14"/>
    <w:rsid w:val="007461BA"/>
    <w:rsid w:val="00761B31"/>
    <w:rsid w:val="00762644"/>
    <w:rsid w:val="00765B08"/>
    <w:rsid w:val="007A031E"/>
    <w:rsid w:val="007A1236"/>
    <w:rsid w:val="007D2D79"/>
    <w:rsid w:val="007E6287"/>
    <w:rsid w:val="007F5C0E"/>
    <w:rsid w:val="008009C2"/>
    <w:rsid w:val="00804A7F"/>
    <w:rsid w:val="00824152"/>
    <w:rsid w:val="00833470"/>
    <w:rsid w:val="00856BEF"/>
    <w:rsid w:val="00860718"/>
    <w:rsid w:val="00867C9A"/>
    <w:rsid w:val="00875807"/>
    <w:rsid w:val="00890BAF"/>
    <w:rsid w:val="00892657"/>
    <w:rsid w:val="008A24E3"/>
    <w:rsid w:val="008A38C0"/>
    <w:rsid w:val="008B1C78"/>
    <w:rsid w:val="008D176B"/>
    <w:rsid w:val="008D205A"/>
    <w:rsid w:val="008D376A"/>
    <w:rsid w:val="008D5CD9"/>
    <w:rsid w:val="008E2187"/>
    <w:rsid w:val="00903FB7"/>
    <w:rsid w:val="009169D0"/>
    <w:rsid w:val="00923B15"/>
    <w:rsid w:val="00925D5E"/>
    <w:rsid w:val="00932C03"/>
    <w:rsid w:val="00985B83"/>
    <w:rsid w:val="00987D42"/>
    <w:rsid w:val="009A12BA"/>
    <w:rsid w:val="009A2DA0"/>
    <w:rsid w:val="009E257B"/>
    <w:rsid w:val="009E5DF2"/>
    <w:rsid w:val="009F380A"/>
    <w:rsid w:val="009F6643"/>
    <w:rsid w:val="00A01859"/>
    <w:rsid w:val="00A10B1B"/>
    <w:rsid w:val="00A10F8F"/>
    <w:rsid w:val="00A229E7"/>
    <w:rsid w:val="00A6165E"/>
    <w:rsid w:val="00A644F7"/>
    <w:rsid w:val="00A67287"/>
    <w:rsid w:val="00A74476"/>
    <w:rsid w:val="00A82690"/>
    <w:rsid w:val="00A85229"/>
    <w:rsid w:val="00A9510B"/>
    <w:rsid w:val="00AA3BB7"/>
    <w:rsid w:val="00AB27C4"/>
    <w:rsid w:val="00AE49D0"/>
    <w:rsid w:val="00AE5015"/>
    <w:rsid w:val="00AF4BC4"/>
    <w:rsid w:val="00AF70D7"/>
    <w:rsid w:val="00B642EF"/>
    <w:rsid w:val="00B72F27"/>
    <w:rsid w:val="00B90658"/>
    <w:rsid w:val="00B934F4"/>
    <w:rsid w:val="00B95672"/>
    <w:rsid w:val="00BA3494"/>
    <w:rsid w:val="00BE6BE0"/>
    <w:rsid w:val="00C13A67"/>
    <w:rsid w:val="00C20711"/>
    <w:rsid w:val="00C2317D"/>
    <w:rsid w:val="00C4346E"/>
    <w:rsid w:val="00C6369D"/>
    <w:rsid w:val="00C64FEB"/>
    <w:rsid w:val="00C83A82"/>
    <w:rsid w:val="00C90B7B"/>
    <w:rsid w:val="00CC47C3"/>
    <w:rsid w:val="00CC6A21"/>
    <w:rsid w:val="00CC6CD5"/>
    <w:rsid w:val="00CF4BFF"/>
    <w:rsid w:val="00CF4CD6"/>
    <w:rsid w:val="00D36E91"/>
    <w:rsid w:val="00D438B3"/>
    <w:rsid w:val="00D605C8"/>
    <w:rsid w:val="00DA3061"/>
    <w:rsid w:val="00DB2580"/>
    <w:rsid w:val="00DB35F4"/>
    <w:rsid w:val="00DB54C8"/>
    <w:rsid w:val="00DE16C6"/>
    <w:rsid w:val="00DE2574"/>
    <w:rsid w:val="00E05870"/>
    <w:rsid w:val="00E25155"/>
    <w:rsid w:val="00E54039"/>
    <w:rsid w:val="00E6298E"/>
    <w:rsid w:val="00E66F67"/>
    <w:rsid w:val="00E7460E"/>
    <w:rsid w:val="00E813D9"/>
    <w:rsid w:val="00E92718"/>
    <w:rsid w:val="00E946AF"/>
    <w:rsid w:val="00EB62F3"/>
    <w:rsid w:val="00EC070B"/>
    <w:rsid w:val="00EC5C87"/>
    <w:rsid w:val="00ED0D33"/>
    <w:rsid w:val="00ED5DCC"/>
    <w:rsid w:val="00ED6986"/>
    <w:rsid w:val="00EE03B2"/>
    <w:rsid w:val="00EE2751"/>
    <w:rsid w:val="00EE3968"/>
    <w:rsid w:val="00EE512E"/>
    <w:rsid w:val="00EF3E35"/>
    <w:rsid w:val="00EF60F0"/>
    <w:rsid w:val="00F031D7"/>
    <w:rsid w:val="00F26E17"/>
    <w:rsid w:val="00F3037B"/>
    <w:rsid w:val="00F336E9"/>
    <w:rsid w:val="00F36D02"/>
    <w:rsid w:val="00F41C82"/>
    <w:rsid w:val="00F428C0"/>
    <w:rsid w:val="00F56E12"/>
    <w:rsid w:val="00F64FBC"/>
    <w:rsid w:val="00F732EE"/>
    <w:rsid w:val="00F733DD"/>
    <w:rsid w:val="00F826CF"/>
    <w:rsid w:val="00FA5116"/>
    <w:rsid w:val="00FC3F31"/>
    <w:rsid w:val="00FD6A2C"/>
    <w:rsid w:val="00FE0422"/>
    <w:rsid w:val="00FE18C3"/>
    <w:rsid w:val="00FF27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859"/>
  </w:style>
  <w:style w:type="paragraph" w:styleId="Heading1">
    <w:name w:val="heading 1"/>
    <w:basedOn w:val="Normal"/>
    <w:next w:val="Normal"/>
    <w:link w:val="Heading1Char"/>
    <w:uiPriority w:val="9"/>
    <w:qFormat/>
    <w:rsid w:val="00C636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856BEF"/>
    <w:pPr>
      <w:ind w:left="720"/>
      <w:contextualSpacing/>
    </w:pPr>
  </w:style>
  <w:style w:type="character" w:styleId="Hyperlink">
    <w:name w:val="Hyperlink"/>
    <w:basedOn w:val="DefaultParagraphFont"/>
    <w:uiPriority w:val="99"/>
    <w:unhideWhenUsed/>
    <w:rsid w:val="004B5911"/>
    <w:rPr>
      <w:color w:val="0563C1" w:themeColor="hyperlink"/>
      <w:u w:val="single"/>
    </w:rPr>
  </w:style>
  <w:style w:type="character" w:styleId="UnresolvedMention">
    <w:name w:val="Unresolved Mention"/>
    <w:basedOn w:val="DefaultParagraphFont"/>
    <w:uiPriority w:val="99"/>
    <w:semiHidden/>
    <w:unhideWhenUsed/>
    <w:rsid w:val="004B5911"/>
    <w:rPr>
      <w:color w:val="605E5C"/>
      <w:shd w:val="clear" w:color="auto" w:fill="E1DFDD"/>
    </w:rPr>
  </w:style>
  <w:style w:type="character" w:customStyle="1" w:styleId="Heading1Char">
    <w:name w:val="Heading 1 Char"/>
    <w:basedOn w:val="DefaultParagraphFont"/>
    <w:link w:val="Heading1"/>
    <w:uiPriority w:val="9"/>
    <w:rsid w:val="00C636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61BA"/>
    <w:pPr>
      <w:outlineLvl w:val="9"/>
    </w:pPr>
    <w:rPr>
      <w:lang w:val="en-US" w:eastAsia="en-US"/>
    </w:rPr>
  </w:style>
  <w:style w:type="paragraph" w:styleId="TOC1">
    <w:name w:val="toc 1"/>
    <w:basedOn w:val="Normal"/>
    <w:next w:val="Normal"/>
    <w:autoRedefine/>
    <w:uiPriority w:val="39"/>
    <w:unhideWhenUsed/>
    <w:rsid w:val="007461B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nhs.uk/conditions/vaccinations/nhs-vaccinations-and-when-to-have-them/" TargetMode="External"/><Relationship Id="rId3" Type="http://schemas.openxmlformats.org/officeDocument/2006/relationships/styles" Target="styles.xml"/><Relationship Id="rId21" Type="http://schemas.openxmlformats.org/officeDocument/2006/relationships/hyperlink" Target="https://www.who.int/news-room/fact-sheets/detail/poliomyeliti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polioeradication.org/" TargetMode="External"/><Relationship Id="rId2" Type="http://schemas.openxmlformats.org/officeDocument/2006/relationships/numbering" Target="numbering.xml"/><Relationship Id="rId16" Type="http://schemas.openxmlformats.org/officeDocument/2006/relationships/hyperlink" Target="https://www.britishpolio.org.uk/" TargetMode="External"/><Relationship Id="rId20" Type="http://schemas.openxmlformats.org/officeDocument/2006/relationships/hyperlink" Target="https://www.gov.uk/government/organisations/uk-health-security-agen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vk.ovg.ox.ac.uk/vk/polio"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3.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2780</TotalTime>
  <Pages>8</Pages>
  <Words>1854</Words>
  <Characters>11130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Lukasz Blechert</cp:lastModifiedBy>
  <cp:revision>217</cp:revision>
  <dcterms:created xsi:type="dcterms:W3CDTF">2026-07-19T21:25:00Z</dcterms:created>
  <dcterms:modified xsi:type="dcterms:W3CDTF">2026-07-30T14:22:00Z</dcterms:modified>
</cp:coreProperties>
</file>