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3F916" w14:textId="4EE9AFC0" w:rsidR="00992479" w:rsidRPr="00992479" w:rsidRDefault="00992479" w:rsidP="00992479">
      <w:pPr>
        <w:spacing w:after="0" w:line="240" w:lineRule="auto"/>
        <w:ind w:left="-180" w:right="-334"/>
        <w:rPr>
          <w:rFonts w:ascii="Georgia" w:eastAsia="SimSun" w:hAnsi="Georgia" w:cs="Times New Roman"/>
          <w:color w:val="000000"/>
          <w:sz w:val="21"/>
          <w:szCs w:val="21"/>
          <w:lang w:val="en-GB" w:eastAsia="zh-CN"/>
        </w:rPr>
      </w:pPr>
      <w:bookmarkStart w:id="0" w:name="_Hlk85135188"/>
      <w:r w:rsidRPr="00992479">
        <w:rPr>
          <w:rFonts w:ascii="Georgia" w:eastAsia="SimSun" w:hAnsi="Georgia" w:cs="Times New Roman"/>
          <w:noProof/>
          <w:color w:val="000000"/>
          <w:sz w:val="21"/>
          <w:szCs w:val="21"/>
          <w:lang w:val="en-GB" w:eastAsia="zh-CN"/>
        </w:rPr>
        <w:drawing>
          <wp:inline distT="0" distB="0" distL="0" distR="0" wp14:anchorId="1B92EE12" wp14:editId="20B806CD">
            <wp:extent cx="1908175" cy="634365"/>
            <wp:effectExtent l="19050" t="19050" r="15875" b="133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4365"/>
                    </a:xfrm>
                    <a:prstGeom prst="rect">
                      <a:avLst/>
                    </a:prstGeom>
                    <a:noFill/>
                    <a:ln w="19050" cmpd="sng">
                      <a:solidFill>
                        <a:srgbClr val="000000"/>
                      </a:solidFill>
                      <a:miter lim="800000"/>
                      <a:headEnd/>
                      <a:tailEnd/>
                    </a:ln>
                    <a:effectLst/>
                  </pic:spPr>
                </pic:pic>
              </a:graphicData>
            </a:graphic>
          </wp:inline>
        </w:drawing>
      </w:r>
    </w:p>
    <w:p w14:paraId="6F37A4F2" w14:textId="77777777" w:rsidR="00992479" w:rsidRPr="00992479" w:rsidRDefault="00992479" w:rsidP="00992479">
      <w:pPr>
        <w:spacing w:after="0" w:line="240" w:lineRule="auto"/>
        <w:ind w:left="-180" w:right="-334"/>
        <w:rPr>
          <w:rFonts w:ascii="Georgia" w:eastAsia="SimSun" w:hAnsi="Georgia" w:cs="Times New Roman"/>
          <w:color w:val="000000"/>
          <w:sz w:val="21"/>
          <w:szCs w:val="21"/>
          <w:lang w:val="en-GB" w:eastAsia="zh-CN"/>
        </w:rPr>
      </w:pPr>
    </w:p>
    <w:p w14:paraId="44BFBDBE" w14:textId="77777777" w:rsidR="00992479" w:rsidRPr="00992479" w:rsidRDefault="00992479" w:rsidP="00992479">
      <w:pPr>
        <w:spacing w:after="0" w:line="240" w:lineRule="auto"/>
        <w:ind w:left="-180" w:right="-334"/>
        <w:jc w:val="center"/>
        <w:rPr>
          <w:rFonts w:ascii="Arial" w:eastAsia="SimSun" w:hAnsi="Arial" w:cs="Arial"/>
          <w:b/>
          <w:color w:val="000000"/>
          <w:sz w:val="28"/>
          <w:szCs w:val="28"/>
          <w:lang w:val="cy-GB" w:eastAsia="zh-CN"/>
        </w:rPr>
      </w:pPr>
      <w:r w:rsidRPr="00992479">
        <w:rPr>
          <w:rFonts w:ascii="Arial" w:eastAsia="SimSun" w:hAnsi="Arial" w:cs="Arial"/>
          <w:b/>
          <w:color w:val="000000"/>
          <w:sz w:val="28"/>
          <w:szCs w:val="28"/>
          <w:lang w:val="cy-GB" w:eastAsia="zh-CN"/>
        </w:rPr>
        <w:t xml:space="preserve">Postgraduate/Distance Learning </w:t>
      </w:r>
    </w:p>
    <w:p w14:paraId="0ADEF62C" w14:textId="77777777" w:rsidR="00992479" w:rsidRPr="00992479" w:rsidRDefault="00992479" w:rsidP="00992479">
      <w:pPr>
        <w:spacing w:after="0" w:line="240" w:lineRule="auto"/>
        <w:ind w:left="-180" w:right="-334"/>
        <w:jc w:val="center"/>
        <w:rPr>
          <w:rFonts w:ascii="Arial" w:eastAsia="SimSun" w:hAnsi="Arial" w:cs="Arial"/>
          <w:b/>
          <w:color w:val="000000"/>
          <w:sz w:val="28"/>
          <w:szCs w:val="28"/>
          <w:lang w:val="en-GB" w:eastAsia="zh-CN"/>
        </w:rPr>
      </w:pPr>
      <w:r w:rsidRPr="00992479">
        <w:rPr>
          <w:rFonts w:ascii="Arial" w:eastAsia="SimSun" w:hAnsi="Arial" w:cs="Arial"/>
          <w:b/>
          <w:color w:val="000000"/>
          <w:sz w:val="28"/>
          <w:szCs w:val="28"/>
          <w:lang w:val="cy-GB" w:eastAsia="zh-CN"/>
        </w:rPr>
        <w:t>Assignment coversheet &amp; feedback form</w:t>
      </w:r>
    </w:p>
    <w:p w14:paraId="2696A8CA" w14:textId="77777777" w:rsidR="00992479" w:rsidRPr="00992479" w:rsidRDefault="00992479" w:rsidP="00992479">
      <w:pPr>
        <w:spacing w:after="0" w:line="240" w:lineRule="auto"/>
        <w:rPr>
          <w:rFonts w:ascii="Arial" w:eastAsia="SimSun" w:hAnsi="Arial" w:cs="Arial"/>
          <w:sz w:val="28"/>
          <w:szCs w:val="28"/>
          <w:lang w:val="cy-GB" w:eastAsia="zh-CN"/>
        </w:rPr>
      </w:pPr>
    </w:p>
    <w:p w14:paraId="7CD606B3" w14:textId="77777777" w:rsidR="00992479" w:rsidRPr="00992479" w:rsidRDefault="00992479" w:rsidP="00992479">
      <w:pPr>
        <w:keepNext/>
        <w:spacing w:after="0" w:line="240" w:lineRule="auto"/>
        <w:ind w:left="720"/>
        <w:jc w:val="center"/>
        <w:outlineLvl w:val="2"/>
        <w:rPr>
          <w:rFonts w:ascii="Tahoma" w:eastAsia="SimSun" w:hAnsi="Tahoma" w:cs="Tahoma"/>
          <w:b/>
          <w:bCs/>
          <w:sz w:val="20"/>
          <w:szCs w:val="20"/>
          <w:lang w:val="cy-GB" w:eastAsia="zh-CN"/>
        </w:rPr>
      </w:pPr>
      <w:r w:rsidRPr="00992479">
        <w:rPr>
          <w:rFonts w:ascii="Tahoma" w:eastAsia="SimSun" w:hAnsi="Tahoma" w:cs="Tahoma"/>
          <w:b/>
          <w:bCs/>
          <w:sz w:val="20"/>
          <w:szCs w:val="20"/>
          <w:lang w:val="cy-GB" w:eastAsia="zh-CN"/>
        </w:rPr>
        <w:t>THIS SHEET MUST BE THE FIRST PAGE OF THE ASSIGNMENT YOU ARE SUBMITTING  (DO NOT SEND AS A SEPARATE FILE)</w:t>
      </w:r>
    </w:p>
    <w:p w14:paraId="39CBFF82" w14:textId="77777777" w:rsidR="00992479" w:rsidRPr="00992479" w:rsidRDefault="00992479" w:rsidP="00992479">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92479" w:rsidRPr="00992479" w14:paraId="7D9B8FB6" w14:textId="77777777" w:rsidTr="0058664D">
        <w:trPr>
          <w:trHeight w:val="614"/>
        </w:trPr>
        <w:tc>
          <w:tcPr>
            <w:tcW w:w="8856" w:type="dxa"/>
            <w:gridSpan w:val="5"/>
          </w:tcPr>
          <w:p w14:paraId="6215E914"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b/>
                <w:color w:val="000000"/>
                <w:lang w:val="en-GB" w:eastAsia="zh-CN"/>
              </w:rPr>
              <w:t>For completion by the student</w:t>
            </w:r>
            <w:r w:rsidRPr="00992479">
              <w:rPr>
                <w:rFonts w:ascii="Arial" w:eastAsia="SimSun" w:hAnsi="Arial" w:cs="Arial"/>
                <w:color w:val="000000"/>
                <w:lang w:val="en-GB" w:eastAsia="zh-CN"/>
              </w:rPr>
              <w:t>:</w:t>
            </w:r>
          </w:p>
        </w:tc>
      </w:tr>
      <w:tr w:rsidR="00992479" w:rsidRPr="00992479" w14:paraId="18CF3D59" w14:textId="77777777" w:rsidTr="0058664D">
        <w:trPr>
          <w:trHeight w:val="718"/>
        </w:trPr>
        <w:tc>
          <w:tcPr>
            <w:tcW w:w="8856" w:type="dxa"/>
            <w:gridSpan w:val="5"/>
          </w:tcPr>
          <w:p w14:paraId="53E52517"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 xml:space="preserve">Student Name:      Francine </w:t>
            </w:r>
            <w:proofErr w:type="spellStart"/>
            <w:r w:rsidRPr="00992479">
              <w:rPr>
                <w:rFonts w:ascii="Arial" w:eastAsia="SimSun" w:hAnsi="Arial" w:cs="Arial"/>
                <w:color w:val="000000"/>
                <w:lang w:val="en-GB" w:eastAsia="zh-CN"/>
              </w:rPr>
              <w:t>Goteiner</w:t>
            </w:r>
            <w:proofErr w:type="spellEnd"/>
          </w:p>
          <w:p w14:paraId="18CCB375"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000D49A7"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 xml:space="preserve">Student </w:t>
            </w:r>
            <w:r w:rsidRPr="00992479">
              <w:rPr>
                <w:rFonts w:ascii="Arial" w:eastAsia="SimSun" w:hAnsi="Arial" w:cs="Arial"/>
                <w:b/>
                <w:bCs/>
                <w:color w:val="000000"/>
                <w:u w:val="single"/>
                <w:lang w:val="en-GB" w:eastAsia="zh-CN"/>
              </w:rPr>
              <w:t>University</w:t>
            </w:r>
            <w:r w:rsidRPr="00992479">
              <w:rPr>
                <w:rFonts w:ascii="Arial" w:eastAsia="SimSun" w:hAnsi="Arial" w:cs="Arial"/>
                <w:color w:val="000000"/>
                <w:u w:val="single"/>
                <w:lang w:val="en-GB" w:eastAsia="zh-CN"/>
              </w:rPr>
              <w:t xml:space="preserve"> </w:t>
            </w:r>
            <w:r w:rsidRPr="00992479">
              <w:rPr>
                <w:rFonts w:ascii="Arial" w:eastAsia="SimSun" w:hAnsi="Arial" w:cs="Arial"/>
                <w:color w:val="000000"/>
                <w:lang w:val="en-GB" w:eastAsia="zh-CN"/>
              </w:rPr>
              <w:t>Email:        student@2022484.uwtsd.ac.uk</w:t>
            </w:r>
          </w:p>
        </w:tc>
      </w:tr>
      <w:tr w:rsidR="00992479" w:rsidRPr="00992479" w14:paraId="7AD094B2" w14:textId="77777777" w:rsidTr="0058664D">
        <w:trPr>
          <w:trHeight w:val="849"/>
        </w:trPr>
        <w:tc>
          <w:tcPr>
            <w:tcW w:w="4788" w:type="dxa"/>
          </w:tcPr>
          <w:p w14:paraId="61714337"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Module code: HPCAA 7016</w:t>
            </w:r>
          </w:p>
          <w:p w14:paraId="512C9234"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35F1BADE"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 xml:space="preserve">Module title: </w:t>
            </w:r>
          </w:p>
          <w:p w14:paraId="159AB8A8"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Researching Contemporary Cosmologies</w:t>
            </w:r>
          </w:p>
          <w:p w14:paraId="6BAACEFC"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12D37E1B" w14:textId="77777777" w:rsidR="00992479" w:rsidRPr="00992479" w:rsidRDefault="00992479" w:rsidP="00992479">
            <w:pPr>
              <w:spacing w:after="0" w:line="240" w:lineRule="auto"/>
              <w:ind w:right="34"/>
              <w:rPr>
                <w:rFonts w:ascii="Arial" w:eastAsia="SimSun" w:hAnsi="Arial" w:cs="Arial"/>
                <w:color w:val="000000"/>
                <w:lang w:val="en-GB" w:eastAsia="zh-CN"/>
              </w:rPr>
            </w:pPr>
          </w:p>
        </w:tc>
        <w:tc>
          <w:tcPr>
            <w:tcW w:w="2266" w:type="dxa"/>
            <w:gridSpan w:val="3"/>
          </w:tcPr>
          <w:p w14:paraId="56997C4B"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Student ID number:</w:t>
            </w:r>
          </w:p>
          <w:p w14:paraId="594222B6"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593A754F"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2022484</w:t>
            </w:r>
          </w:p>
        </w:tc>
        <w:tc>
          <w:tcPr>
            <w:tcW w:w="1802" w:type="dxa"/>
          </w:tcPr>
          <w:p w14:paraId="32B345B2"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Educational support needs:</w:t>
            </w:r>
          </w:p>
          <w:p w14:paraId="22858A05"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Yes/No</w:t>
            </w:r>
          </w:p>
          <w:p w14:paraId="780C98D0"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164F49D8"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no</w:t>
            </w:r>
          </w:p>
        </w:tc>
      </w:tr>
      <w:tr w:rsidR="00992479" w:rsidRPr="00992479" w14:paraId="17D4F4D6" w14:textId="77777777" w:rsidTr="0058664D">
        <w:trPr>
          <w:trHeight w:val="1139"/>
        </w:trPr>
        <w:tc>
          <w:tcPr>
            <w:tcW w:w="8856" w:type="dxa"/>
            <w:gridSpan w:val="5"/>
          </w:tcPr>
          <w:p w14:paraId="2EE55778"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 xml:space="preserve">Assignment title: </w:t>
            </w:r>
          </w:p>
          <w:p w14:paraId="2F59522A"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 xml:space="preserve">Essay 1 </w:t>
            </w:r>
          </w:p>
          <w:p w14:paraId="10B1D83F"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11C1AB34"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A Critical Comparison of Two Secondary Sources</w:t>
            </w:r>
          </w:p>
          <w:p w14:paraId="4DD193DA"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7C21E13E" w14:textId="77777777" w:rsidR="00992479" w:rsidRPr="00992479" w:rsidRDefault="00992479" w:rsidP="00992479">
            <w:pPr>
              <w:spacing w:after="0" w:line="240" w:lineRule="auto"/>
              <w:ind w:right="34"/>
              <w:rPr>
                <w:rFonts w:ascii="Arial" w:eastAsia="SimSun" w:hAnsi="Arial" w:cs="Arial"/>
                <w:color w:val="000000"/>
                <w:lang w:val="en-GB" w:eastAsia="zh-CN"/>
              </w:rPr>
            </w:pPr>
          </w:p>
          <w:p w14:paraId="3ACAF991"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Assignment due date: 6 January 2022.</w:t>
            </w:r>
          </w:p>
        </w:tc>
      </w:tr>
      <w:tr w:rsidR="00992479" w:rsidRPr="00992479" w14:paraId="1DB14FB2" w14:textId="77777777" w:rsidTr="0058664D">
        <w:trPr>
          <w:trHeight w:val="978"/>
        </w:trPr>
        <w:tc>
          <w:tcPr>
            <w:tcW w:w="8856" w:type="dxa"/>
            <w:gridSpan w:val="5"/>
            <w:tcBorders>
              <w:bottom w:val="single" w:sz="4" w:space="0" w:color="000000"/>
            </w:tcBorders>
          </w:tcPr>
          <w:p w14:paraId="5FC18251" w14:textId="77777777" w:rsidR="00992479" w:rsidRPr="00992479" w:rsidRDefault="00992479" w:rsidP="00992479">
            <w:pPr>
              <w:spacing w:after="0" w:line="240" w:lineRule="auto"/>
              <w:rPr>
                <w:rFonts w:ascii="Arial" w:eastAsia="SimSun" w:hAnsi="Arial" w:cs="Arial"/>
                <w:lang w:val="en-GB" w:eastAsia="zh-CN"/>
              </w:rPr>
            </w:pPr>
            <w:r w:rsidRPr="00992479">
              <w:rPr>
                <w:rFonts w:ascii="Arial" w:eastAsia="SimSun" w:hAnsi="Arial" w:cs="Arial"/>
                <w:lang w:val="en-GB" w:eastAsia="zh-CN"/>
              </w:rPr>
              <w:t>This assignment is for the       1</w:t>
            </w:r>
            <w:r w:rsidRPr="00992479">
              <w:rPr>
                <w:rFonts w:ascii="Arial" w:eastAsia="SimSun" w:hAnsi="Arial" w:cs="Arial"/>
                <w:vertAlign w:val="superscript"/>
                <w:lang w:val="en-GB" w:eastAsia="zh-CN"/>
              </w:rPr>
              <w:t xml:space="preserve">st </w:t>
            </w:r>
            <w:r w:rsidRPr="00992479">
              <w:rPr>
                <w:rFonts w:ascii="Arial" w:eastAsia="SimSun" w:hAnsi="Arial" w:cs="Arial"/>
                <w:lang w:val="en-GB" w:eastAsia="zh-CN"/>
              </w:rPr>
              <w:t xml:space="preserve">    2</w:t>
            </w:r>
            <w:r w:rsidRPr="00992479">
              <w:rPr>
                <w:rFonts w:ascii="Arial" w:eastAsia="SimSun" w:hAnsi="Arial" w:cs="Arial"/>
                <w:vertAlign w:val="superscript"/>
                <w:lang w:val="en-GB" w:eastAsia="zh-CN"/>
              </w:rPr>
              <w:t>nd</w:t>
            </w:r>
            <w:r w:rsidRPr="00992479">
              <w:rPr>
                <w:rFonts w:ascii="Arial" w:eastAsia="SimSun" w:hAnsi="Arial" w:cs="Arial"/>
                <w:lang w:val="en-GB" w:eastAsia="zh-CN"/>
              </w:rPr>
              <w:t xml:space="preserve">       3</w:t>
            </w:r>
            <w:r w:rsidRPr="00992479">
              <w:rPr>
                <w:rFonts w:ascii="Arial" w:eastAsia="SimSun" w:hAnsi="Arial" w:cs="Arial"/>
                <w:vertAlign w:val="superscript"/>
                <w:lang w:val="en-GB" w:eastAsia="zh-CN"/>
              </w:rPr>
              <w:t>rd</w:t>
            </w:r>
            <w:r w:rsidRPr="00992479">
              <w:rPr>
                <w:rFonts w:ascii="Arial" w:eastAsia="SimSun" w:hAnsi="Arial" w:cs="Arial"/>
                <w:lang w:val="en-GB" w:eastAsia="zh-CN"/>
              </w:rPr>
              <w:t xml:space="preserve">  </w:t>
            </w:r>
            <w:r w:rsidRPr="00992479">
              <w:rPr>
                <w:rFonts w:ascii="Arial" w:eastAsia="SimSun" w:hAnsi="Arial" w:cs="Arial"/>
                <w:lang w:val="en-GB" w:eastAsia="zh-CN"/>
              </w:rPr>
              <w:fldChar w:fldCharType="begin">
                <w:ffData>
                  <w:name w:val="Check15"/>
                  <w:enabled/>
                  <w:calcOnExit w:val="0"/>
                  <w:checkBox>
                    <w:sizeAuto/>
                    <w:default w:val="1"/>
                  </w:checkBox>
                </w:ffData>
              </w:fldChar>
            </w:r>
            <w:bookmarkStart w:id="1" w:name="Check15"/>
            <w:r w:rsidRPr="00992479">
              <w:rPr>
                <w:rFonts w:ascii="Arial" w:eastAsia="SimSun" w:hAnsi="Arial" w:cs="Arial"/>
                <w:lang w:val="en-GB" w:eastAsia="zh-CN"/>
              </w:rPr>
              <w:instrText xml:space="preserve"> FORMCHECKBOX </w:instrText>
            </w:r>
            <w:r w:rsidRPr="00992479">
              <w:rPr>
                <w:rFonts w:ascii="Arial" w:eastAsia="SimSun" w:hAnsi="Arial" w:cs="Arial"/>
                <w:lang w:val="en-GB" w:eastAsia="zh-CN"/>
              </w:rPr>
            </w:r>
            <w:r w:rsidRPr="00992479">
              <w:rPr>
                <w:rFonts w:ascii="Arial" w:eastAsia="SimSun" w:hAnsi="Arial" w:cs="Arial"/>
                <w:lang w:val="en-GB" w:eastAsia="zh-CN"/>
              </w:rPr>
              <w:fldChar w:fldCharType="end"/>
            </w:r>
            <w:bookmarkEnd w:id="1"/>
            <w:r w:rsidRPr="00992479">
              <w:rPr>
                <w:rFonts w:ascii="Arial" w:eastAsia="SimSun" w:hAnsi="Arial" w:cs="Arial"/>
                <w:lang w:val="en-GB" w:eastAsia="zh-CN"/>
              </w:rPr>
              <w:t xml:space="preserve">      4</w:t>
            </w:r>
            <w:r w:rsidRPr="00992479">
              <w:rPr>
                <w:rFonts w:ascii="Arial" w:eastAsia="SimSun" w:hAnsi="Arial" w:cs="Arial"/>
                <w:vertAlign w:val="superscript"/>
                <w:lang w:val="en-GB" w:eastAsia="zh-CN"/>
              </w:rPr>
              <w:t>th</w:t>
            </w:r>
            <w:r w:rsidRPr="00992479">
              <w:rPr>
                <w:rFonts w:ascii="Arial" w:eastAsia="SimSun" w:hAnsi="Arial" w:cs="Arial"/>
                <w:lang w:val="en-GB" w:eastAsia="zh-CN"/>
              </w:rPr>
              <w:t xml:space="preserve"> </w:t>
            </w:r>
            <w:r w:rsidRPr="00992479">
              <w:rPr>
                <w:rFonts w:ascii="Arial" w:eastAsia="SimSun" w:hAnsi="Arial" w:cs="Arial"/>
                <w:lang w:val="en-GB" w:eastAsia="zh-CN"/>
              </w:rPr>
              <w:fldChar w:fldCharType="begin">
                <w:ffData>
                  <w:name w:val="Check16"/>
                  <w:enabled/>
                  <w:calcOnExit w:val="0"/>
                  <w:checkBox>
                    <w:sizeAuto/>
                    <w:default w:val="0"/>
                  </w:checkBox>
                </w:ffData>
              </w:fldChar>
            </w:r>
            <w:bookmarkStart w:id="2" w:name="Check16"/>
            <w:r w:rsidRPr="00992479">
              <w:rPr>
                <w:rFonts w:ascii="Arial" w:eastAsia="SimSun" w:hAnsi="Arial" w:cs="Arial"/>
                <w:lang w:val="en-GB" w:eastAsia="zh-CN"/>
              </w:rPr>
              <w:instrText xml:space="preserve"> FORMCHECKBOX </w:instrText>
            </w:r>
            <w:r w:rsidRPr="00992479">
              <w:rPr>
                <w:rFonts w:ascii="Arial" w:eastAsia="SimSun" w:hAnsi="Arial" w:cs="Arial"/>
                <w:lang w:val="en-GB" w:eastAsia="zh-CN"/>
              </w:rPr>
            </w:r>
            <w:r w:rsidRPr="00992479">
              <w:rPr>
                <w:rFonts w:ascii="Arial" w:eastAsia="SimSun" w:hAnsi="Arial" w:cs="Arial"/>
                <w:lang w:val="en-GB" w:eastAsia="zh-CN"/>
              </w:rPr>
              <w:fldChar w:fldCharType="end"/>
            </w:r>
            <w:bookmarkEnd w:id="2"/>
            <w:r w:rsidRPr="00992479">
              <w:rPr>
                <w:rFonts w:ascii="Arial" w:eastAsia="SimSun" w:hAnsi="Arial" w:cs="Arial"/>
                <w:lang w:val="en-GB" w:eastAsia="zh-CN"/>
              </w:rPr>
              <w:t xml:space="preserve">      5</w:t>
            </w:r>
            <w:r w:rsidRPr="00992479">
              <w:rPr>
                <w:rFonts w:ascii="Arial" w:eastAsia="SimSun" w:hAnsi="Arial" w:cs="Arial"/>
                <w:vertAlign w:val="superscript"/>
                <w:lang w:val="en-GB" w:eastAsia="zh-CN"/>
              </w:rPr>
              <w:t>th</w:t>
            </w:r>
            <w:r w:rsidRPr="00992479">
              <w:rPr>
                <w:rFonts w:ascii="Arial" w:eastAsia="SimSun" w:hAnsi="Arial" w:cs="Arial"/>
                <w:lang w:val="en-GB" w:eastAsia="zh-CN"/>
              </w:rPr>
              <w:t xml:space="preserve"> </w:t>
            </w:r>
            <w:r w:rsidRPr="00992479">
              <w:rPr>
                <w:rFonts w:ascii="Arial" w:eastAsia="SimSun" w:hAnsi="Arial" w:cs="Arial"/>
                <w:lang w:val="en-GB" w:eastAsia="zh-CN"/>
              </w:rPr>
              <w:fldChar w:fldCharType="begin">
                <w:ffData>
                  <w:name w:val="Check17"/>
                  <w:enabled/>
                  <w:calcOnExit w:val="0"/>
                  <w:checkBox>
                    <w:sizeAuto/>
                    <w:default w:val="0"/>
                  </w:checkBox>
                </w:ffData>
              </w:fldChar>
            </w:r>
            <w:bookmarkStart w:id="3" w:name="Check17"/>
            <w:r w:rsidRPr="00992479">
              <w:rPr>
                <w:rFonts w:ascii="Arial" w:eastAsia="SimSun" w:hAnsi="Arial" w:cs="Arial"/>
                <w:lang w:val="en-GB" w:eastAsia="zh-CN"/>
              </w:rPr>
              <w:instrText xml:space="preserve"> FORMCHECKBOX </w:instrText>
            </w:r>
            <w:r w:rsidRPr="00992479">
              <w:rPr>
                <w:rFonts w:ascii="Arial" w:eastAsia="SimSun" w:hAnsi="Arial" w:cs="Arial"/>
                <w:lang w:val="en-GB" w:eastAsia="zh-CN"/>
              </w:rPr>
            </w:r>
            <w:r w:rsidRPr="00992479">
              <w:rPr>
                <w:rFonts w:ascii="Arial" w:eastAsia="SimSun" w:hAnsi="Arial" w:cs="Arial"/>
                <w:lang w:val="en-GB" w:eastAsia="zh-CN"/>
              </w:rPr>
              <w:fldChar w:fldCharType="end"/>
            </w:r>
            <w:bookmarkEnd w:id="3"/>
            <w:r w:rsidRPr="00992479">
              <w:rPr>
                <w:rFonts w:ascii="Arial" w:eastAsia="SimSun" w:hAnsi="Arial" w:cs="Arial"/>
                <w:lang w:val="en-GB" w:eastAsia="zh-CN"/>
              </w:rPr>
              <w:t xml:space="preserve">      6</w:t>
            </w:r>
            <w:r w:rsidRPr="00992479">
              <w:rPr>
                <w:rFonts w:ascii="Arial" w:eastAsia="SimSun" w:hAnsi="Arial" w:cs="Arial"/>
                <w:vertAlign w:val="superscript"/>
                <w:lang w:val="en-GB" w:eastAsia="zh-CN"/>
              </w:rPr>
              <w:t>th</w:t>
            </w:r>
            <w:r w:rsidRPr="00992479">
              <w:rPr>
                <w:rFonts w:ascii="Arial" w:eastAsia="SimSun" w:hAnsi="Arial" w:cs="Arial"/>
                <w:lang w:val="en-GB" w:eastAsia="zh-CN"/>
              </w:rPr>
              <w:t xml:space="preserve"> </w:t>
            </w:r>
            <w:r w:rsidRPr="00992479">
              <w:rPr>
                <w:rFonts w:ascii="Arial" w:eastAsia="SimSun" w:hAnsi="Arial" w:cs="Arial"/>
                <w:lang w:val="en-GB" w:eastAsia="zh-CN"/>
              </w:rPr>
              <w:fldChar w:fldCharType="begin">
                <w:ffData>
                  <w:name w:val="Check18"/>
                  <w:enabled/>
                  <w:calcOnExit w:val="0"/>
                  <w:checkBox>
                    <w:sizeAuto/>
                    <w:default w:val="0"/>
                  </w:checkBox>
                </w:ffData>
              </w:fldChar>
            </w:r>
            <w:bookmarkStart w:id="4" w:name="Check18"/>
            <w:r w:rsidRPr="00992479">
              <w:rPr>
                <w:rFonts w:ascii="Arial" w:eastAsia="SimSun" w:hAnsi="Arial" w:cs="Arial"/>
                <w:lang w:val="en-GB" w:eastAsia="zh-CN"/>
              </w:rPr>
              <w:instrText xml:space="preserve"> FORMCHECKBOX </w:instrText>
            </w:r>
            <w:r w:rsidRPr="00992479">
              <w:rPr>
                <w:rFonts w:ascii="Arial" w:eastAsia="SimSun" w:hAnsi="Arial" w:cs="Arial"/>
                <w:lang w:val="en-GB" w:eastAsia="zh-CN"/>
              </w:rPr>
            </w:r>
            <w:r w:rsidRPr="00992479">
              <w:rPr>
                <w:rFonts w:ascii="Arial" w:eastAsia="SimSun" w:hAnsi="Arial" w:cs="Arial"/>
                <w:lang w:val="en-GB" w:eastAsia="zh-CN"/>
              </w:rPr>
              <w:fldChar w:fldCharType="end"/>
            </w:r>
            <w:bookmarkEnd w:id="4"/>
            <w:r w:rsidRPr="00992479">
              <w:rPr>
                <w:rFonts w:ascii="Arial" w:eastAsia="SimSun" w:hAnsi="Arial" w:cs="Arial"/>
                <w:b/>
                <w:lang w:val="en-GB" w:eastAsia="zh-CN"/>
              </w:rPr>
              <w:t xml:space="preserve">   </w:t>
            </w:r>
            <w:r w:rsidRPr="00992479">
              <w:rPr>
                <w:rFonts w:ascii="Arial" w:eastAsia="SimSun" w:hAnsi="Arial" w:cs="Arial"/>
                <w:lang w:val="en-GB" w:eastAsia="zh-CN"/>
              </w:rPr>
              <w:t>module of the degree</w:t>
            </w:r>
          </w:p>
        </w:tc>
      </w:tr>
      <w:tr w:rsidR="00992479" w:rsidRPr="00992479" w14:paraId="05790234" w14:textId="77777777" w:rsidTr="0058664D">
        <w:trPr>
          <w:trHeight w:val="978"/>
        </w:trPr>
        <w:tc>
          <w:tcPr>
            <w:tcW w:w="8856" w:type="dxa"/>
            <w:gridSpan w:val="5"/>
            <w:shd w:val="clear" w:color="auto" w:fill="D9D9D9"/>
          </w:tcPr>
          <w:p w14:paraId="364B1337"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I confirm that this is my original work and that I have adhered to the University policy on plagiarism.</w:t>
            </w:r>
          </w:p>
          <w:p w14:paraId="792CFD9E"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Arial" w:eastAsia="SimSun" w:hAnsi="Arial" w:cs="Arial"/>
                <w:color w:val="000000"/>
                <w:lang w:val="en-GB" w:eastAsia="zh-CN"/>
              </w:rPr>
              <w:t xml:space="preserve">Signed ……Francine </w:t>
            </w:r>
            <w:proofErr w:type="spellStart"/>
            <w:r w:rsidRPr="00992479">
              <w:rPr>
                <w:rFonts w:ascii="Arial" w:eastAsia="SimSun" w:hAnsi="Arial" w:cs="Arial"/>
                <w:color w:val="000000"/>
                <w:lang w:val="en-GB" w:eastAsia="zh-CN"/>
              </w:rPr>
              <w:t>Goteiner</w:t>
            </w:r>
            <w:proofErr w:type="spellEnd"/>
            <w:r w:rsidRPr="00992479">
              <w:rPr>
                <w:rFonts w:ascii="Arial" w:eastAsia="SimSun" w:hAnsi="Arial" w:cs="Arial"/>
                <w:color w:val="000000"/>
                <w:lang w:val="en-GB" w:eastAsia="zh-CN"/>
              </w:rPr>
              <w:t>………………………………………………………</w:t>
            </w:r>
          </w:p>
          <w:p w14:paraId="4E0A9208" w14:textId="77777777" w:rsidR="00992479" w:rsidRPr="00992479" w:rsidRDefault="00992479" w:rsidP="00992479">
            <w:pPr>
              <w:spacing w:after="0" w:line="240" w:lineRule="auto"/>
              <w:ind w:right="34"/>
              <w:rPr>
                <w:rFonts w:ascii="Calibri" w:eastAsia="SimSun" w:hAnsi="Calibri" w:cs="Calibri"/>
                <w:b/>
                <w:color w:val="000000"/>
                <w:sz w:val="44"/>
                <w:szCs w:val="44"/>
                <w:lang w:val="en-GB" w:eastAsia="zh-CN"/>
              </w:rPr>
            </w:pPr>
            <w:r w:rsidRPr="00992479">
              <w:rPr>
                <w:rFonts w:ascii="Calibri" w:eastAsia="SimSun" w:hAnsi="Calibri" w:cs="Tahoma"/>
                <w:b/>
                <w:color w:val="000000"/>
                <w:sz w:val="24"/>
                <w:szCs w:val="24"/>
                <w:lang w:val="en-GB" w:eastAsia="zh-CN"/>
              </w:rPr>
              <w:t xml:space="preserve">Email </w:t>
            </w:r>
            <w:proofErr w:type="spellStart"/>
            <w:proofErr w:type="gramStart"/>
            <w:r w:rsidRPr="00992479">
              <w:rPr>
                <w:rFonts w:ascii="Calibri" w:eastAsia="SimSun" w:hAnsi="Calibri" w:cs="Tahoma"/>
                <w:b/>
                <w:color w:val="000000"/>
                <w:sz w:val="24"/>
                <w:szCs w:val="24"/>
                <w:lang w:val="en-GB" w:eastAsia="zh-CN"/>
              </w:rPr>
              <w:t>submission:if</w:t>
            </w:r>
            <w:proofErr w:type="spellEnd"/>
            <w:proofErr w:type="gramEnd"/>
            <w:r w:rsidRPr="00992479">
              <w:rPr>
                <w:rFonts w:ascii="Calibri" w:eastAsia="SimSun" w:hAnsi="Calibri" w:cs="Tahoma"/>
                <w:b/>
                <w:color w:val="000000"/>
                <w:sz w:val="24"/>
                <w:szCs w:val="24"/>
                <w:lang w:val="en-GB" w:eastAsia="zh-CN"/>
              </w:rPr>
              <w:t xml:space="preserve"> you are submitting this form via email, please tick this box </w:t>
            </w:r>
            <w:r w:rsidRPr="00992479">
              <w:rPr>
                <w:rFonts w:ascii="Calibri" w:eastAsia="SimSun" w:hAnsi="Calibri" w:cs="Calibri"/>
                <w:b/>
                <w:color w:val="000000"/>
                <w:sz w:val="44"/>
                <w:szCs w:val="44"/>
                <w:lang w:val="en-GB" w:eastAsia="zh-CN"/>
              </w:rPr>
              <w:t>□</w:t>
            </w:r>
          </w:p>
          <w:p w14:paraId="06910BA9" w14:textId="77777777" w:rsidR="00992479" w:rsidRPr="00992479" w:rsidRDefault="00992479" w:rsidP="00992479">
            <w:pPr>
              <w:spacing w:after="0" w:line="240" w:lineRule="auto"/>
              <w:ind w:right="34"/>
              <w:rPr>
                <w:rFonts w:ascii="Arial" w:eastAsia="SimSun" w:hAnsi="Arial" w:cs="Arial"/>
                <w:color w:val="000000"/>
                <w:lang w:val="en-GB" w:eastAsia="zh-CN"/>
              </w:rPr>
            </w:pPr>
            <w:r w:rsidRPr="00992479">
              <w:rPr>
                <w:rFonts w:ascii="Calibri" w:eastAsia="SimSun" w:hAnsi="Calibri" w:cs="Tahoma"/>
                <w:b/>
                <w:color w:val="000000"/>
                <w:sz w:val="24"/>
                <w:szCs w:val="24"/>
                <w:lang w:val="en-GB" w:eastAsia="zh-CN"/>
              </w:rPr>
              <w:t>(</w:t>
            </w:r>
            <w:proofErr w:type="gramStart"/>
            <w:r w:rsidRPr="00992479">
              <w:rPr>
                <w:rFonts w:ascii="Calibri" w:eastAsia="SimSun" w:hAnsi="Calibri" w:cs="Tahoma"/>
                <w:b/>
                <w:color w:val="000000"/>
                <w:sz w:val="24"/>
                <w:szCs w:val="24"/>
                <w:lang w:val="en-GB" w:eastAsia="zh-CN"/>
              </w:rPr>
              <w:t>as</w:t>
            </w:r>
            <w:proofErr w:type="gramEnd"/>
            <w:r w:rsidRPr="00992479">
              <w:rPr>
                <w:rFonts w:ascii="Calibri" w:eastAsia="SimSun" w:hAnsi="Calibri" w:cs="Tahoma"/>
                <w:b/>
                <w:color w:val="000000"/>
                <w:sz w:val="24"/>
                <w:szCs w:val="24"/>
                <w:lang w:val="en-GB" w:eastAsia="zh-CN"/>
              </w:rPr>
              <w:t xml:space="preserve"> a substitute for your signature) to confirm that you agree to the above declaration.</w:t>
            </w:r>
          </w:p>
        </w:tc>
      </w:tr>
      <w:tr w:rsidR="00992479" w:rsidRPr="00992479" w14:paraId="498AAF9A" w14:textId="77777777" w:rsidTr="0058664D">
        <w:trPr>
          <w:trHeight w:val="3972"/>
        </w:trPr>
        <w:tc>
          <w:tcPr>
            <w:tcW w:w="8856" w:type="dxa"/>
            <w:gridSpan w:val="5"/>
          </w:tcPr>
          <w:p w14:paraId="0E563406" w14:textId="77777777" w:rsidR="00992479" w:rsidRPr="00992479" w:rsidRDefault="00992479" w:rsidP="00992479">
            <w:pPr>
              <w:spacing w:after="0" w:line="240" w:lineRule="auto"/>
              <w:rPr>
                <w:rFonts w:ascii="Arial" w:eastAsia="SimSun" w:hAnsi="Arial" w:cs="Times New Roman"/>
                <w:b/>
                <w:sz w:val="24"/>
                <w:szCs w:val="24"/>
                <w:lang w:val="en-GB" w:eastAsia="zh-CN"/>
              </w:rPr>
            </w:pPr>
          </w:p>
          <w:p w14:paraId="1C168753" w14:textId="77777777" w:rsidR="00992479" w:rsidRPr="00992479" w:rsidRDefault="00992479" w:rsidP="00992479">
            <w:pPr>
              <w:spacing w:after="0" w:line="240" w:lineRule="auto"/>
              <w:rPr>
                <w:rFonts w:ascii="Arial" w:eastAsia="SimSun" w:hAnsi="Arial" w:cs="Times New Roman"/>
                <w:sz w:val="24"/>
                <w:szCs w:val="24"/>
                <w:lang w:val="en-GB" w:eastAsia="zh-CN"/>
              </w:rPr>
            </w:pPr>
            <w:r w:rsidRPr="00992479">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92479" w:rsidRPr="00992479" w14:paraId="3B4C0375" w14:textId="77777777" w:rsidTr="0058664D">
              <w:tc>
                <w:tcPr>
                  <w:tcW w:w="6970" w:type="dxa"/>
                </w:tcPr>
                <w:p w14:paraId="27523706" w14:textId="77777777" w:rsidR="00992479" w:rsidRPr="00992479" w:rsidRDefault="00992479" w:rsidP="00992479">
                  <w:pPr>
                    <w:spacing w:after="0" w:line="240" w:lineRule="auto"/>
                    <w:rPr>
                      <w:rFonts w:ascii="Arial" w:eastAsia="SimSun" w:hAnsi="Arial" w:cs="Times New Roman"/>
                      <w:sz w:val="20"/>
                      <w:szCs w:val="20"/>
                      <w:lang w:val="en-GB" w:eastAsia="zh-CN"/>
                    </w:rPr>
                  </w:pPr>
                </w:p>
                <w:p w14:paraId="181599AE" w14:textId="77777777" w:rsidR="00992479" w:rsidRPr="00992479" w:rsidRDefault="00992479" w:rsidP="00992479">
                  <w:pPr>
                    <w:spacing w:after="0" w:line="240" w:lineRule="auto"/>
                    <w:rPr>
                      <w:rFonts w:ascii="Arial" w:eastAsia="SimSun" w:hAnsi="Arial" w:cs="Times New Roman"/>
                      <w:sz w:val="20"/>
                      <w:szCs w:val="20"/>
                      <w:lang w:val="en-GB" w:eastAsia="zh-CN"/>
                    </w:rPr>
                  </w:pPr>
                  <w:r w:rsidRPr="00992479">
                    <w:rPr>
                      <w:rFonts w:ascii="Arial" w:eastAsia="SimSun" w:hAnsi="Arial" w:cs="Times New Roman"/>
                      <w:sz w:val="20"/>
                      <w:szCs w:val="20"/>
                      <w:lang w:val="en-GB" w:eastAsia="zh-CN"/>
                    </w:rPr>
                    <w:t>1</w:t>
                  </w:r>
                  <w:r w:rsidRPr="00992479">
                    <w:rPr>
                      <w:rFonts w:ascii="Arial" w:eastAsia="SimSun" w:hAnsi="Arial" w:cs="Times New Roman"/>
                      <w:sz w:val="20"/>
                      <w:szCs w:val="20"/>
                      <w:vertAlign w:val="superscript"/>
                      <w:lang w:val="en-GB" w:eastAsia="zh-CN"/>
                    </w:rPr>
                    <w:t>st</w:t>
                  </w:r>
                  <w:r w:rsidRPr="00992479">
                    <w:rPr>
                      <w:rFonts w:ascii="Arial" w:eastAsia="SimSun" w:hAnsi="Arial" w:cs="Times New Roman"/>
                      <w:sz w:val="20"/>
                      <w:szCs w:val="20"/>
                      <w:lang w:val="en-GB" w:eastAsia="zh-CN"/>
                    </w:rPr>
                    <w:t xml:space="preserve"> Marker’s Provisional mark</w:t>
                  </w:r>
                </w:p>
              </w:tc>
              <w:tc>
                <w:tcPr>
                  <w:tcW w:w="1660" w:type="dxa"/>
                </w:tcPr>
                <w:p w14:paraId="0FB55A0B" w14:textId="77777777" w:rsidR="00992479" w:rsidRPr="00992479" w:rsidRDefault="00992479" w:rsidP="00992479">
                  <w:pPr>
                    <w:spacing w:after="0" w:line="240" w:lineRule="auto"/>
                    <w:rPr>
                      <w:rFonts w:ascii="Arial" w:eastAsia="SimSun" w:hAnsi="Arial" w:cs="Times New Roman"/>
                      <w:sz w:val="20"/>
                      <w:szCs w:val="20"/>
                      <w:lang w:val="en-GB" w:eastAsia="zh-CN"/>
                    </w:rPr>
                  </w:pPr>
                </w:p>
              </w:tc>
            </w:tr>
            <w:tr w:rsidR="00992479" w:rsidRPr="00992479" w14:paraId="607316BD" w14:textId="77777777" w:rsidTr="0058664D">
              <w:tc>
                <w:tcPr>
                  <w:tcW w:w="6970" w:type="dxa"/>
                </w:tcPr>
                <w:p w14:paraId="6E2D6077" w14:textId="77777777" w:rsidR="00992479" w:rsidRPr="00992479" w:rsidRDefault="00992479" w:rsidP="00992479">
                  <w:pPr>
                    <w:spacing w:after="0" w:line="240" w:lineRule="auto"/>
                    <w:rPr>
                      <w:rFonts w:ascii="Arial" w:eastAsia="SimSun" w:hAnsi="Arial" w:cs="Times New Roman"/>
                      <w:sz w:val="20"/>
                      <w:szCs w:val="20"/>
                      <w:lang w:val="en-GB" w:eastAsia="zh-CN"/>
                    </w:rPr>
                  </w:pPr>
                </w:p>
                <w:p w14:paraId="5DDAA193" w14:textId="77777777" w:rsidR="00992479" w:rsidRPr="00992479" w:rsidRDefault="00992479" w:rsidP="00992479">
                  <w:pPr>
                    <w:spacing w:after="0" w:line="240" w:lineRule="auto"/>
                    <w:rPr>
                      <w:rFonts w:ascii="Arial" w:eastAsia="SimSun" w:hAnsi="Arial" w:cs="Times New Roman"/>
                      <w:sz w:val="20"/>
                      <w:szCs w:val="20"/>
                      <w:lang w:val="en-GB" w:eastAsia="zh-CN"/>
                    </w:rPr>
                  </w:pPr>
                  <w:r w:rsidRPr="00992479">
                    <w:rPr>
                      <w:rFonts w:ascii="Arial" w:eastAsia="SimSun" w:hAnsi="Arial" w:cs="Times New Roman"/>
                      <w:sz w:val="20"/>
                      <w:szCs w:val="20"/>
                      <w:lang w:val="en-GB" w:eastAsia="zh-CN"/>
                    </w:rPr>
                    <w:t>2</w:t>
                  </w:r>
                  <w:r w:rsidRPr="00992479">
                    <w:rPr>
                      <w:rFonts w:ascii="Arial" w:eastAsia="SimSun" w:hAnsi="Arial" w:cs="Times New Roman"/>
                      <w:sz w:val="20"/>
                      <w:szCs w:val="20"/>
                      <w:vertAlign w:val="superscript"/>
                      <w:lang w:val="en-GB" w:eastAsia="zh-CN"/>
                    </w:rPr>
                    <w:t>nd</w:t>
                  </w:r>
                  <w:r w:rsidRPr="00992479">
                    <w:rPr>
                      <w:rFonts w:ascii="Arial" w:eastAsia="SimSun" w:hAnsi="Arial" w:cs="Times New Roman"/>
                      <w:sz w:val="20"/>
                      <w:szCs w:val="20"/>
                      <w:lang w:val="en-GB" w:eastAsia="zh-CN"/>
                    </w:rPr>
                    <w:t xml:space="preserve"> Marker’s/Moderator’s provisional mark</w:t>
                  </w:r>
                </w:p>
              </w:tc>
              <w:tc>
                <w:tcPr>
                  <w:tcW w:w="1660" w:type="dxa"/>
                </w:tcPr>
                <w:p w14:paraId="2775776B" w14:textId="77777777" w:rsidR="00992479" w:rsidRPr="00992479" w:rsidRDefault="00992479" w:rsidP="00992479">
                  <w:pPr>
                    <w:spacing w:after="0" w:line="240" w:lineRule="auto"/>
                    <w:rPr>
                      <w:rFonts w:ascii="Arial" w:eastAsia="SimSun" w:hAnsi="Arial" w:cs="Times New Roman"/>
                      <w:sz w:val="20"/>
                      <w:szCs w:val="20"/>
                      <w:lang w:val="en-GB" w:eastAsia="zh-CN"/>
                    </w:rPr>
                  </w:pPr>
                </w:p>
              </w:tc>
            </w:tr>
            <w:tr w:rsidR="00992479" w:rsidRPr="00992479" w14:paraId="68958CF7" w14:textId="77777777" w:rsidTr="0058664D">
              <w:tc>
                <w:tcPr>
                  <w:tcW w:w="6970" w:type="dxa"/>
                </w:tcPr>
                <w:p w14:paraId="3A3C4CD1" w14:textId="77777777" w:rsidR="00992479" w:rsidRPr="00992479" w:rsidRDefault="00992479" w:rsidP="00992479">
                  <w:pPr>
                    <w:spacing w:after="0" w:line="240" w:lineRule="auto"/>
                    <w:rPr>
                      <w:rFonts w:ascii="Arial" w:eastAsia="SimSun" w:hAnsi="Arial" w:cs="Times New Roman"/>
                      <w:sz w:val="20"/>
                      <w:szCs w:val="20"/>
                      <w:lang w:val="en-GB" w:eastAsia="zh-CN"/>
                    </w:rPr>
                  </w:pPr>
                </w:p>
                <w:p w14:paraId="365BC6F1" w14:textId="77777777" w:rsidR="00992479" w:rsidRPr="00992479" w:rsidRDefault="00992479" w:rsidP="00992479">
                  <w:pPr>
                    <w:spacing w:after="0" w:line="240" w:lineRule="auto"/>
                    <w:rPr>
                      <w:rFonts w:ascii="Arial" w:eastAsia="SimSun" w:hAnsi="Arial" w:cs="Times New Roman"/>
                      <w:sz w:val="20"/>
                      <w:szCs w:val="20"/>
                      <w:lang w:val="en-GB" w:eastAsia="zh-CN"/>
                    </w:rPr>
                  </w:pPr>
                  <w:r w:rsidRPr="00992479">
                    <w:rPr>
                      <w:rFonts w:ascii="Arial" w:eastAsia="SimSun" w:hAnsi="Arial" w:cs="Times New Roman"/>
                      <w:sz w:val="20"/>
                      <w:szCs w:val="20"/>
                      <w:lang w:val="en-GB" w:eastAsia="zh-CN"/>
                    </w:rPr>
                    <w:t>External Examiner’s mark (if relevant)</w:t>
                  </w:r>
                </w:p>
              </w:tc>
              <w:tc>
                <w:tcPr>
                  <w:tcW w:w="1660" w:type="dxa"/>
                </w:tcPr>
                <w:p w14:paraId="79EBDD4B" w14:textId="77777777" w:rsidR="00992479" w:rsidRPr="00992479" w:rsidRDefault="00992479" w:rsidP="00992479">
                  <w:pPr>
                    <w:spacing w:after="0" w:line="240" w:lineRule="auto"/>
                    <w:rPr>
                      <w:rFonts w:ascii="Arial" w:eastAsia="SimSun" w:hAnsi="Arial" w:cs="Times New Roman"/>
                      <w:sz w:val="20"/>
                      <w:szCs w:val="20"/>
                      <w:lang w:val="en-GB" w:eastAsia="zh-CN"/>
                    </w:rPr>
                  </w:pPr>
                </w:p>
              </w:tc>
            </w:tr>
            <w:tr w:rsidR="00992479" w:rsidRPr="00992479" w14:paraId="3BB24D12" w14:textId="77777777" w:rsidTr="0058664D">
              <w:tc>
                <w:tcPr>
                  <w:tcW w:w="6970" w:type="dxa"/>
                </w:tcPr>
                <w:p w14:paraId="4C4DD059" w14:textId="77777777" w:rsidR="00992479" w:rsidRPr="00992479" w:rsidRDefault="00992479" w:rsidP="00992479">
                  <w:pPr>
                    <w:spacing w:after="0" w:line="240" w:lineRule="auto"/>
                    <w:rPr>
                      <w:rFonts w:ascii="Arial" w:eastAsia="SimSun" w:hAnsi="Arial" w:cs="Times New Roman"/>
                      <w:sz w:val="20"/>
                      <w:szCs w:val="20"/>
                      <w:lang w:val="en-GB" w:eastAsia="zh-CN"/>
                    </w:rPr>
                  </w:pPr>
                </w:p>
                <w:p w14:paraId="603EC065" w14:textId="77777777" w:rsidR="00992479" w:rsidRPr="00992479" w:rsidRDefault="00992479" w:rsidP="00992479">
                  <w:pPr>
                    <w:spacing w:after="0" w:line="240" w:lineRule="auto"/>
                    <w:rPr>
                      <w:rFonts w:ascii="Arial" w:eastAsia="SimSun" w:hAnsi="Arial" w:cs="Times New Roman"/>
                      <w:b/>
                      <w:sz w:val="20"/>
                      <w:szCs w:val="20"/>
                      <w:lang w:val="en-GB" w:eastAsia="zh-CN"/>
                    </w:rPr>
                  </w:pPr>
                  <w:r w:rsidRPr="00992479">
                    <w:rPr>
                      <w:rFonts w:ascii="Arial" w:eastAsia="SimSun" w:hAnsi="Arial" w:cs="Times New Roman"/>
                      <w:b/>
                      <w:sz w:val="20"/>
                      <w:szCs w:val="20"/>
                      <w:lang w:val="en-GB" w:eastAsia="zh-CN"/>
                    </w:rPr>
                    <w:t>Final Mark</w:t>
                  </w:r>
                </w:p>
                <w:p w14:paraId="6267C944" w14:textId="77777777" w:rsidR="00992479" w:rsidRPr="00992479" w:rsidRDefault="00992479" w:rsidP="00992479">
                  <w:pPr>
                    <w:spacing w:after="0" w:line="240" w:lineRule="auto"/>
                    <w:rPr>
                      <w:rFonts w:ascii="Arial" w:eastAsia="SimSun" w:hAnsi="Arial" w:cs="Times New Roman"/>
                      <w:sz w:val="20"/>
                      <w:szCs w:val="20"/>
                      <w:lang w:val="en-GB" w:eastAsia="zh-CN"/>
                    </w:rPr>
                  </w:pPr>
                </w:p>
              </w:tc>
              <w:tc>
                <w:tcPr>
                  <w:tcW w:w="1660" w:type="dxa"/>
                </w:tcPr>
                <w:p w14:paraId="42A12918" w14:textId="77777777" w:rsidR="00992479" w:rsidRPr="00992479" w:rsidRDefault="00992479" w:rsidP="00992479">
                  <w:pPr>
                    <w:spacing w:after="0" w:line="240" w:lineRule="auto"/>
                    <w:rPr>
                      <w:rFonts w:ascii="Arial" w:eastAsia="SimSun" w:hAnsi="Arial" w:cs="Times New Roman"/>
                      <w:sz w:val="20"/>
                      <w:szCs w:val="20"/>
                      <w:lang w:val="en-GB" w:eastAsia="zh-CN"/>
                    </w:rPr>
                  </w:pPr>
                </w:p>
              </w:tc>
            </w:tr>
          </w:tbl>
          <w:p w14:paraId="42436CBA" w14:textId="77777777" w:rsidR="00992479" w:rsidRPr="00992479" w:rsidRDefault="00992479" w:rsidP="00992479">
            <w:pPr>
              <w:spacing w:after="0" w:line="240" w:lineRule="auto"/>
              <w:ind w:left="142" w:right="34"/>
              <w:rPr>
                <w:rFonts w:ascii="Arial" w:eastAsia="SimSun" w:hAnsi="Arial" w:cs="Arial"/>
                <w:b/>
                <w:color w:val="000000"/>
                <w:lang w:val="en-GB" w:eastAsia="zh-CN"/>
              </w:rPr>
            </w:pPr>
          </w:p>
          <w:p w14:paraId="2FAEF676" w14:textId="77777777" w:rsidR="00992479" w:rsidRPr="00992479" w:rsidRDefault="00992479" w:rsidP="00992479">
            <w:pPr>
              <w:spacing w:after="0" w:line="240" w:lineRule="auto"/>
              <w:ind w:left="142" w:right="34"/>
              <w:rPr>
                <w:rFonts w:ascii="Arial" w:eastAsia="SimSun" w:hAnsi="Arial" w:cs="Arial"/>
                <w:color w:val="000000"/>
                <w:lang w:val="en-GB" w:eastAsia="zh-CN"/>
              </w:rPr>
            </w:pPr>
            <w:r w:rsidRPr="00992479">
              <w:rPr>
                <w:rFonts w:ascii="Arial" w:eastAsia="SimSun" w:hAnsi="Arial" w:cs="Arial"/>
                <w:b/>
                <w:color w:val="000000"/>
                <w:lang w:val="en-GB" w:eastAsia="zh-CN"/>
              </w:rPr>
              <w:t>NB.</w:t>
            </w:r>
            <w:r w:rsidRPr="00992479">
              <w:rPr>
                <w:rFonts w:ascii="Arial" w:eastAsia="SimSun" w:hAnsi="Arial" w:cs="Arial"/>
                <w:color w:val="000000"/>
                <w:lang w:val="en-GB" w:eastAsia="zh-CN"/>
              </w:rPr>
              <w:t xml:space="preserve">  All marks are provisional until confirmed by the Final Examination Board.</w:t>
            </w:r>
          </w:p>
          <w:p w14:paraId="6631CD01" w14:textId="77777777" w:rsidR="00992479" w:rsidRPr="00992479" w:rsidRDefault="00992479" w:rsidP="00992479">
            <w:pPr>
              <w:spacing w:after="0" w:line="240" w:lineRule="auto"/>
              <w:rPr>
                <w:rFonts w:ascii="Arial" w:eastAsia="SimSun" w:hAnsi="Arial" w:cs="Arial"/>
                <w:b/>
                <w:color w:val="000000"/>
                <w:lang w:val="en-GB" w:eastAsia="zh-CN"/>
              </w:rPr>
            </w:pPr>
          </w:p>
          <w:p w14:paraId="1F928BC9" w14:textId="77777777" w:rsidR="00992479" w:rsidRPr="00992479" w:rsidRDefault="00992479" w:rsidP="00992479">
            <w:pPr>
              <w:spacing w:after="0" w:line="240" w:lineRule="auto"/>
              <w:rPr>
                <w:rFonts w:ascii="Arial" w:eastAsia="SimSun" w:hAnsi="Arial" w:cs="Arial"/>
                <w:b/>
                <w:color w:val="000000"/>
                <w:lang w:val="en-GB" w:eastAsia="zh-CN"/>
              </w:rPr>
            </w:pPr>
          </w:p>
          <w:p w14:paraId="5409717D" w14:textId="77777777" w:rsidR="00992479" w:rsidRPr="00992479" w:rsidRDefault="00992479" w:rsidP="00992479">
            <w:pPr>
              <w:spacing w:after="0" w:line="240" w:lineRule="auto"/>
              <w:rPr>
                <w:rFonts w:ascii="Arial" w:eastAsia="SimSun" w:hAnsi="Arial" w:cs="Arial"/>
                <w:b/>
                <w:color w:val="000000"/>
                <w:lang w:val="en-GB" w:eastAsia="zh-CN"/>
              </w:rPr>
            </w:pPr>
          </w:p>
          <w:p w14:paraId="0953AF97" w14:textId="77777777" w:rsidR="00992479" w:rsidRPr="00992479" w:rsidRDefault="00992479" w:rsidP="00992479">
            <w:pPr>
              <w:spacing w:after="0" w:line="240" w:lineRule="auto"/>
              <w:rPr>
                <w:rFonts w:ascii="Arial" w:eastAsia="SimSun" w:hAnsi="Arial" w:cs="Arial"/>
                <w:b/>
                <w:color w:val="000000"/>
                <w:lang w:val="en-GB" w:eastAsia="zh-CN"/>
              </w:rPr>
            </w:pPr>
          </w:p>
          <w:p w14:paraId="6A83EBE6" w14:textId="77777777" w:rsidR="00992479" w:rsidRPr="00992479" w:rsidRDefault="00992479" w:rsidP="00992479">
            <w:pPr>
              <w:spacing w:after="0" w:line="240" w:lineRule="auto"/>
              <w:rPr>
                <w:rFonts w:ascii="Arial" w:eastAsia="SimSun" w:hAnsi="Arial" w:cs="Arial"/>
                <w:b/>
                <w:color w:val="000000"/>
                <w:lang w:val="en-GB" w:eastAsia="zh-CN"/>
              </w:rPr>
            </w:pPr>
          </w:p>
          <w:p w14:paraId="61FDD1A9" w14:textId="77777777" w:rsidR="00992479" w:rsidRPr="00992479" w:rsidRDefault="00992479" w:rsidP="00992479">
            <w:pPr>
              <w:spacing w:after="0" w:line="240" w:lineRule="auto"/>
              <w:rPr>
                <w:rFonts w:ascii="Arial" w:eastAsia="SimSun" w:hAnsi="Arial" w:cs="Arial"/>
                <w:b/>
                <w:color w:val="000000"/>
                <w:lang w:val="en-GB" w:eastAsia="zh-CN"/>
              </w:rPr>
            </w:pPr>
            <w:r w:rsidRPr="00992479">
              <w:rPr>
                <w:rFonts w:ascii="Arial" w:eastAsia="SimSun" w:hAnsi="Arial" w:cs="Arial"/>
                <w:b/>
                <w:color w:val="000000"/>
                <w:lang w:val="en-GB" w:eastAsia="zh-CN"/>
              </w:rPr>
              <w:t xml:space="preserve">For completion by Marker </w:t>
            </w:r>
            <w:proofErr w:type="gramStart"/>
            <w:r w:rsidRPr="00992479">
              <w:rPr>
                <w:rFonts w:ascii="Arial" w:eastAsia="SimSun" w:hAnsi="Arial" w:cs="Arial"/>
                <w:b/>
                <w:color w:val="000000"/>
                <w:lang w:val="en-GB" w:eastAsia="zh-CN"/>
              </w:rPr>
              <w:t>1 :</w:t>
            </w:r>
            <w:proofErr w:type="gramEnd"/>
          </w:p>
          <w:p w14:paraId="61612AF1" w14:textId="77777777" w:rsidR="00992479" w:rsidRPr="00992479" w:rsidRDefault="00992479" w:rsidP="00992479">
            <w:pPr>
              <w:spacing w:before="100" w:beforeAutospacing="1" w:after="100" w:afterAutospacing="1" w:line="240" w:lineRule="auto"/>
              <w:rPr>
                <w:rFonts w:ascii="Arial" w:eastAsia="SimSun" w:hAnsi="Arial" w:cs="Arial"/>
                <w:color w:val="000000"/>
                <w:lang w:val="en-GB" w:eastAsia="zh-CN"/>
              </w:rPr>
            </w:pPr>
            <w:r w:rsidRPr="00992479">
              <w:rPr>
                <w:rFonts w:ascii="Arial" w:eastAsia="SimSun" w:hAnsi="Arial" w:cs="Arial"/>
                <w:color w:val="000000"/>
                <w:lang w:val="en-GB" w:eastAsia="zh-CN"/>
              </w:rPr>
              <w:t>Comments:</w:t>
            </w:r>
          </w:p>
          <w:p w14:paraId="67B944A0" w14:textId="77777777" w:rsidR="00992479" w:rsidRPr="00992479" w:rsidRDefault="00992479" w:rsidP="00992479">
            <w:pPr>
              <w:spacing w:before="100" w:beforeAutospacing="1" w:after="100" w:afterAutospacing="1" w:line="240" w:lineRule="auto"/>
              <w:rPr>
                <w:rFonts w:ascii="Arial" w:eastAsia="SimSun" w:hAnsi="Arial" w:cs="Arial"/>
                <w:color w:val="000000"/>
                <w:lang w:val="en-GB" w:eastAsia="zh-CN"/>
              </w:rPr>
            </w:pPr>
          </w:p>
        </w:tc>
      </w:tr>
      <w:tr w:rsidR="00992479" w:rsidRPr="00992479" w14:paraId="756196AF" w14:textId="77777777" w:rsidTr="0058664D">
        <w:trPr>
          <w:trHeight w:val="492"/>
        </w:trPr>
        <w:tc>
          <w:tcPr>
            <w:tcW w:w="6768" w:type="dxa"/>
            <w:gridSpan w:val="3"/>
          </w:tcPr>
          <w:p w14:paraId="687F7BFD" w14:textId="77777777" w:rsidR="00992479" w:rsidRPr="00992479" w:rsidRDefault="00992479" w:rsidP="00992479">
            <w:pPr>
              <w:spacing w:before="100" w:beforeAutospacing="1" w:after="100" w:afterAutospacing="1" w:line="240" w:lineRule="auto"/>
              <w:ind w:left="142" w:right="34"/>
              <w:rPr>
                <w:rFonts w:ascii="Arial" w:eastAsia="SimSun" w:hAnsi="Arial" w:cs="Arial"/>
                <w:color w:val="000000"/>
                <w:lang w:val="en-GB" w:eastAsia="zh-CN"/>
              </w:rPr>
            </w:pPr>
            <w:r w:rsidRPr="00992479">
              <w:rPr>
                <w:rFonts w:ascii="Arial" w:eastAsia="SimSun" w:hAnsi="Arial" w:cs="Arial"/>
                <w:color w:val="000000"/>
                <w:lang w:val="en-GB" w:eastAsia="zh-CN"/>
              </w:rPr>
              <w:t>Marker’s signature:</w:t>
            </w:r>
          </w:p>
        </w:tc>
        <w:tc>
          <w:tcPr>
            <w:tcW w:w="2088" w:type="dxa"/>
            <w:gridSpan w:val="2"/>
          </w:tcPr>
          <w:p w14:paraId="7DC478F7" w14:textId="77777777" w:rsidR="00992479" w:rsidRPr="00992479" w:rsidRDefault="00992479" w:rsidP="00992479">
            <w:pPr>
              <w:spacing w:before="100" w:beforeAutospacing="1" w:after="0" w:afterAutospacing="1" w:line="240" w:lineRule="auto"/>
              <w:ind w:left="142" w:right="34"/>
              <w:rPr>
                <w:rFonts w:ascii="Arial" w:eastAsia="SimSun" w:hAnsi="Arial" w:cs="Arial"/>
                <w:color w:val="000000"/>
                <w:lang w:val="en-GB" w:eastAsia="zh-CN"/>
              </w:rPr>
            </w:pPr>
            <w:r w:rsidRPr="00992479">
              <w:rPr>
                <w:rFonts w:ascii="Arial" w:eastAsia="SimSun" w:hAnsi="Arial" w:cs="Arial"/>
                <w:color w:val="000000"/>
                <w:lang w:val="en-GB" w:eastAsia="zh-CN"/>
              </w:rPr>
              <w:t>Date:</w:t>
            </w:r>
          </w:p>
        </w:tc>
      </w:tr>
      <w:tr w:rsidR="00992479" w:rsidRPr="00992479" w14:paraId="38818355" w14:textId="77777777" w:rsidTr="0058664D">
        <w:tc>
          <w:tcPr>
            <w:tcW w:w="8856" w:type="dxa"/>
            <w:gridSpan w:val="5"/>
          </w:tcPr>
          <w:p w14:paraId="3BDEBAA0" w14:textId="77777777" w:rsidR="00992479" w:rsidRPr="00992479" w:rsidRDefault="00992479" w:rsidP="00992479">
            <w:pPr>
              <w:spacing w:after="0" w:line="240" w:lineRule="auto"/>
              <w:ind w:right="-334"/>
              <w:rPr>
                <w:rFonts w:ascii="Arial" w:eastAsia="SimSun" w:hAnsi="Arial" w:cs="Arial"/>
                <w:bCs/>
                <w:i/>
                <w:color w:val="000000"/>
                <w:lang w:val="en-GB" w:eastAsia="zh-CN"/>
              </w:rPr>
            </w:pPr>
          </w:p>
          <w:p w14:paraId="6AAA5A20" w14:textId="77777777" w:rsidR="00992479" w:rsidRPr="00992479" w:rsidRDefault="00992479" w:rsidP="00992479">
            <w:pPr>
              <w:spacing w:after="0" w:line="240" w:lineRule="auto"/>
              <w:ind w:right="-334"/>
              <w:rPr>
                <w:rFonts w:ascii="Arial" w:eastAsia="SimSun" w:hAnsi="Arial" w:cs="Arial"/>
                <w:b/>
                <w:bCs/>
                <w:color w:val="000000"/>
                <w:lang w:val="en-GB" w:eastAsia="zh-CN"/>
              </w:rPr>
            </w:pPr>
            <w:r w:rsidRPr="00992479">
              <w:rPr>
                <w:rFonts w:ascii="Arial" w:eastAsia="SimSun" w:hAnsi="Arial" w:cs="Arial"/>
                <w:b/>
                <w:bCs/>
                <w:color w:val="000000"/>
                <w:lang w:val="en-GB" w:eastAsia="zh-CN"/>
              </w:rPr>
              <w:t>For completion by Marker 2/Moderator:</w:t>
            </w:r>
          </w:p>
          <w:p w14:paraId="24505AD6" w14:textId="77777777" w:rsidR="00992479" w:rsidRPr="00992479" w:rsidRDefault="00992479" w:rsidP="00992479">
            <w:pPr>
              <w:spacing w:after="0" w:line="240" w:lineRule="auto"/>
              <w:ind w:right="-334"/>
              <w:rPr>
                <w:rFonts w:ascii="Arial" w:eastAsia="SimSun" w:hAnsi="Arial" w:cs="Arial"/>
                <w:b/>
                <w:bCs/>
                <w:color w:val="000000"/>
                <w:lang w:val="en-GB" w:eastAsia="zh-CN"/>
              </w:rPr>
            </w:pPr>
          </w:p>
          <w:p w14:paraId="39B99C15" w14:textId="77777777" w:rsidR="00992479" w:rsidRPr="00992479" w:rsidRDefault="00992479" w:rsidP="00992479">
            <w:pPr>
              <w:spacing w:after="0" w:line="240" w:lineRule="auto"/>
              <w:ind w:right="-334"/>
              <w:rPr>
                <w:rFonts w:ascii="Arial" w:eastAsia="SimSun" w:hAnsi="Arial" w:cs="Arial"/>
                <w:bCs/>
                <w:color w:val="000000"/>
                <w:lang w:val="en-GB" w:eastAsia="zh-CN"/>
              </w:rPr>
            </w:pPr>
            <w:r w:rsidRPr="00992479">
              <w:rPr>
                <w:rFonts w:ascii="Arial" w:eastAsia="SimSun" w:hAnsi="Arial" w:cs="Arial"/>
                <w:bCs/>
                <w:color w:val="000000"/>
                <w:lang w:val="en-GB" w:eastAsia="zh-CN"/>
              </w:rPr>
              <w:t>Comments:</w:t>
            </w:r>
          </w:p>
          <w:p w14:paraId="20A5B164"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0F93020D"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15C27375"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5FD414F6"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663509D1"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1BC678B6"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2811932B"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4547A32D"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684BC4EB"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3DCE67D4"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3271FE8B"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5A3EDBC2" w14:textId="77777777" w:rsidR="00992479" w:rsidRPr="00992479" w:rsidRDefault="00992479" w:rsidP="00992479">
            <w:pPr>
              <w:spacing w:after="0" w:line="240" w:lineRule="auto"/>
              <w:ind w:right="-334"/>
              <w:rPr>
                <w:rFonts w:ascii="Arial" w:eastAsia="SimSun" w:hAnsi="Arial" w:cs="Arial"/>
                <w:bCs/>
                <w:color w:val="000000"/>
                <w:lang w:val="en-GB" w:eastAsia="zh-CN"/>
              </w:rPr>
            </w:pPr>
          </w:p>
        </w:tc>
      </w:tr>
      <w:tr w:rsidR="00992479" w:rsidRPr="00992479" w14:paraId="69B471E0" w14:textId="77777777" w:rsidTr="0058664D">
        <w:trPr>
          <w:trHeight w:val="720"/>
        </w:trPr>
        <w:tc>
          <w:tcPr>
            <w:tcW w:w="5211" w:type="dxa"/>
            <w:gridSpan w:val="2"/>
          </w:tcPr>
          <w:p w14:paraId="5B983642" w14:textId="77777777" w:rsidR="00992479" w:rsidRPr="00992479" w:rsidRDefault="00992479" w:rsidP="00992479">
            <w:pPr>
              <w:spacing w:after="0" w:line="240" w:lineRule="auto"/>
              <w:ind w:right="-334"/>
              <w:rPr>
                <w:rFonts w:ascii="Arial" w:eastAsia="SimSun" w:hAnsi="Arial" w:cs="Arial"/>
                <w:bCs/>
                <w:color w:val="000000"/>
                <w:lang w:val="en-GB" w:eastAsia="zh-CN"/>
              </w:rPr>
            </w:pPr>
            <w:r w:rsidRPr="00992479">
              <w:rPr>
                <w:rFonts w:ascii="Arial" w:eastAsia="SimSun" w:hAnsi="Arial" w:cs="Arial"/>
                <w:bCs/>
                <w:color w:val="000000"/>
                <w:lang w:val="en-GB" w:eastAsia="zh-CN"/>
              </w:rPr>
              <w:t>Marker’s Signature:</w:t>
            </w:r>
          </w:p>
        </w:tc>
        <w:tc>
          <w:tcPr>
            <w:tcW w:w="3645" w:type="dxa"/>
            <w:gridSpan w:val="3"/>
          </w:tcPr>
          <w:p w14:paraId="79666EC5" w14:textId="77777777" w:rsidR="00992479" w:rsidRPr="00992479" w:rsidRDefault="00992479" w:rsidP="00992479">
            <w:pPr>
              <w:spacing w:after="0" w:line="240" w:lineRule="auto"/>
              <w:ind w:right="-334"/>
              <w:rPr>
                <w:rFonts w:ascii="Arial" w:eastAsia="SimSun" w:hAnsi="Arial" w:cs="Arial"/>
                <w:bCs/>
                <w:color w:val="000000"/>
                <w:lang w:val="en-GB" w:eastAsia="zh-CN"/>
              </w:rPr>
            </w:pPr>
            <w:r w:rsidRPr="00992479">
              <w:rPr>
                <w:rFonts w:ascii="Arial" w:eastAsia="SimSun" w:hAnsi="Arial" w:cs="Arial"/>
                <w:bCs/>
                <w:color w:val="000000"/>
                <w:lang w:val="en-GB" w:eastAsia="zh-CN"/>
              </w:rPr>
              <w:t>Date:</w:t>
            </w:r>
          </w:p>
        </w:tc>
      </w:tr>
      <w:tr w:rsidR="00992479" w:rsidRPr="00992479" w14:paraId="0702CAEB" w14:textId="77777777" w:rsidTr="0058664D">
        <w:trPr>
          <w:trHeight w:val="720"/>
        </w:trPr>
        <w:tc>
          <w:tcPr>
            <w:tcW w:w="8856" w:type="dxa"/>
            <w:gridSpan w:val="5"/>
          </w:tcPr>
          <w:p w14:paraId="4A819762" w14:textId="77777777" w:rsidR="00992479" w:rsidRPr="00992479" w:rsidRDefault="00992479" w:rsidP="00992479">
            <w:pPr>
              <w:spacing w:after="0" w:line="240" w:lineRule="auto"/>
              <w:rPr>
                <w:rFonts w:ascii="Arial" w:eastAsia="SimSun" w:hAnsi="Arial" w:cs="Arial"/>
                <w:b/>
                <w:lang w:val="en-GB" w:eastAsia="zh-CN"/>
              </w:rPr>
            </w:pPr>
            <w:r w:rsidRPr="00992479">
              <w:rPr>
                <w:rFonts w:ascii="Arial" w:eastAsia="SimSun" w:hAnsi="Arial" w:cs="Arial"/>
                <w:b/>
                <w:lang w:val="en-GB" w:eastAsia="zh-CN"/>
              </w:rPr>
              <w:t>External Examiner’s comments (if relevant)</w:t>
            </w:r>
          </w:p>
          <w:p w14:paraId="689971DA"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61B19D92"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75F6E106"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1B238E1B"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3E0F5D14"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6E7295BD"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3CE76CD2"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15468331"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4D23AC8B"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6C9F1DBF" w14:textId="77777777" w:rsidR="00992479" w:rsidRPr="00992479" w:rsidRDefault="00992479" w:rsidP="00992479">
            <w:pPr>
              <w:spacing w:after="0" w:line="240" w:lineRule="auto"/>
              <w:ind w:right="-334"/>
              <w:rPr>
                <w:rFonts w:ascii="Arial" w:eastAsia="SimSun" w:hAnsi="Arial" w:cs="Arial"/>
                <w:bCs/>
                <w:color w:val="000000"/>
                <w:lang w:val="en-GB" w:eastAsia="zh-CN"/>
              </w:rPr>
            </w:pPr>
          </w:p>
          <w:p w14:paraId="2F450CA4" w14:textId="77777777" w:rsidR="00992479" w:rsidRPr="00992479" w:rsidRDefault="00992479" w:rsidP="00992479">
            <w:pPr>
              <w:spacing w:after="0" w:line="240" w:lineRule="auto"/>
              <w:ind w:right="-334"/>
              <w:rPr>
                <w:rFonts w:ascii="Arial" w:eastAsia="SimSun" w:hAnsi="Arial" w:cs="Arial"/>
                <w:bCs/>
                <w:color w:val="000000"/>
                <w:lang w:val="en-GB" w:eastAsia="zh-CN"/>
              </w:rPr>
            </w:pPr>
          </w:p>
        </w:tc>
      </w:tr>
      <w:tr w:rsidR="00992479" w:rsidRPr="00992479" w14:paraId="6FBE06BE" w14:textId="77777777" w:rsidTr="0058664D">
        <w:trPr>
          <w:trHeight w:val="720"/>
        </w:trPr>
        <w:tc>
          <w:tcPr>
            <w:tcW w:w="5211" w:type="dxa"/>
            <w:gridSpan w:val="2"/>
          </w:tcPr>
          <w:p w14:paraId="112F5CF6" w14:textId="77777777" w:rsidR="00992479" w:rsidRPr="00992479" w:rsidRDefault="00992479" w:rsidP="00992479">
            <w:pPr>
              <w:spacing w:after="0" w:line="240" w:lineRule="auto"/>
              <w:rPr>
                <w:rFonts w:ascii="Arial" w:eastAsia="SimSun" w:hAnsi="Arial" w:cs="Arial"/>
                <w:lang w:val="en-GB" w:eastAsia="zh-CN"/>
              </w:rPr>
            </w:pPr>
            <w:r w:rsidRPr="00992479">
              <w:rPr>
                <w:rFonts w:ascii="Arial" w:eastAsia="SimSun" w:hAnsi="Arial" w:cs="Arial"/>
                <w:lang w:val="en-GB" w:eastAsia="zh-CN"/>
              </w:rPr>
              <w:t>External Examiner’s Signature:</w:t>
            </w:r>
          </w:p>
        </w:tc>
        <w:tc>
          <w:tcPr>
            <w:tcW w:w="3645" w:type="dxa"/>
            <w:gridSpan w:val="3"/>
          </w:tcPr>
          <w:p w14:paraId="610DF6B2" w14:textId="77777777" w:rsidR="00992479" w:rsidRPr="00992479" w:rsidRDefault="00992479" w:rsidP="00992479">
            <w:pPr>
              <w:spacing w:after="0" w:line="240" w:lineRule="auto"/>
              <w:rPr>
                <w:rFonts w:ascii="Arial" w:eastAsia="SimSun" w:hAnsi="Arial" w:cs="Arial"/>
                <w:lang w:val="en-GB" w:eastAsia="zh-CN"/>
              </w:rPr>
            </w:pPr>
            <w:r w:rsidRPr="00992479">
              <w:rPr>
                <w:rFonts w:ascii="Arial" w:eastAsia="SimSun" w:hAnsi="Arial" w:cs="Arial"/>
                <w:lang w:val="en-GB" w:eastAsia="zh-CN"/>
              </w:rPr>
              <w:t>Date:</w:t>
            </w:r>
          </w:p>
        </w:tc>
      </w:tr>
      <w:bookmarkEnd w:id="0"/>
    </w:tbl>
    <w:p w14:paraId="2F6F883E" w14:textId="77777777" w:rsidR="00992479" w:rsidRDefault="00992479" w:rsidP="002E3BDC">
      <w:pPr>
        <w:pStyle w:val="Heading1"/>
      </w:pPr>
    </w:p>
    <w:p w14:paraId="45CE879E" w14:textId="77777777" w:rsidR="00992479" w:rsidRDefault="00992479" w:rsidP="002E3BDC">
      <w:pPr>
        <w:pStyle w:val="Heading1"/>
      </w:pPr>
    </w:p>
    <w:p w14:paraId="65437F50" w14:textId="77777777" w:rsidR="00992479" w:rsidRDefault="00992479" w:rsidP="002E3BDC">
      <w:pPr>
        <w:pStyle w:val="Heading1"/>
      </w:pPr>
    </w:p>
    <w:p w14:paraId="3DF0FF9A" w14:textId="77777777" w:rsidR="00992479" w:rsidRDefault="00992479" w:rsidP="002E3BDC">
      <w:pPr>
        <w:pStyle w:val="Heading1"/>
      </w:pPr>
    </w:p>
    <w:p w14:paraId="1D682F1B" w14:textId="77777777" w:rsidR="00992479" w:rsidRDefault="00992479" w:rsidP="002E3BDC">
      <w:pPr>
        <w:pStyle w:val="Heading1"/>
      </w:pPr>
    </w:p>
    <w:p w14:paraId="0134B31B" w14:textId="77777777" w:rsidR="00992479" w:rsidRDefault="00992479" w:rsidP="002E3BDC">
      <w:pPr>
        <w:pStyle w:val="Heading1"/>
      </w:pPr>
    </w:p>
    <w:p w14:paraId="54E9265D" w14:textId="77777777" w:rsidR="00992479" w:rsidRDefault="00992479" w:rsidP="002E3BDC">
      <w:pPr>
        <w:pStyle w:val="Heading1"/>
      </w:pPr>
    </w:p>
    <w:p w14:paraId="1487BEA7" w14:textId="77777777" w:rsidR="00992479" w:rsidRDefault="00992479" w:rsidP="002E3BDC">
      <w:pPr>
        <w:pStyle w:val="Heading1"/>
      </w:pPr>
    </w:p>
    <w:p w14:paraId="2A81EE80" w14:textId="77777777" w:rsidR="00992479" w:rsidRDefault="00992479" w:rsidP="002E3BDC">
      <w:pPr>
        <w:pStyle w:val="Heading1"/>
      </w:pPr>
    </w:p>
    <w:p w14:paraId="14C94B3D" w14:textId="77777777" w:rsidR="00992479" w:rsidRDefault="00992479" w:rsidP="002E3BDC">
      <w:pPr>
        <w:pStyle w:val="Heading1"/>
      </w:pPr>
    </w:p>
    <w:p w14:paraId="14E78BB0" w14:textId="77777777" w:rsidR="00992479" w:rsidRDefault="00992479" w:rsidP="002E3BDC">
      <w:pPr>
        <w:pStyle w:val="Heading1"/>
      </w:pPr>
    </w:p>
    <w:p w14:paraId="5993AFC0" w14:textId="77777777" w:rsidR="00992479" w:rsidRDefault="00992479" w:rsidP="002E3BDC">
      <w:pPr>
        <w:pStyle w:val="Heading1"/>
      </w:pPr>
    </w:p>
    <w:p w14:paraId="17736077" w14:textId="77777777" w:rsidR="00992479" w:rsidRDefault="00992479" w:rsidP="002E3BDC">
      <w:pPr>
        <w:pStyle w:val="Heading1"/>
      </w:pPr>
    </w:p>
    <w:p w14:paraId="38CB2C8D" w14:textId="77777777" w:rsidR="00992479" w:rsidRDefault="00992479" w:rsidP="002E3BDC">
      <w:pPr>
        <w:pStyle w:val="Heading1"/>
      </w:pPr>
    </w:p>
    <w:p w14:paraId="65838DE9" w14:textId="77777777" w:rsidR="00992479" w:rsidRDefault="00992479" w:rsidP="002E3BDC">
      <w:pPr>
        <w:pStyle w:val="Heading1"/>
      </w:pPr>
    </w:p>
    <w:p w14:paraId="3D74970C" w14:textId="582E48C3" w:rsidR="00AB09B6" w:rsidRDefault="00992479" w:rsidP="002E3BDC">
      <w:pPr>
        <w:pStyle w:val="Heading1"/>
      </w:pPr>
      <w:r>
        <w:t xml:space="preserve">             </w:t>
      </w:r>
    </w:p>
    <w:p w14:paraId="28EFEC78" w14:textId="174F88E5" w:rsidR="00FE1A7F" w:rsidRDefault="00FE1A7F"/>
    <w:p w14:paraId="4604A3A6" w14:textId="7423DA48" w:rsidR="00992479" w:rsidRDefault="00992479" w:rsidP="00FE1A7F">
      <w:pPr>
        <w:pStyle w:val="Heading1"/>
      </w:pPr>
      <w:r>
        <w:t>A Critical Comparison of 2 Secondary Sources</w:t>
      </w:r>
    </w:p>
    <w:p w14:paraId="1E79FF6F" w14:textId="77777777" w:rsidR="00BA132A" w:rsidRPr="00BA132A" w:rsidRDefault="00BA132A" w:rsidP="00BA132A"/>
    <w:p w14:paraId="61436FBD" w14:textId="5B8630A2" w:rsidR="00FE1A7F" w:rsidRDefault="00FE1A7F" w:rsidP="00FE1A7F">
      <w:pPr>
        <w:pStyle w:val="Heading1"/>
      </w:pPr>
      <w:r>
        <w:t>Introduction</w:t>
      </w:r>
      <w:r w:rsidR="00B001AA">
        <w:t>:</w:t>
      </w:r>
    </w:p>
    <w:p w14:paraId="7046C12D" w14:textId="77777777" w:rsidR="00032B04" w:rsidRDefault="00032B04" w:rsidP="00FE1A7F"/>
    <w:p w14:paraId="38633C58" w14:textId="19EE913E" w:rsidR="005A0805" w:rsidRDefault="008E5607" w:rsidP="00FE1A7F">
      <w:r>
        <w:t xml:space="preserve">     </w:t>
      </w:r>
      <w:r w:rsidR="00FE1A7F">
        <w:t>This essay critically compares and contrasts two papers</w:t>
      </w:r>
      <w:r w:rsidR="00F7077E">
        <w:t>,</w:t>
      </w:r>
      <w:r w:rsidR="00F7077E" w:rsidRPr="00F7077E">
        <w:t xml:space="preserve"> </w:t>
      </w:r>
      <w:r w:rsidR="00F7077E">
        <w:t>T.L. Brink,</w:t>
      </w:r>
      <w:r w:rsidR="00FE1A7F">
        <w:t xml:space="preserve"> </w:t>
      </w:r>
      <w:r w:rsidR="008D0E6B">
        <w:t>'</w:t>
      </w:r>
      <w:r w:rsidR="00FE1A7F">
        <w:t>Inconsistency of Beliefs among Roman Catholic Girls:</w:t>
      </w:r>
      <w:r w:rsidR="00600100">
        <w:t xml:space="preserve"> Concerning</w:t>
      </w:r>
      <w:r w:rsidR="00FE1A7F">
        <w:t xml:space="preserve"> Religion, Astrology, and Reincarnation</w:t>
      </w:r>
      <w:r w:rsidR="008D0E6B">
        <w:t>,'</w:t>
      </w:r>
      <w:r w:rsidR="008D0E6B">
        <w:rPr>
          <w:rStyle w:val="FootnoteReference"/>
        </w:rPr>
        <w:footnoteReference w:id="1"/>
      </w:r>
      <w:r w:rsidR="00FE1A7F">
        <w:t xml:space="preserve"> and</w:t>
      </w:r>
      <w:r w:rsidR="00F7077E" w:rsidRPr="00F7077E">
        <w:t xml:space="preserve"> </w:t>
      </w:r>
      <w:r w:rsidR="00F7077E">
        <w:t>T. Walter and H. Waterhouse</w:t>
      </w:r>
      <w:r w:rsidR="00600100">
        <w:t>'s paper</w:t>
      </w:r>
      <w:r w:rsidR="00F7077E">
        <w:t>,</w:t>
      </w:r>
      <w:r w:rsidR="00FE1A7F">
        <w:t xml:space="preserve"> </w:t>
      </w:r>
      <w:r w:rsidR="008D0E6B">
        <w:t>'</w:t>
      </w:r>
      <w:r w:rsidR="00FE1A7F">
        <w:t>A Very Private Belief: Reincarnation in Contemporary England</w:t>
      </w:r>
      <w:r w:rsidR="008D0E6B">
        <w:t>,'</w:t>
      </w:r>
      <w:r w:rsidR="008D0E6B">
        <w:rPr>
          <w:rStyle w:val="FootnoteReference"/>
        </w:rPr>
        <w:footnoteReference w:id="2"/>
      </w:r>
      <w:r w:rsidR="006852AC">
        <w:t xml:space="preserve"> </w:t>
      </w:r>
      <w:r w:rsidR="00F7077E">
        <w:t xml:space="preserve">T.L Brinks is a social scientist, author, and </w:t>
      </w:r>
      <w:r w:rsidR="00A674A8">
        <w:t>P</w:t>
      </w:r>
      <w:r w:rsidR="00F7077E">
        <w:t xml:space="preserve">rofessor of </w:t>
      </w:r>
      <w:r w:rsidR="00A674A8">
        <w:t>P</w:t>
      </w:r>
      <w:r w:rsidR="00F7077E">
        <w:t>sychology at Cr</w:t>
      </w:r>
      <w:r w:rsidR="00600100">
        <w:t>a</w:t>
      </w:r>
      <w:r w:rsidR="00F7077E">
        <w:t>fton Hills College</w:t>
      </w:r>
      <w:r w:rsidR="00A674A8">
        <w:t>. His topics of interest include qualitative research methods and religious phenomena.</w:t>
      </w:r>
      <w:r w:rsidR="00F7077E">
        <w:rPr>
          <w:rStyle w:val="FootnoteReference"/>
        </w:rPr>
        <w:footnoteReference w:id="3"/>
      </w:r>
      <w:r w:rsidR="00F7077E">
        <w:t xml:space="preserve"> </w:t>
      </w:r>
      <w:r w:rsidR="001A21DC">
        <w:t>Tony Walter is a Professor of Death Studies at Bath University and</w:t>
      </w:r>
      <w:r w:rsidR="00600100">
        <w:t xml:space="preserve"> prior </w:t>
      </w:r>
      <w:r w:rsidR="001A21DC">
        <w:t>director of the Center for Death and Society at Bath University and Institute for Policy Research. He is an author and lecturer in death and modern society</w:t>
      </w:r>
      <w:r w:rsidR="007A5B45">
        <w:t>.</w:t>
      </w:r>
      <w:r w:rsidR="001A21DC">
        <w:rPr>
          <w:rStyle w:val="FootnoteReference"/>
        </w:rPr>
        <w:footnoteReference w:id="4"/>
      </w:r>
      <w:r w:rsidR="006852AC">
        <w:t xml:space="preserve"> Helen Waterhouse is a faculty member at the Open University Department of Religious Studies,</w:t>
      </w:r>
      <w:r w:rsidR="00600100">
        <w:t xml:space="preserve"> </w:t>
      </w:r>
      <w:r w:rsidR="002C028D">
        <w:t xml:space="preserve">author </w:t>
      </w:r>
      <w:r w:rsidR="00600100">
        <w:t xml:space="preserve">of a </w:t>
      </w:r>
      <w:r w:rsidR="002C028D">
        <w:t>book about Buddhism</w:t>
      </w:r>
      <w:r w:rsidR="007A5B45">
        <w:t>,</w:t>
      </w:r>
      <w:r w:rsidR="002C028D">
        <w:t xml:space="preserve"> and </w:t>
      </w:r>
      <w:r w:rsidR="006852AC">
        <w:t>a researcher and co-author of several research papers with Tony Walter.</w:t>
      </w:r>
      <w:r w:rsidR="006852AC">
        <w:rPr>
          <w:rStyle w:val="FootnoteReference"/>
        </w:rPr>
        <w:footnoteReference w:id="5"/>
      </w:r>
      <w:r w:rsidR="00B001AA">
        <w:t xml:space="preserve"> This essay will critically compare and contrast these papers in</w:t>
      </w:r>
      <w:r w:rsidR="003A4C87">
        <w:t xml:space="preserve"> the papers' audience,</w:t>
      </w:r>
      <w:r w:rsidR="00600100">
        <w:t xml:space="preserve"> </w:t>
      </w:r>
      <w:r w:rsidR="00B001AA">
        <w:t>methodology,</w:t>
      </w:r>
      <w:r w:rsidR="00600100">
        <w:t xml:space="preserve"> literature,</w:t>
      </w:r>
      <w:r w:rsidR="003A4C87">
        <w:t xml:space="preserve"> research trends, and researchers' insider/outsider position</w:t>
      </w:r>
      <w:r w:rsidR="00600100">
        <w:t xml:space="preserve"> as related to the</w:t>
      </w:r>
      <w:r w:rsidR="003A4C87">
        <w:t xml:space="preserve"> respective</w:t>
      </w:r>
      <w:r w:rsidR="00600100">
        <w:t xml:space="preserve"> project</w:t>
      </w:r>
      <w:r w:rsidR="003A4C87">
        <w:t>s</w:t>
      </w:r>
      <w:r w:rsidR="00600100">
        <w:t>.</w:t>
      </w:r>
    </w:p>
    <w:p w14:paraId="225B1A5E" w14:textId="4521AFD4" w:rsidR="00FE1A7F" w:rsidRDefault="00B001AA" w:rsidP="00FE1A7F">
      <w:r>
        <w:t xml:space="preserve">   </w:t>
      </w:r>
    </w:p>
    <w:p w14:paraId="03552AC2" w14:textId="3A45EC14" w:rsidR="00FE1A7F" w:rsidRDefault="00B001AA" w:rsidP="004501DE">
      <w:pPr>
        <w:pStyle w:val="Heading1"/>
      </w:pPr>
      <w:r>
        <w:t>The Papers</w:t>
      </w:r>
      <w:r w:rsidR="00FD5526">
        <w:t>'</w:t>
      </w:r>
      <w:r>
        <w:t xml:space="preserve"> Audience</w:t>
      </w:r>
      <w:r w:rsidR="00FD5526">
        <w:t>s</w:t>
      </w:r>
      <w:r w:rsidR="004501DE">
        <w:t>:</w:t>
      </w:r>
    </w:p>
    <w:p w14:paraId="48FB1708" w14:textId="77777777" w:rsidR="008E5607" w:rsidRPr="005F037F" w:rsidRDefault="008E5607" w:rsidP="004501DE">
      <w:pPr>
        <w:pStyle w:val="NoSpacing"/>
      </w:pPr>
    </w:p>
    <w:p w14:paraId="27834856" w14:textId="4F279880" w:rsidR="005A0805" w:rsidRDefault="005A0805" w:rsidP="00FE1A7F">
      <w:r>
        <w:t xml:space="preserve">     </w:t>
      </w:r>
      <w:r w:rsidR="00600100">
        <w:t>Brink's paper</w:t>
      </w:r>
      <w:r w:rsidR="007A5B45">
        <w:t>,</w:t>
      </w:r>
      <w:r w:rsidR="002C028D">
        <w:t xml:space="preserve"> published </w:t>
      </w:r>
      <w:r w:rsidR="008E5607">
        <w:t xml:space="preserve">in 1978 </w:t>
      </w:r>
      <w:r w:rsidR="00FE1A7F">
        <w:t xml:space="preserve">in the </w:t>
      </w:r>
      <w:r w:rsidR="00FE1A7F" w:rsidRPr="002C028D">
        <w:rPr>
          <w:i/>
          <w:iCs/>
        </w:rPr>
        <w:t>Society for Scientific Study of Religion</w:t>
      </w:r>
      <w:r w:rsidR="007A5B45">
        <w:rPr>
          <w:i/>
          <w:iCs/>
        </w:rPr>
        <w:t>,</w:t>
      </w:r>
      <w:r w:rsidR="007A5B45">
        <w:t xml:space="preserve"> meets the journal's mission to publish current</w:t>
      </w:r>
      <w:r w:rsidR="002C028D" w:rsidRPr="002C028D">
        <w:rPr>
          <w:rFonts w:ascii="Calibri" w:hAnsi="Calibri" w:cs="Calibri"/>
          <w:color w:val="000000"/>
          <w:spacing w:val="-5"/>
          <w:shd w:val="clear" w:color="auto" w:fill="FFFFFF"/>
        </w:rPr>
        <w:t xml:space="preserve"> scholarship on the role and impact of religion in today's world</w:t>
      </w:r>
      <w:r w:rsidR="002C028D">
        <w:rPr>
          <w:rFonts w:ascii="Helvetica" w:hAnsi="Helvetica"/>
          <w:color w:val="000000"/>
          <w:spacing w:val="-5"/>
          <w:shd w:val="clear" w:color="auto" w:fill="FFFFFF"/>
        </w:rPr>
        <w:t>.</w:t>
      </w:r>
      <w:r w:rsidR="002C028D">
        <w:rPr>
          <w:rStyle w:val="FootnoteReference"/>
          <w:rFonts w:ascii="Helvetica" w:hAnsi="Helvetica"/>
          <w:color w:val="000000"/>
          <w:spacing w:val="-5"/>
          <w:shd w:val="clear" w:color="auto" w:fill="FFFFFF"/>
        </w:rPr>
        <w:footnoteReference w:id="6"/>
      </w:r>
      <w:r w:rsidR="00FE1A7F">
        <w:t xml:space="preserve"> </w:t>
      </w:r>
      <w:r w:rsidR="00600100">
        <w:t xml:space="preserve"> </w:t>
      </w:r>
      <w:r w:rsidR="008E5607">
        <w:t>It is a qu</w:t>
      </w:r>
      <w:r w:rsidR="00897372">
        <w:t>antitative</w:t>
      </w:r>
      <w:r w:rsidR="008E5607">
        <w:t xml:space="preserve"> research project</w:t>
      </w:r>
      <w:r w:rsidR="00CF3113">
        <w:t>.</w:t>
      </w:r>
      <w:r w:rsidR="008E5607">
        <w:t xml:space="preserve"> </w:t>
      </w:r>
      <w:r w:rsidR="00600100">
        <w:t>Th</w:t>
      </w:r>
      <w:r w:rsidR="00600100">
        <w:t>e</w:t>
      </w:r>
      <w:r w:rsidR="00600100">
        <w:t xml:space="preserve"> audience</w:t>
      </w:r>
      <w:r w:rsidR="00600100">
        <w:t xml:space="preserve"> of this </w:t>
      </w:r>
      <w:r w:rsidR="00CF3113">
        <w:t>publication</w:t>
      </w:r>
      <w:r w:rsidR="00600100">
        <w:t xml:space="preserve"> </w:t>
      </w:r>
      <w:r w:rsidR="00CF3113">
        <w:t>is</w:t>
      </w:r>
      <w:r w:rsidR="00600100">
        <w:t xml:space="preserve"> social scientists and researcher</w:t>
      </w:r>
      <w:r w:rsidR="00600100">
        <w:t>s</w:t>
      </w:r>
      <w:r w:rsidR="008E5607">
        <w:t>.</w:t>
      </w:r>
      <w:r w:rsidR="00CF3113">
        <w:t xml:space="preserve"> This paper fits the publication's mission and the audience of scientific researchers of sociology and religion.  </w:t>
      </w:r>
      <w:r w:rsidR="00600100">
        <w:t xml:space="preserve"> </w:t>
      </w:r>
      <w:r w:rsidR="00CF3113">
        <w:t>Those interested in the in</w:t>
      </w:r>
      <w:r w:rsidR="00FD5526">
        <w:t>consistency</w:t>
      </w:r>
      <w:r w:rsidR="00CF3113">
        <w:t xml:space="preserve"> </w:t>
      </w:r>
      <w:r>
        <w:t xml:space="preserve">of </w:t>
      </w:r>
      <w:r w:rsidR="00CF3113">
        <w:t>adolescent beliefs may find this paper of interest.</w:t>
      </w:r>
    </w:p>
    <w:p w14:paraId="0221B6C6" w14:textId="34B71334" w:rsidR="00FD5526" w:rsidRDefault="005A0805" w:rsidP="00FE1A7F">
      <w:r>
        <w:t xml:space="preserve">     </w:t>
      </w:r>
      <w:r w:rsidR="002C028D">
        <w:t xml:space="preserve">Walter and </w:t>
      </w:r>
      <w:r w:rsidR="007A5B45">
        <w:t>Waterhouse's paper was</w:t>
      </w:r>
      <w:r w:rsidR="002C028D">
        <w:t xml:space="preserve"> published in the </w:t>
      </w:r>
      <w:r w:rsidR="002C028D" w:rsidRPr="002C028D">
        <w:rPr>
          <w:i/>
          <w:iCs/>
        </w:rPr>
        <w:t>Sociology of Religion</w:t>
      </w:r>
      <w:r w:rsidR="007A5B45">
        <w:rPr>
          <w:i/>
          <w:iCs/>
        </w:rPr>
        <w:t xml:space="preserve"> </w:t>
      </w:r>
      <w:r w:rsidR="002C028D">
        <w:t>in 1999</w:t>
      </w:r>
      <w:r w:rsidR="00FD5526">
        <w:t>. It is published</w:t>
      </w:r>
      <w:r w:rsidR="002C028D">
        <w:t xml:space="preserve"> </w:t>
      </w:r>
      <w:r w:rsidR="00CF3113">
        <w:t>19</w:t>
      </w:r>
      <w:r w:rsidR="002C028D">
        <w:t xml:space="preserve"> years later than Brink</w:t>
      </w:r>
      <w:r w:rsidR="007A5B45">
        <w:t>'</w:t>
      </w:r>
      <w:r w:rsidR="002C028D">
        <w:t xml:space="preserve">s </w:t>
      </w:r>
      <w:r w:rsidR="007A5B45">
        <w:t>p</w:t>
      </w:r>
      <w:r w:rsidR="00FD5526">
        <w:t>aper</w:t>
      </w:r>
      <w:r w:rsidR="002C028D">
        <w:t>.</w:t>
      </w:r>
      <w:r w:rsidR="007A5B45">
        <w:t xml:space="preserve"> In 1993, </w:t>
      </w:r>
      <w:r w:rsidR="007A5B45" w:rsidRPr="002C028D">
        <w:rPr>
          <w:i/>
          <w:iCs/>
        </w:rPr>
        <w:t>Sociology of Religion</w:t>
      </w:r>
      <w:r w:rsidR="007A5B45">
        <w:t xml:space="preserve"> </w:t>
      </w:r>
      <w:r w:rsidR="007A5B45">
        <w:t xml:space="preserve">was the new name given to </w:t>
      </w:r>
      <w:r w:rsidR="007A5B45" w:rsidRPr="007A5B45">
        <w:rPr>
          <w:i/>
          <w:iCs/>
        </w:rPr>
        <w:t>Sociological Analysis's</w:t>
      </w:r>
      <w:r w:rsidR="007A5B45">
        <w:t xml:space="preserve"> publication</w:t>
      </w:r>
      <w:r w:rsidR="007A5B45" w:rsidRPr="007A5B45">
        <w:rPr>
          <w:i/>
          <w:iCs/>
        </w:rPr>
        <w:t>.</w:t>
      </w:r>
      <w:r w:rsidR="00096C34">
        <w:rPr>
          <w:i/>
          <w:iCs/>
        </w:rPr>
        <w:t xml:space="preserve"> </w:t>
      </w:r>
      <w:r w:rsidR="007A5B45">
        <w:t>This journal</w:t>
      </w:r>
      <w:r w:rsidR="002C028D">
        <w:t xml:space="preserve"> promo</w:t>
      </w:r>
      <w:r w:rsidR="007A5B45">
        <w:t xml:space="preserve">tes </w:t>
      </w:r>
      <w:r w:rsidR="002C028D">
        <w:t xml:space="preserve">scholarship </w:t>
      </w:r>
      <w:r w:rsidR="007A5B45">
        <w:t>and</w:t>
      </w:r>
      <w:r w:rsidR="002C028D">
        <w:t xml:space="preserve"> sociological research in religion.</w:t>
      </w:r>
      <w:r w:rsidR="007A5B45">
        <w:rPr>
          <w:rStyle w:val="FootnoteReference"/>
        </w:rPr>
        <w:footnoteReference w:id="7"/>
      </w:r>
      <w:r w:rsidR="007A5B45">
        <w:t xml:space="preserve"> </w:t>
      </w:r>
      <w:r w:rsidR="002C028D">
        <w:t xml:space="preserve"> The audience for Walter and Waterhouse </w:t>
      </w:r>
      <w:r w:rsidR="007A5B45">
        <w:t xml:space="preserve">are </w:t>
      </w:r>
      <w:r w:rsidR="002C028D">
        <w:t>scholars of sociology and religion</w:t>
      </w:r>
      <w:r w:rsidR="00CF3113">
        <w:t xml:space="preserve"> by publication type</w:t>
      </w:r>
      <w:r w:rsidR="002C028D">
        <w:t xml:space="preserve"> and </w:t>
      </w:r>
      <w:r w:rsidR="007A5B45">
        <w:t>those interested</w:t>
      </w:r>
      <w:r w:rsidR="002C028D">
        <w:t xml:space="preserve"> in spirituality, death</w:t>
      </w:r>
      <w:r w:rsidR="00CF3113">
        <w:t>, or Buddhism</w:t>
      </w:r>
      <w:r w:rsidR="007A5B45">
        <w:t xml:space="preserve"> as afforded by the authors' </w:t>
      </w:r>
      <w:r w:rsidR="00CF3113">
        <w:t>professional</w:t>
      </w:r>
      <w:r w:rsidR="007A5B45">
        <w:t xml:space="preserve"> interests</w:t>
      </w:r>
      <w:r w:rsidR="002C028D">
        <w:t>.</w:t>
      </w:r>
      <w:r w:rsidR="007A5B45">
        <w:t xml:space="preserve"> Those interested in reincarnation researched using qualitative methods</w:t>
      </w:r>
      <w:r w:rsidR="00FD5526">
        <w:t xml:space="preserve"> may</w:t>
      </w:r>
      <w:r w:rsidR="007A5B45">
        <w:t xml:space="preserve"> have interest in this paper.</w:t>
      </w:r>
      <w:r w:rsidR="002C028D">
        <w:t xml:space="preserve"> </w:t>
      </w:r>
    </w:p>
    <w:p w14:paraId="4151BB68" w14:textId="67152836" w:rsidR="008F0985" w:rsidRDefault="00FD5526" w:rsidP="00FD5526">
      <w:pPr>
        <w:pStyle w:val="Heading1"/>
      </w:pPr>
      <w:r>
        <w:lastRenderedPageBreak/>
        <w:t>Similarities</w:t>
      </w:r>
      <w:r w:rsidR="00992479">
        <w:t>,</w:t>
      </w:r>
      <w:r>
        <w:t xml:space="preserve"> Differences and Trends of the Time of Publication</w:t>
      </w:r>
      <w:r w:rsidR="008F0985">
        <w:t>:</w:t>
      </w:r>
    </w:p>
    <w:p w14:paraId="0AF5A915" w14:textId="1802DFD5" w:rsidR="00FD5526" w:rsidRDefault="00FD5526" w:rsidP="00FD5526">
      <w:pPr>
        <w:pStyle w:val="Heading1"/>
      </w:pPr>
      <w:r>
        <w:t xml:space="preserve"> </w:t>
      </w:r>
    </w:p>
    <w:p w14:paraId="36A6FD64" w14:textId="4D4826CB" w:rsidR="002C028D" w:rsidRDefault="00A1347C" w:rsidP="00FE1A7F">
      <w:r>
        <w:t xml:space="preserve">     </w:t>
      </w:r>
      <w:r w:rsidR="007A5B45">
        <w:t>Both papers use reincarnation as a</w:t>
      </w:r>
      <w:r w:rsidR="00A8309F">
        <w:t xml:space="preserve"> common</w:t>
      </w:r>
      <w:r w:rsidR="007A5B45">
        <w:t xml:space="preserve"> theme </w:t>
      </w:r>
      <w:r w:rsidR="00A8309F">
        <w:t>in</w:t>
      </w:r>
      <w:r w:rsidR="007A5B45">
        <w:t xml:space="preserve"> investigating the beliefs</w:t>
      </w:r>
      <w:r w:rsidR="00FD5526">
        <w:t xml:space="preserve"> of their respective populations</w:t>
      </w:r>
      <w:r w:rsidR="007A5B45">
        <w:t>. Brink's</w:t>
      </w:r>
      <w:r w:rsidR="004501DE">
        <w:t xml:space="preserve"> research </w:t>
      </w:r>
      <w:r w:rsidR="007A5B45">
        <w:t>question</w:t>
      </w:r>
      <w:r w:rsidR="00FD5526">
        <w:t xml:space="preserve"> investigates the consistency of beliefs</w:t>
      </w:r>
      <w:r w:rsidR="007A5B45">
        <w:t xml:space="preserve"> </w:t>
      </w:r>
      <w:r w:rsidR="00FD5526">
        <w:t>between</w:t>
      </w:r>
      <w:r w:rsidR="007A5B45">
        <w:t xml:space="preserve"> reincarnation, </w:t>
      </w:r>
      <w:r w:rsidR="00FD5526">
        <w:t>religion</w:t>
      </w:r>
      <w:r w:rsidR="007A5B45">
        <w:t>, and astrology in Roman Catholic School Girls.</w:t>
      </w:r>
      <w:r w:rsidR="007A5B45">
        <w:rPr>
          <w:rStyle w:val="FootnoteReference"/>
        </w:rPr>
        <w:footnoteReference w:id="8"/>
      </w:r>
      <w:r w:rsidR="007A5B45">
        <w:t xml:space="preserve"> Walter and Waterhouse explore a population of English people to investigate their belief</w:t>
      </w:r>
      <w:r w:rsidR="00FD5526">
        <w:t xml:space="preserve"> in reincarnation</w:t>
      </w:r>
      <w:r w:rsidR="00614587">
        <w:t xml:space="preserve"> and use a qualitative methodology.</w:t>
      </w:r>
      <w:r w:rsidR="00614587">
        <w:rPr>
          <w:rStyle w:val="FootnoteReference"/>
        </w:rPr>
        <w:footnoteReference w:id="9"/>
      </w:r>
      <w:r w:rsidR="00614587">
        <w:t xml:space="preserve"> </w:t>
      </w:r>
      <w:r w:rsidR="00CF3113">
        <w:t>They divide the investigative findings of reincarnation into the categories of</w:t>
      </w:r>
      <w:r w:rsidR="00FD5526">
        <w:t xml:space="preserve"> meaning, religious association,</w:t>
      </w:r>
      <w:r w:rsidR="007A5B45">
        <w:t xml:space="preserve"> </w:t>
      </w:r>
      <w:r w:rsidR="00FD5526">
        <w:t>nature</w:t>
      </w:r>
      <w:r w:rsidR="007A5B45">
        <w:t xml:space="preserve">, </w:t>
      </w:r>
      <w:r w:rsidR="00FD5526">
        <w:t>source, and</w:t>
      </w:r>
      <w:r w:rsidR="00CF3113">
        <w:t xml:space="preserve"> the</w:t>
      </w:r>
      <w:r w:rsidR="00FD5526">
        <w:t xml:space="preserve"> </w:t>
      </w:r>
      <w:r w:rsidR="007A5B45">
        <w:t>effects of</w:t>
      </w:r>
      <w:r w:rsidR="004501DE">
        <w:t xml:space="preserve"> </w:t>
      </w:r>
      <w:r w:rsidR="007A5B45">
        <w:t>belief in reincarnation.</w:t>
      </w:r>
      <w:r w:rsidR="007A5B45">
        <w:rPr>
          <w:rStyle w:val="FootnoteReference"/>
        </w:rPr>
        <w:footnoteReference w:id="10"/>
      </w:r>
      <w:r w:rsidR="007A5B45">
        <w:t xml:space="preserve"> </w:t>
      </w:r>
      <w:r w:rsidR="004501DE">
        <w:t xml:space="preserve"> The methodologies of the </w:t>
      </w:r>
      <w:r w:rsidR="008D0E6B">
        <w:t>two</w:t>
      </w:r>
      <w:r w:rsidR="004501DE">
        <w:t xml:space="preserve"> papers differ. </w:t>
      </w:r>
      <w:r w:rsidR="00FD5526">
        <w:t>Brink's</w:t>
      </w:r>
      <w:r w:rsidR="00FD5526">
        <w:t xml:space="preserve"> paper has a scientific style and uses quantitative methodology</w:t>
      </w:r>
      <w:r w:rsidR="00FD5526">
        <w:t>.</w:t>
      </w:r>
      <w:r w:rsidR="00CF3113">
        <w:rPr>
          <w:rStyle w:val="FootnoteReference"/>
        </w:rPr>
        <w:footnoteReference w:id="11"/>
      </w:r>
      <w:r w:rsidR="00FD5526">
        <w:t xml:space="preserve"> </w:t>
      </w:r>
      <w:r w:rsidR="003B002C">
        <w:t>The period of the 1960-70 s appears to be a time of change and evolution in research methodology and ethics.</w:t>
      </w:r>
      <w:r w:rsidR="003B002C">
        <w:rPr>
          <w:rStyle w:val="FootnoteReference"/>
        </w:rPr>
        <w:footnoteReference w:id="12"/>
      </w:r>
      <w:r w:rsidR="003B002C">
        <w:t xml:space="preserve"> </w:t>
      </w:r>
      <w:r w:rsidR="00FD5526">
        <w:t xml:space="preserve"> Paul Filmer, Michael Phillipson, David Silverman, and David Walsh discuss </w:t>
      </w:r>
      <w:r w:rsidR="006E2A0E">
        <w:t>the</w:t>
      </w:r>
      <w:r w:rsidR="00FD5526">
        <w:t xml:space="preserve"> phenomenological approach to sociology in their book written in 1972. The authors explain the book's aims as an analysis of sociology and 'a radical re-orientation of sociology… with a primary feature…the adoption of phenomenological perspective.'</w:t>
      </w:r>
      <w:r w:rsidR="00FD5526">
        <w:rPr>
          <w:rStyle w:val="FootnoteReference"/>
        </w:rPr>
        <w:footnoteReference w:id="13"/>
      </w:r>
      <w:r w:rsidR="00FD5526">
        <w:t xml:space="preserve">   Th</w:t>
      </w:r>
      <w:r w:rsidR="00710984">
        <w:t xml:space="preserve">is change is suggested by the </w:t>
      </w:r>
      <w:r w:rsidR="00FD5526">
        <w:t>qua</w:t>
      </w:r>
      <w:r w:rsidR="00710984">
        <w:t>litative sociological</w:t>
      </w:r>
      <w:r w:rsidR="00FD5526">
        <w:t xml:space="preserve"> stud</w:t>
      </w:r>
      <w:r w:rsidR="00710984">
        <w:t>y</w:t>
      </w:r>
      <w:r w:rsidR="00FD5526">
        <w:t xml:space="preserve"> </w:t>
      </w:r>
      <w:r w:rsidR="00FD5526">
        <w:t>in the paper by Walter and Waterhouse published in 1999</w:t>
      </w:r>
      <w:r w:rsidR="00FD5526">
        <w:t xml:space="preserve">. </w:t>
      </w:r>
      <w:r w:rsidR="00710984">
        <w:t>However, ethics and informed consent are missing in both papers</w:t>
      </w:r>
      <w:r w:rsidR="00A46F41">
        <w:t>.</w:t>
      </w:r>
      <w:r w:rsidR="00FD5526">
        <w:t xml:space="preserve"> </w:t>
      </w:r>
      <w:r w:rsidR="002C028D">
        <w:t xml:space="preserve">  </w:t>
      </w:r>
    </w:p>
    <w:p w14:paraId="64050C8A" w14:textId="77777777" w:rsidR="00BB6EED" w:rsidRDefault="00BB6EED" w:rsidP="00FE1A7F"/>
    <w:p w14:paraId="7AE273D9" w14:textId="2EB5D956" w:rsidR="004501DE" w:rsidRDefault="004501DE" w:rsidP="00582D05">
      <w:pPr>
        <w:pStyle w:val="Heading1"/>
      </w:pPr>
      <w:r>
        <w:t>Methodology:</w:t>
      </w:r>
    </w:p>
    <w:p w14:paraId="6F86DDD6" w14:textId="77777777" w:rsidR="00582D05" w:rsidRPr="00582D05" w:rsidRDefault="00582D05" w:rsidP="00582D05"/>
    <w:p w14:paraId="399AE78E" w14:textId="027F0BCA" w:rsidR="008D5375" w:rsidRDefault="00582D05" w:rsidP="004501DE">
      <w:r>
        <w:t xml:space="preserve">     </w:t>
      </w:r>
      <w:r w:rsidR="008D0E6B">
        <w:t>Brink</w:t>
      </w:r>
      <w:r w:rsidR="00A93D8B">
        <w:t>'s</w:t>
      </w:r>
      <w:r w:rsidR="008D0E6B">
        <w:t xml:space="preserve"> paper uses a quantitative methodology. He administers a questionnaire </w:t>
      </w:r>
      <w:r w:rsidR="00A93D8B">
        <w:t xml:space="preserve">of </w:t>
      </w:r>
      <w:r w:rsidR="008D0E6B">
        <w:t xml:space="preserve">14 questions that examine belief in astrology and reincarnation to girls in a Catholic High School </w:t>
      </w:r>
      <w:r w:rsidR="00FD5526">
        <w:t>in their</w:t>
      </w:r>
      <w:r w:rsidR="008D0E6B">
        <w:t xml:space="preserve"> junior or senior year (about 14-18 years of age).</w:t>
      </w:r>
      <w:r w:rsidR="008D0E6B">
        <w:rPr>
          <w:rStyle w:val="FootnoteReference"/>
        </w:rPr>
        <w:footnoteReference w:id="14"/>
      </w:r>
      <w:r w:rsidR="008D0E6B">
        <w:t xml:space="preserve"> </w:t>
      </w:r>
      <w:r w:rsidR="00A93D8B">
        <w:t>There is no in</w:t>
      </w:r>
      <w:r>
        <w:t>troduction</w:t>
      </w:r>
      <w:r w:rsidR="00A93D8B">
        <w:t xml:space="preserve"> about how or why he chose this group. He appears to assume </w:t>
      </w:r>
      <w:r w:rsidR="008D0E6B">
        <w:t xml:space="preserve">that they are believers </w:t>
      </w:r>
      <w:r w:rsidR="00A93D8B">
        <w:t>in and</w:t>
      </w:r>
      <w:r w:rsidR="008D0E6B">
        <w:t xml:space="preserve"> </w:t>
      </w:r>
      <w:r w:rsidR="00A93D8B">
        <w:t>practice</w:t>
      </w:r>
      <w:r w:rsidR="00FD5526">
        <w:t xml:space="preserve"> </w:t>
      </w:r>
      <w:r w:rsidR="008D0E6B">
        <w:t>Catholicism b</w:t>
      </w:r>
      <w:r w:rsidR="00A93D8B">
        <w:t>ecause they are in a Catholic High School. There is no information d</w:t>
      </w:r>
      <w:r w:rsidR="00A93D8B">
        <w:t xml:space="preserve">isclosure about informed consent, parental permission, the </w:t>
      </w:r>
      <w:r w:rsidR="00A93D8B">
        <w:t>school</w:t>
      </w:r>
      <w:r w:rsidR="00A93D8B">
        <w:t xml:space="preserve"> and researcher's role in maintaining confidentiality, </w:t>
      </w:r>
      <w:r>
        <w:t xml:space="preserve">privacy, </w:t>
      </w:r>
      <w:r w:rsidR="00A93D8B">
        <w:t>and the students'</w:t>
      </w:r>
      <w:r w:rsidR="00A93D8B">
        <w:t xml:space="preserve"> and parental</w:t>
      </w:r>
      <w:r w:rsidR="00A93D8B">
        <w:t xml:space="preserve"> right</w:t>
      </w:r>
      <w:r>
        <w:t xml:space="preserve"> to consent or withdraw from p</w:t>
      </w:r>
      <w:r w:rsidR="00A93D8B">
        <w:t>articip</w:t>
      </w:r>
      <w:r>
        <w:t xml:space="preserve">ation. </w:t>
      </w:r>
      <w:r w:rsidR="00A93D8B" w:rsidRPr="00A93D8B">
        <w:t xml:space="preserve"> </w:t>
      </w:r>
      <w:r w:rsidR="00A93D8B">
        <w:t>All who attended the class that day received a questionnaire.</w:t>
      </w:r>
      <w:r w:rsidR="00A93D8B">
        <w:t xml:space="preserve"> </w:t>
      </w:r>
      <w:r w:rsidR="00A93D8B">
        <w:rPr>
          <w:rStyle w:val="FootnoteReference"/>
        </w:rPr>
        <w:footnoteReference w:id="15"/>
      </w:r>
      <w:r w:rsidR="00A93D8B">
        <w:t xml:space="preserve"> </w:t>
      </w:r>
      <w:r w:rsidR="00A93D8B">
        <w:t xml:space="preserve"> In discussing participant's rights, Guillemin and Gillian discuss the importance of ethics in research, the individual's right to give or refuse to consent to participate, informed consent, and reflexivity on the researcher's part to not use others for their own purposes...</w:t>
      </w:r>
      <w:r w:rsidR="00A93D8B">
        <w:rPr>
          <w:rStyle w:val="FootnoteReference"/>
        </w:rPr>
        <w:footnoteReference w:id="16"/>
      </w:r>
      <w:r w:rsidR="00A93D8B">
        <w:t xml:space="preserve">  </w:t>
      </w:r>
      <w:r w:rsidR="00A93D8B">
        <w:t>His literature review, mainly from the 1940-</w:t>
      </w:r>
      <w:r>
        <w:t xml:space="preserve">the </w:t>
      </w:r>
      <w:r w:rsidR="00A93D8B">
        <w:t>60s</w:t>
      </w:r>
      <w:r>
        <w:t>,</w:t>
      </w:r>
      <w:r w:rsidR="00A93D8B">
        <w:t xml:space="preserve"> is focused on </w:t>
      </w:r>
      <w:r>
        <w:t>theories and factors</w:t>
      </w:r>
      <w:r w:rsidR="00A93D8B">
        <w:t xml:space="preserve"> that 'encourage cognitive consistency or account for its absence</w:t>
      </w:r>
      <w:r>
        <w:t>.</w:t>
      </w:r>
      <w:r w:rsidR="00A93D8B">
        <w:t>'</w:t>
      </w:r>
      <w:r>
        <w:rPr>
          <w:rStyle w:val="FootnoteReference"/>
        </w:rPr>
        <w:footnoteReference w:id="17"/>
      </w:r>
      <w:r>
        <w:t xml:space="preserve"> He </w:t>
      </w:r>
      <w:r w:rsidR="002E3BDC">
        <w:t>argues</w:t>
      </w:r>
      <w:r>
        <w:t xml:space="preserve"> </w:t>
      </w:r>
      <w:r w:rsidR="00A93D8B">
        <w:t>his</w:t>
      </w:r>
      <w:r w:rsidR="00A93D8B">
        <w:t xml:space="preserve"> hypothesi</w:t>
      </w:r>
      <w:r w:rsidR="00A93D8B">
        <w:t>s</w:t>
      </w:r>
      <w:r>
        <w:t xml:space="preserve"> by</w:t>
      </w:r>
      <w:r w:rsidR="00A93D8B">
        <w:t xml:space="preserve"> </w:t>
      </w:r>
      <w:r>
        <w:t>surveying</w:t>
      </w:r>
      <w:r w:rsidR="00A93D8B">
        <w:t xml:space="preserve"> adolescent girls</w:t>
      </w:r>
      <w:r>
        <w:t xml:space="preserve"> that</w:t>
      </w:r>
      <w:r w:rsidR="00FD5526">
        <w:t xml:space="preserve"> '</w:t>
      </w:r>
      <w:r w:rsidR="00A93D8B">
        <w:t>will show…acceptance of only one of these … beliefs (Roman Catholic, astrology, reincarnation) accompanied by a rejection of the others.'</w:t>
      </w:r>
      <w:r w:rsidR="00A93D8B">
        <w:rPr>
          <w:rStyle w:val="FootnoteReference"/>
        </w:rPr>
        <w:footnoteReference w:id="18"/>
      </w:r>
      <w:r w:rsidR="00A93D8B">
        <w:t xml:space="preserve"> </w:t>
      </w:r>
      <w:r w:rsidR="00A93D8B">
        <w:t xml:space="preserve"> There is no</w:t>
      </w:r>
      <w:r w:rsidR="008D0E6B">
        <w:t xml:space="preserve"> defin</w:t>
      </w:r>
      <w:r w:rsidR="00A93D8B">
        <w:t>ition or discussion of</w:t>
      </w:r>
      <w:r w:rsidR="008D0E6B">
        <w:t xml:space="preserve"> astrology</w:t>
      </w:r>
      <w:r w:rsidR="00FD5526">
        <w:t>, reincarnation,</w:t>
      </w:r>
      <w:r w:rsidR="00A93D8B">
        <w:t xml:space="preserve"> or citation regarding these topics. Comments about</w:t>
      </w:r>
      <w:r w:rsidR="008D0E6B">
        <w:t xml:space="preserve"> astrology and reincarnation</w:t>
      </w:r>
      <w:r w:rsidR="00167809">
        <w:t>,</w:t>
      </w:r>
      <w:r w:rsidR="008D0E6B">
        <w:t xml:space="preserve"> </w:t>
      </w:r>
      <w:r w:rsidR="00167809">
        <w:t xml:space="preserve">and </w:t>
      </w:r>
      <w:r w:rsidR="00001543">
        <w:t xml:space="preserve">fatalism </w:t>
      </w:r>
      <w:r w:rsidR="00A93D8B">
        <w:t>are</w:t>
      </w:r>
      <w:r w:rsidR="00001543">
        <w:t xml:space="preserve"> not substantiated</w:t>
      </w:r>
      <w:r w:rsidR="00167809">
        <w:t>. T</w:t>
      </w:r>
      <w:r w:rsidR="008D0E6B">
        <w:t xml:space="preserve">he </w:t>
      </w:r>
      <w:r w:rsidR="00B001AA">
        <w:t>phrase</w:t>
      </w:r>
      <w:r w:rsidR="008D0E6B">
        <w:t xml:space="preserve"> "whatever fatalism"</w:t>
      </w:r>
      <w:r w:rsidR="00A93D8B">
        <w:t xml:space="preserve"> in his description of astrology and reincarnation</w:t>
      </w:r>
      <w:r w:rsidR="008D0E6B">
        <w:t xml:space="preserve"> gives a sense of bias on the </w:t>
      </w:r>
      <w:r w:rsidR="008D5375">
        <w:lastRenderedPageBreak/>
        <w:t>researcher's part</w:t>
      </w:r>
      <w:r w:rsidR="008D0E6B">
        <w:t>.</w:t>
      </w:r>
      <w:r w:rsidR="008D0E6B">
        <w:rPr>
          <w:rStyle w:val="FootnoteReference"/>
        </w:rPr>
        <w:footnoteReference w:id="19"/>
      </w:r>
      <w:r w:rsidR="00001543">
        <w:t xml:space="preserve"> </w:t>
      </w:r>
      <w:r w:rsidR="006D1840">
        <w:t xml:space="preserve">Perhaps the details </w:t>
      </w:r>
      <w:r w:rsidR="00A93D8B">
        <w:t>of</w:t>
      </w:r>
      <w:r w:rsidR="006D1840">
        <w:t xml:space="preserve"> participant</w:t>
      </w:r>
      <w:r w:rsidR="008D5375">
        <w:t>s'</w:t>
      </w:r>
      <w:r w:rsidR="006D1840">
        <w:t xml:space="preserve"> rights and confidentiality were done and not included in the publication.</w:t>
      </w:r>
      <w:r w:rsidR="00A93D8B">
        <w:t xml:space="preserve"> The lack of information about informed consent and</w:t>
      </w:r>
      <w:r w:rsidR="006D1840">
        <w:t xml:space="preserve"> ethics</w:t>
      </w:r>
      <w:r w:rsidR="00A93D8B">
        <w:t xml:space="preserve"> in practice and lack of privacy in surveying the students in the classroom reflects a </w:t>
      </w:r>
      <w:r w:rsidR="00FD5526">
        <w:t xml:space="preserve">lack of ethics in </w:t>
      </w:r>
      <w:r w:rsidR="00A93D8B">
        <w:t>methodology that would not be employed with modern standards.</w:t>
      </w:r>
      <w:r w:rsidR="00FD5526">
        <w:rPr>
          <w:rStyle w:val="FootnoteReference"/>
        </w:rPr>
        <w:footnoteReference w:id="20"/>
      </w:r>
      <w:r w:rsidR="006D1840">
        <w:t xml:space="preserve"> Information about the ethnicity and locality of the participants was generalized and not used in the resulting analysis.</w:t>
      </w:r>
      <w:r w:rsidR="00FD5526">
        <w:rPr>
          <w:rStyle w:val="FootnoteReference"/>
        </w:rPr>
        <w:footnoteReference w:id="21"/>
      </w:r>
      <w:r w:rsidR="006D1840">
        <w:t xml:space="preserve"> The findings of the data did not prove Brink</w:t>
      </w:r>
      <w:r w:rsidR="008D5375">
        <w:t>'</w:t>
      </w:r>
      <w:r w:rsidR="006D1840">
        <w:t>s hypothesis</w:t>
      </w:r>
      <w:r w:rsidR="008D5375">
        <w:t>.</w:t>
      </w:r>
      <w:r w:rsidR="00167809">
        <w:rPr>
          <w:rStyle w:val="FootnoteReference"/>
        </w:rPr>
        <w:footnoteReference w:id="22"/>
      </w:r>
      <w:r w:rsidR="008D5375">
        <w:t xml:space="preserve"> He uses </w:t>
      </w:r>
      <w:r w:rsidR="00A93D8B">
        <w:t>his</w:t>
      </w:r>
      <w:r w:rsidR="008D5375">
        <w:t xml:space="preserve"> </w:t>
      </w:r>
      <w:r w:rsidR="00A93D8B">
        <w:t xml:space="preserve">failed hypothesis by citing studies of the 1960-the 70s to show a connection of his results to the </w:t>
      </w:r>
      <w:r w:rsidR="00A46F41">
        <w:t xml:space="preserve"> 1970s contemporary </w:t>
      </w:r>
      <w:r w:rsidR="00A93D8B">
        <w:t>social and cultural</w:t>
      </w:r>
      <w:r w:rsidR="00A46F41">
        <w:t xml:space="preserve"> </w:t>
      </w:r>
      <w:r w:rsidR="00A93D8B">
        <w:t>literature rather than the initial cognitive and behavioral literature review of the 1940-60s.</w:t>
      </w:r>
      <w:r w:rsidR="00531A17">
        <w:rPr>
          <w:rStyle w:val="FootnoteReference"/>
        </w:rPr>
        <w:footnoteReference w:id="23"/>
      </w:r>
      <w:r w:rsidR="006D1840">
        <w:t xml:space="preserve"> Brink </w:t>
      </w:r>
      <w:r w:rsidR="00531A17">
        <w:t>makes a case for further research on</w:t>
      </w:r>
      <w:r w:rsidR="006D1840">
        <w:t xml:space="preserve"> adolescents and belief in astrology</w:t>
      </w:r>
      <w:r w:rsidR="0084288C">
        <w:t xml:space="preserve">, </w:t>
      </w:r>
      <w:r w:rsidR="006D1840">
        <w:t>reincarnation</w:t>
      </w:r>
      <w:r w:rsidR="008D5375">
        <w:t>,</w:t>
      </w:r>
      <w:r w:rsidR="006D1840">
        <w:t xml:space="preserve"> or belief inconsistency.</w:t>
      </w:r>
      <w:r w:rsidR="006D1840">
        <w:rPr>
          <w:rStyle w:val="FootnoteReference"/>
        </w:rPr>
        <w:footnoteReference w:id="24"/>
      </w:r>
      <w:r w:rsidR="006D1840">
        <w:t xml:space="preserve">  </w:t>
      </w:r>
      <w:r w:rsidR="0094524C">
        <w:t>The results of the study position the res</w:t>
      </w:r>
      <w:r w:rsidR="00A46F41">
        <w:t>earch project</w:t>
      </w:r>
      <w:r w:rsidR="0094524C">
        <w:t xml:space="preserve"> well outside</w:t>
      </w:r>
      <w:r w:rsidR="00A46F41">
        <w:t xml:space="preserve"> </w:t>
      </w:r>
      <w:r w:rsidR="0094524C">
        <w:t>the larger academic framework</w:t>
      </w:r>
      <w:r w:rsidR="00531A17">
        <w:t xml:space="preserve"> that he cites</w:t>
      </w:r>
      <w:r w:rsidR="0094524C">
        <w:t>.</w:t>
      </w:r>
      <w:r w:rsidR="00A46F41">
        <w:t xml:space="preserve"> However, it does </w:t>
      </w:r>
      <w:r w:rsidR="00531A17">
        <w:t>suggest</w:t>
      </w:r>
      <w:r w:rsidR="00A46F41">
        <w:t xml:space="preserve"> a need for a bridge from the older </w:t>
      </w:r>
      <w:r w:rsidR="00531A17">
        <w:t xml:space="preserve">research </w:t>
      </w:r>
      <w:r w:rsidR="00A46F41">
        <w:t>style to a more modern approach.</w:t>
      </w:r>
      <w:r w:rsidR="00531A17">
        <w:t xml:space="preserve"> W</w:t>
      </w:r>
      <w:r w:rsidR="0094524C">
        <w:t xml:space="preserve">alter and Waterhouse do that in their </w:t>
      </w:r>
      <w:r w:rsidR="00A46F41">
        <w:t>research</w:t>
      </w:r>
      <w:r w:rsidR="0094524C">
        <w:t xml:space="preserve"> using qualitative methodology. </w:t>
      </w:r>
      <w:r w:rsidR="002153E1">
        <w:t xml:space="preserve">Comparing these papers invite thoughts on how interviews or narrative data might give a deeper insight into </w:t>
      </w:r>
      <w:r w:rsidR="002D5A7F">
        <w:t xml:space="preserve">survey </w:t>
      </w:r>
      <w:r w:rsidR="00A46F41">
        <w:t xml:space="preserve">responses. </w:t>
      </w:r>
      <w:r w:rsidR="002D5A7F">
        <w:t xml:space="preserve"> According to Bryman</w:t>
      </w:r>
      <w:r w:rsidR="008D5375">
        <w:t>,</w:t>
      </w:r>
      <w:r w:rsidR="002D5A7F">
        <w:t xml:space="preserve"> </w:t>
      </w:r>
      <w:r w:rsidR="0084288C">
        <w:t>quantitative methods are suitable for testing</w:t>
      </w:r>
      <w:r w:rsidR="008D5375">
        <w:t xml:space="preserve">' </w:t>
      </w:r>
      <w:r w:rsidR="0084288C">
        <w:t>preformulated theory</w:t>
      </w:r>
      <w:r w:rsidR="008D5375">
        <w:t>'</w:t>
      </w:r>
      <w:r w:rsidR="0084288C">
        <w:t>.</w:t>
      </w:r>
      <w:r w:rsidR="0084288C">
        <w:rPr>
          <w:rStyle w:val="FootnoteReference"/>
        </w:rPr>
        <w:footnoteReference w:id="25"/>
      </w:r>
      <w:r w:rsidR="0084288C">
        <w:t xml:space="preserve"> </w:t>
      </w:r>
      <w:r w:rsidR="00A93D8B">
        <w:t xml:space="preserve"> The lack of attention </w:t>
      </w:r>
      <w:r w:rsidR="002153E1">
        <w:t>to</w:t>
      </w:r>
      <w:r w:rsidR="00A93D8B">
        <w:t xml:space="preserve"> participants' privacy and rights makes this methodology a poor choice for replication</w:t>
      </w:r>
      <w:r w:rsidR="002153E1">
        <w:t>, although the results were informative</w:t>
      </w:r>
      <w:r w:rsidR="00A93D8B">
        <w:t>.</w:t>
      </w:r>
      <w:r w:rsidR="008D5375">
        <w:t xml:space="preserve"> The following paper demonstrates a qualitative methodology in sociological research. </w:t>
      </w:r>
    </w:p>
    <w:p w14:paraId="399477B9" w14:textId="0B325375" w:rsidR="00276C29" w:rsidRDefault="00BA132A" w:rsidP="004501DE">
      <w:r>
        <w:t xml:space="preserve">     </w:t>
      </w:r>
      <w:r w:rsidR="00992479">
        <w:t xml:space="preserve"> </w:t>
      </w:r>
      <w:r w:rsidR="008D5375">
        <w:t xml:space="preserve">Walter and Waterhouse examine reincarnation in western society and </w:t>
      </w:r>
      <w:r w:rsidR="002153E1">
        <w:t xml:space="preserve">if </w:t>
      </w:r>
      <w:r w:rsidR="008D5375">
        <w:t>20</w:t>
      </w:r>
      <w:r w:rsidR="008D5375" w:rsidRPr="008D5375">
        <w:rPr>
          <w:vertAlign w:val="superscript"/>
        </w:rPr>
        <w:t>th</w:t>
      </w:r>
      <w:r w:rsidR="008D5375">
        <w:t>-century privatization of belief makes it easier to hold beliefs not taught by one's church.'</w:t>
      </w:r>
      <w:r w:rsidR="008D5375">
        <w:rPr>
          <w:rStyle w:val="FootnoteReference"/>
        </w:rPr>
        <w:footnoteReference w:id="26"/>
      </w:r>
      <w:r w:rsidR="008D5375">
        <w:t xml:space="preserve"> Th</w:t>
      </w:r>
      <w:r w:rsidR="00F80262">
        <w:t>e topic</w:t>
      </w:r>
      <w:r w:rsidR="008D5375">
        <w:t xml:space="preserve"> relates </w:t>
      </w:r>
      <w:r w:rsidR="0094524C">
        <w:t>to Brink</w:t>
      </w:r>
      <w:r w:rsidR="00600100">
        <w:t>'</w:t>
      </w:r>
      <w:r w:rsidR="0094524C">
        <w:t>s</w:t>
      </w:r>
      <w:r w:rsidR="00A03658">
        <w:t xml:space="preserve"> </w:t>
      </w:r>
      <w:r w:rsidR="002153E1">
        <w:t xml:space="preserve">paper </w:t>
      </w:r>
      <w:r w:rsidR="00A93D8B">
        <w:t>on the</w:t>
      </w:r>
      <w:r w:rsidR="008D5375">
        <w:t xml:space="preserve"> need </w:t>
      </w:r>
      <w:r w:rsidR="00A03658">
        <w:t>for further research</w:t>
      </w:r>
      <w:r w:rsidR="002153E1">
        <w:t xml:space="preserve"> on</w:t>
      </w:r>
      <w:r w:rsidR="008D5375">
        <w:t xml:space="preserve"> </w:t>
      </w:r>
      <w:r w:rsidR="002153E1">
        <w:t xml:space="preserve">the </w:t>
      </w:r>
      <w:r w:rsidR="008D5375">
        <w:t>consistency of belief.</w:t>
      </w:r>
      <w:r w:rsidR="005C128D">
        <w:t xml:space="preserve"> Walter and Waterhouse use in-depth interviews in their research project. This type of interview permits the participant</w:t>
      </w:r>
      <w:r w:rsidR="00F80262">
        <w:t>s</w:t>
      </w:r>
      <w:r w:rsidR="005C128D">
        <w:t xml:space="preserve"> to interact and express themselves openly</w:t>
      </w:r>
      <w:r w:rsidR="00F80262">
        <w:t xml:space="preserve">, giving a </w:t>
      </w:r>
      <w:r w:rsidR="0094524C">
        <w:t>detailed</w:t>
      </w:r>
      <w:r w:rsidR="005C128D">
        <w:t xml:space="preserve"> insight</w:t>
      </w:r>
      <w:r w:rsidR="00A93D8B">
        <w:t xml:space="preserve"> in</w:t>
      </w:r>
      <w:r w:rsidR="005C128D">
        <w:t>to the</w:t>
      </w:r>
      <w:r w:rsidR="00F80262">
        <w:t>ir</w:t>
      </w:r>
      <w:r w:rsidR="005C128D">
        <w:t xml:space="preserve"> thoughts, experiences, and feelings.</w:t>
      </w:r>
      <w:r w:rsidR="005C128D">
        <w:rPr>
          <w:rStyle w:val="FootnoteReference"/>
        </w:rPr>
        <w:footnoteReference w:id="27"/>
      </w:r>
      <w:r w:rsidR="005C128D">
        <w:t xml:space="preserve">  </w:t>
      </w:r>
      <w:r w:rsidR="008D5375">
        <w:t xml:space="preserve">Walter and Waterhouse outline their methodology by reviewing </w:t>
      </w:r>
      <w:r w:rsidR="00A93D8B">
        <w:t>a variety of</w:t>
      </w:r>
      <w:r w:rsidR="008D5375">
        <w:t xml:space="preserve"> literature</w:t>
      </w:r>
      <w:r w:rsidR="00A93D8B">
        <w:t xml:space="preserve"> </w:t>
      </w:r>
      <w:r w:rsidR="00F80262">
        <w:t>on</w:t>
      </w:r>
      <w:r w:rsidR="00A93D8B">
        <w:t xml:space="preserve"> demographic, social, cultural, religious, and New Age studies. They </w:t>
      </w:r>
      <w:r w:rsidR="002153E1">
        <w:t>cite</w:t>
      </w:r>
      <w:r w:rsidR="00F80262">
        <w:t xml:space="preserve"> a study</w:t>
      </w:r>
      <w:r w:rsidR="002153E1">
        <w:t xml:space="preserve"> of contradicting information to the other studies and explain their choices of which studies to include and disregard.</w:t>
      </w:r>
      <w:r w:rsidR="003779C9">
        <w:rPr>
          <w:rStyle w:val="FootnoteReference"/>
        </w:rPr>
        <w:footnoteReference w:id="28"/>
      </w:r>
      <w:r w:rsidR="00F80262">
        <w:t xml:space="preserve">  This action demonstrates the researcher's reflexivity in the research process</w:t>
      </w:r>
      <w:r w:rsidR="002153E1">
        <w:t xml:space="preserve"> and</w:t>
      </w:r>
      <w:r w:rsidR="00F80262">
        <w:t xml:space="preserve"> outcomes.</w:t>
      </w:r>
      <w:r w:rsidR="00F80262">
        <w:rPr>
          <w:rStyle w:val="FootnoteReference"/>
        </w:rPr>
        <w:footnoteReference w:id="29"/>
      </w:r>
      <w:r w:rsidR="00F80262">
        <w:t xml:space="preserve"> </w:t>
      </w:r>
      <w:r w:rsidR="008D5375">
        <w:t xml:space="preserve"> </w:t>
      </w:r>
      <w:r w:rsidR="00A93D8B">
        <w:t>The researchers</w:t>
      </w:r>
      <w:r w:rsidR="008D5375">
        <w:t xml:space="preserve"> critique their literature review and show how they weed out suppositions and broad assumptions about Christianity and reincarnation</w:t>
      </w:r>
      <w:r w:rsidR="00A93D8B">
        <w:t>.</w:t>
      </w:r>
      <w:r w:rsidR="00A93D8B">
        <w:rPr>
          <w:rStyle w:val="FootnoteReference"/>
        </w:rPr>
        <w:footnoteReference w:id="30"/>
      </w:r>
      <w:r w:rsidR="008D5375">
        <w:t xml:space="preserve"> They conclude that the studies demonstrate </w:t>
      </w:r>
      <w:r w:rsidR="008D5375">
        <w:lastRenderedPageBreak/>
        <w:t>consistent belief in reincarnation associated with conventional Christian beliefs.</w:t>
      </w:r>
      <w:r w:rsidR="008D5375">
        <w:rPr>
          <w:rStyle w:val="FootnoteReference"/>
        </w:rPr>
        <w:footnoteReference w:id="31"/>
      </w:r>
      <w:r w:rsidR="008D5375">
        <w:t xml:space="preserve"> </w:t>
      </w:r>
      <w:r w:rsidR="00A93D8B">
        <w:t xml:space="preserve"> No information about informed consent</w:t>
      </w:r>
      <w:r w:rsidR="0094524C">
        <w:t xml:space="preserve"> for adult participants and parental consent of minors and</w:t>
      </w:r>
      <w:r w:rsidR="00A93D8B">
        <w:t xml:space="preserve"> </w:t>
      </w:r>
      <w:r w:rsidR="0094524C">
        <w:t>their respective</w:t>
      </w:r>
      <w:r w:rsidR="00A93D8B">
        <w:t xml:space="preserve"> rights is given</w:t>
      </w:r>
      <w:r w:rsidR="00375140">
        <w:t>. If not done, it is an ethical problem in the methodology as it 'fails to accord the individuals the respect they are owed</w:t>
      </w:r>
      <w:r w:rsidR="00276C29">
        <w:t>.'</w:t>
      </w:r>
      <w:r w:rsidR="00375140">
        <w:t xml:space="preserve"> </w:t>
      </w:r>
      <w:r w:rsidR="00375140">
        <w:rPr>
          <w:rStyle w:val="FootnoteReference"/>
        </w:rPr>
        <w:footnoteReference w:id="32"/>
      </w:r>
      <w:r w:rsidR="00A93D8B">
        <w:t xml:space="preserve"> </w:t>
      </w:r>
      <w:r w:rsidR="00A93D8B">
        <w:t xml:space="preserve">Interviews </w:t>
      </w:r>
      <w:r w:rsidR="00276C29">
        <w:t>take place in</w:t>
      </w:r>
      <w:r w:rsidR="00A93D8B">
        <w:t xml:space="preserve"> the home, providing </w:t>
      </w:r>
      <w:r w:rsidR="00A93D8B">
        <w:t xml:space="preserve">privacy and a relaxed area to talk. </w:t>
      </w:r>
      <w:r w:rsidR="008D5375">
        <w:t>The</w:t>
      </w:r>
      <w:r w:rsidR="00276C29">
        <w:t xml:space="preserve"> purpose of the</w:t>
      </w:r>
      <w:r w:rsidR="008D5375">
        <w:t xml:space="preserve"> interviews </w:t>
      </w:r>
      <w:r w:rsidR="00276C29">
        <w:t xml:space="preserve">is </w:t>
      </w:r>
      <w:r w:rsidR="008D5375">
        <w:t>to find the</w:t>
      </w:r>
      <w:r w:rsidR="00276C29">
        <w:t xml:space="preserve"> 'range of</w:t>
      </w:r>
      <w:r w:rsidR="008D5375">
        <w:t xml:space="preserve"> meaning</w:t>
      </w:r>
      <w:r w:rsidR="00276C29">
        <w:t xml:space="preserve"> given to the idea</w:t>
      </w:r>
      <w:r w:rsidR="008D5375">
        <w:t xml:space="preserve"> of reincarnation.</w:t>
      </w:r>
      <w:r w:rsidR="00276C29">
        <w:t>'</w:t>
      </w:r>
      <w:r w:rsidR="00276C29">
        <w:rPr>
          <w:rStyle w:val="FootnoteReference"/>
        </w:rPr>
        <w:footnoteReference w:id="33"/>
      </w:r>
      <w:r w:rsidR="008D5375">
        <w:t xml:space="preserve"> </w:t>
      </w:r>
      <w:r w:rsidR="00A93D8B">
        <w:t xml:space="preserve"> </w:t>
      </w:r>
      <w:r w:rsidR="008D5375">
        <w:t>The detailed explanations give insight into the researchers' thoughts and processes in the design of their project, demonstrating reflexivity in their decisions, especially in the exclusion of certain groups of people from their study.</w:t>
      </w:r>
      <w:r w:rsidR="008D5375">
        <w:rPr>
          <w:rStyle w:val="FootnoteReference"/>
        </w:rPr>
        <w:footnoteReference w:id="34"/>
      </w:r>
      <w:r w:rsidR="008D5375">
        <w:t xml:space="preserve"> </w:t>
      </w:r>
      <w:r w:rsidR="00276C29">
        <w:t xml:space="preserve"> This decision can also be interpreted as a bias </w:t>
      </w:r>
      <w:r w:rsidR="002153E1">
        <w:t>or</w:t>
      </w:r>
      <w:r w:rsidR="00276C29">
        <w:t xml:space="preserve"> assumption that all Sikhs, Hindus, and Buddhists believe in reincarnation</w:t>
      </w:r>
      <w:r w:rsidR="002153E1">
        <w:t xml:space="preserve"> only</w:t>
      </w:r>
      <w:r w:rsidR="00276C29">
        <w:t xml:space="preserve"> because their religion tells them to.</w:t>
      </w:r>
    </w:p>
    <w:p w14:paraId="2ACF1487" w14:textId="2C0661A4" w:rsidR="008D0E6B" w:rsidRDefault="00BD0CF7" w:rsidP="004501DE">
      <w:r>
        <w:t xml:space="preserve">     By extension, </w:t>
      </w:r>
      <w:r w:rsidR="00276C29">
        <w:t xml:space="preserve">Brink's research can </w:t>
      </w:r>
      <w:r>
        <w:t>suggest that, for example</w:t>
      </w:r>
      <w:r w:rsidR="00276C29">
        <w:t>, Hindus not believing in reincarnation is possible.</w:t>
      </w:r>
      <w:r w:rsidR="00276C29">
        <w:rPr>
          <w:rStyle w:val="FootnoteReference"/>
        </w:rPr>
        <w:footnoteReference w:id="35"/>
      </w:r>
      <w:r w:rsidR="00276C29">
        <w:t xml:space="preserve"> </w:t>
      </w:r>
      <w:r w:rsidR="00276C29">
        <w:t>There was no citation of claims that culture influences action more than personal religious beliefs</w:t>
      </w:r>
      <w:r w:rsidR="00276C29">
        <w:t>,</w:t>
      </w:r>
      <w:r w:rsidR="00276C29">
        <w:t xml:space="preserve"> and there is a diminishing belief in hell.</w:t>
      </w:r>
      <w:r w:rsidR="00276C29">
        <w:rPr>
          <w:rStyle w:val="FootnoteReference"/>
        </w:rPr>
        <w:footnoteReference w:id="36"/>
      </w:r>
      <w:r w:rsidR="00276C29">
        <w:t xml:space="preserve"> </w:t>
      </w:r>
      <w:r>
        <w:t>It is</w:t>
      </w:r>
      <w:r w:rsidR="00276C29">
        <w:t xml:space="preserve"> </w:t>
      </w:r>
      <w:r w:rsidR="00276C29">
        <w:t>unclear if there is a bias of belief</w:t>
      </w:r>
      <w:r>
        <w:t xml:space="preserve">, </w:t>
      </w:r>
      <w:r w:rsidR="00276C29">
        <w:t>an assumption</w:t>
      </w:r>
      <w:r>
        <w:t>, or just lack of reflexivity made on the researcher's part about specific groups,</w:t>
      </w:r>
      <w:r w:rsidR="00276C29">
        <w:t xml:space="preserve"> cultures</w:t>
      </w:r>
      <w:r w:rsidR="00276C29">
        <w:t>,</w:t>
      </w:r>
      <w:r w:rsidR="00276C29">
        <w:t xml:space="preserve"> and beliefs. According to Guillemin and Gillam, the interpretation</w:t>
      </w:r>
      <w:r w:rsidR="00276C29">
        <w:t>, analysis, and presentation of findings are</w:t>
      </w:r>
      <w:r w:rsidR="00276C29">
        <w:t xml:space="preserve"> part of reflexive research. </w:t>
      </w:r>
      <w:r w:rsidR="00276C29">
        <w:rPr>
          <w:rStyle w:val="FootnoteReference"/>
        </w:rPr>
        <w:footnoteReference w:id="37"/>
      </w:r>
      <w:r w:rsidR="00276C29">
        <w:t xml:space="preserve"> </w:t>
      </w:r>
      <w:r w:rsidR="004A0F7C">
        <w:t xml:space="preserve">Reflexivity </w:t>
      </w:r>
      <w:r w:rsidR="00903B16">
        <w:t>is</w:t>
      </w:r>
      <w:r w:rsidR="004A0F7C">
        <w:t xml:space="preserve"> demonstrated in examining their phrasing </w:t>
      </w:r>
      <w:r w:rsidR="00903B16">
        <w:t xml:space="preserve">of the </w:t>
      </w:r>
      <w:r w:rsidR="004A0F7C">
        <w:t>questions of belief versus attractive</w:t>
      </w:r>
      <w:r w:rsidR="00903B16">
        <w:t>ness</w:t>
      </w:r>
      <w:r w:rsidR="004A0F7C">
        <w:t xml:space="preserve"> </w:t>
      </w:r>
      <w:r w:rsidR="00903B16">
        <w:t>in</w:t>
      </w:r>
      <w:r w:rsidR="004A0F7C">
        <w:t xml:space="preserve"> categorizing reincarnation.</w:t>
      </w:r>
      <w:r w:rsidR="004A0F7C">
        <w:rPr>
          <w:rStyle w:val="FootnoteReference"/>
        </w:rPr>
        <w:footnoteReference w:id="38"/>
      </w:r>
      <w:r w:rsidR="004A0F7C">
        <w:t xml:space="preserve"> </w:t>
      </w:r>
      <w:r w:rsidR="008D5375">
        <w:t xml:space="preserve">The research findings are discussed in sections according to </w:t>
      </w:r>
      <w:r w:rsidR="006F3A35">
        <w:t xml:space="preserve">the </w:t>
      </w:r>
      <w:r w:rsidR="008D5375">
        <w:t>religious association, nature of belief, sources of belief content, and effect of belief.</w:t>
      </w:r>
      <w:r w:rsidR="006F3A35">
        <w:t xml:space="preserve"> Each section describes some of the participants' comments and connects them to the project's themes. This information is then examined against the backdrop of other participants' comments and related studies.</w:t>
      </w:r>
      <w:r w:rsidR="008D5375">
        <w:rPr>
          <w:rStyle w:val="FootnoteReference"/>
        </w:rPr>
        <w:footnoteReference w:id="39"/>
      </w:r>
      <w:r w:rsidR="006960C1">
        <w:t xml:space="preserve"> T</w:t>
      </w:r>
      <w:r w:rsidR="006F3A35">
        <w:t>h</w:t>
      </w:r>
      <w:r>
        <w:t>e</w:t>
      </w:r>
      <w:r w:rsidR="006F3A35">
        <w:t xml:space="preserve"> </w:t>
      </w:r>
      <w:r w:rsidR="006A5006">
        <w:t>collect</w:t>
      </w:r>
      <w:r>
        <w:t>ion,</w:t>
      </w:r>
      <w:r w:rsidR="006A5006">
        <w:t xml:space="preserve"> examination</w:t>
      </w:r>
      <w:r>
        <w:t>,</w:t>
      </w:r>
      <w:r w:rsidR="006A5006">
        <w:t xml:space="preserve"> interpretation</w:t>
      </w:r>
      <w:r>
        <w:t xml:space="preserve">, </w:t>
      </w:r>
      <w:r w:rsidR="006A5006">
        <w:t>categori</w:t>
      </w:r>
      <w:r>
        <w:t>zation, and integration of all this information with studies</w:t>
      </w:r>
      <w:r w:rsidR="006F3A35">
        <w:t xml:space="preserve"> and themes produce</w:t>
      </w:r>
      <w:r>
        <w:t xml:space="preserve"> very rich</w:t>
      </w:r>
      <w:r w:rsidR="006F3A35">
        <w:t xml:space="preserve"> data.</w:t>
      </w:r>
      <w:r w:rsidR="006A5006">
        <w:t xml:space="preserve"> It </w:t>
      </w:r>
      <w:r w:rsidR="00A93D8B">
        <w:t>reflects</w:t>
      </w:r>
      <w:r w:rsidR="006A5006">
        <w:t xml:space="preserve"> Geertz</w:t>
      </w:r>
      <w:r w:rsidR="00A93D8B">
        <w:t>'</w:t>
      </w:r>
      <w:r w:rsidR="006A5006">
        <w:t>s description of ethnographic research</w:t>
      </w:r>
      <w:r w:rsidR="00A93D8B">
        <w:t>, producing an' extraordinarily thick description.</w:t>
      </w:r>
      <w:r>
        <w:t xml:space="preserve">' </w:t>
      </w:r>
      <w:r w:rsidR="006A5006">
        <w:rPr>
          <w:rStyle w:val="FootnoteReference"/>
        </w:rPr>
        <w:footnoteReference w:id="40"/>
      </w:r>
      <w:r w:rsidR="00181E31">
        <w:t xml:space="preserve"> The final section is the conclusion</w:t>
      </w:r>
      <w:r w:rsidR="00A93D8B">
        <w:t>,</w:t>
      </w:r>
      <w:r w:rsidR="00181E31">
        <w:t xml:space="preserve"> where several </w:t>
      </w:r>
      <w:r w:rsidR="007C53F3">
        <w:t>suggest</w:t>
      </w:r>
      <w:r w:rsidR="00A93D8B">
        <w:t xml:space="preserve">ed </w:t>
      </w:r>
      <w:r w:rsidR="00181E31">
        <w:t xml:space="preserve">findings </w:t>
      </w:r>
      <w:r w:rsidR="00A93D8B">
        <w:t>are presented</w:t>
      </w:r>
      <w:r w:rsidR="00181E31">
        <w:t xml:space="preserve"> and discussed</w:t>
      </w:r>
      <w:r w:rsidR="00A93D8B">
        <w:t>,</w:t>
      </w:r>
      <w:r w:rsidR="00181E31">
        <w:t xml:space="preserve"> </w:t>
      </w:r>
      <w:r w:rsidR="00A93D8B">
        <w:t>concluding</w:t>
      </w:r>
      <w:r w:rsidR="00181E31">
        <w:t xml:space="preserve"> that reincarnation is </w:t>
      </w:r>
      <w:r w:rsidR="00A93D8B">
        <w:t>'</w:t>
      </w:r>
      <w:r w:rsidR="00181E31">
        <w:t>the ultimate, detached private belief.</w:t>
      </w:r>
      <w:r w:rsidR="00181E31">
        <w:rPr>
          <w:rStyle w:val="FootnoteReference"/>
        </w:rPr>
        <w:footnoteReference w:id="41"/>
      </w:r>
      <w:r w:rsidR="00A93D8B">
        <w:t xml:space="preserve"> </w:t>
      </w:r>
    </w:p>
    <w:p w14:paraId="6DB4B5BD" w14:textId="77F41D83" w:rsidR="00903B16" w:rsidRDefault="00903B16" w:rsidP="00903B16">
      <w:pPr>
        <w:pStyle w:val="Heading1"/>
      </w:pPr>
      <w:r>
        <w:t>Comparing and Contrasting the Papers' Methodology and Literature</w:t>
      </w:r>
      <w:r w:rsidR="00992479">
        <w:t>:</w:t>
      </w:r>
      <w:r>
        <w:t xml:space="preserve"> </w:t>
      </w:r>
    </w:p>
    <w:p w14:paraId="3EE86F21" w14:textId="75FC09D8" w:rsidR="00181E31" w:rsidRDefault="00181E31" w:rsidP="004501DE"/>
    <w:p w14:paraId="49D1BB4F" w14:textId="256EF053" w:rsidR="00FE1A7F" w:rsidRPr="00276C29" w:rsidRDefault="00181E31" w:rsidP="00FE1A7F">
      <w:pPr>
        <w:rPr>
          <w:vertAlign w:val="subscript"/>
        </w:rPr>
      </w:pPr>
      <w:r>
        <w:t>In contrasting these papers, Brink</w:t>
      </w:r>
      <w:r w:rsidR="00A93D8B">
        <w:t>'</w:t>
      </w:r>
      <w:r>
        <w:t xml:space="preserve">s methodology is a scientific approach using quantitative data collected to test a hypothesis. </w:t>
      </w:r>
      <w:r w:rsidR="00A93D8B">
        <w:t>T</w:t>
      </w:r>
      <w:r w:rsidR="007C53F3">
        <w:t>he</w:t>
      </w:r>
      <w:r w:rsidR="001B6119">
        <w:t xml:space="preserve"> tightly focused cognitive and behavioral studies used to shape his </w:t>
      </w:r>
      <w:r w:rsidR="00903B16">
        <w:t>project and</w:t>
      </w:r>
      <w:r w:rsidR="001B6119">
        <w:t xml:space="preserve"> </w:t>
      </w:r>
      <w:r w:rsidR="00903B16">
        <w:t xml:space="preserve">the </w:t>
      </w:r>
      <w:r w:rsidR="001B6119">
        <w:t xml:space="preserve">absence of discussion on astrology and reincarnation in the </w:t>
      </w:r>
      <w:r w:rsidR="00903B16">
        <w:t>data analysis</w:t>
      </w:r>
      <w:r w:rsidR="001B6119">
        <w:t xml:space="preserve"> limi</w:t>
      </w:r>
      <w:r w:rsidR="00903B16">
        <w:t>ted the</w:t>
      </w:r>
      <w:r w:rsidR="001B6119">
        <w:t xml:space="preserve"> investigating his hypothesis of consistency of belief.</w:t>
      </w:r>
      <w:r w:rsidR="00BD0CF7">
        <w:rPr>
          <w:rStyle w:val="FootnoteReference"/>
        </w:rPr>
        <w:footnoteReference w:id="42"/>
      </w:r>
      <w:r w:rsidR="007575E6">
        <w:t xml:space="preserve"> </w:t>
      </w:r>
      <w:r w:rsidR="00087872">
        <w:t xml:space="preserve"> About</w:t>
      </w:r>
      <w:r w:rsidR="001B6119">
        <w:t xml:space="preserve"> 50% of the </w:t>
      </w:r>
      <w:r w:rsidR="001B6119">
        <w:lastRenderedPageBreak/>
        <w:t>participants</w:t>
      </w:r>
      <w:r w:rsidR="001B6119">
        <w:t xml:space="preserve"> </w:t>
      </w:r>
      <w:r w:rsidR="005831E1">
        <w:t>responded</w:t>
      </w:r>
      <w:r w:rsidR="001B6119">
        <w:t xml:space="preserve"> to</w:t>
      </w:r>
      <w:r w:rsidR="00600100">
        <w:t xml:space="preserve"> the question</w:t>
      </w:r>
      <w:r w:rsidR="00903B16">
        <w:t>,</w:t>
      </w:r>
      <w:r w:rsidR="00600100">
        <w:t xml:space="preserve"> '</w:t>
      </w:r>
      <w:r w:rsidR="001B6119">
        <w:t>the roman catholic religion is the one for me.</w:t>
      </w:r>
      <w:r w:rsidR="00600100">
        <w:t>'</w:t>
      </w:r>
      <w:r w:rsidR="005831E1">
        <w:rPr>
          <w:rStyle w:val="FootnoteReference"/>
        </w:rPr>
        <w:footnoteReference w:id="43"/>
      </w:r>
      <w:r w:rsidR="001B6119">
        <w:t xml:space="preserve"> </w:t>
      </w:r>
      <w:r w:rsidR="00087872">
        <w:t xml:space="preserve">About </w:t>
      </w:r>
      <w:r w:rsidR="001B6119">
        <w:t xml:space="preserve">50% feel </w:t>
      </w:r>
      <w:r w:rsidR="00903B16">
        <w:t xml:space="preserve">Roman Catholicism is </w:t>
      </w:r>
      <w:r w:rsidR="00903B16" w:rsidRPr="00087872">
        <w:t xml:space="preserve">not </w:t>
      </w:r>
      <w:r w:rsidR="00903B16">
        <w:t xml:space="preserve">for them. </w:t>
      </w:r>
      <w:r w:rsidR="001B6119">
        <w:t xml:space="preserve">This </w:t>
      </w:r>
      <w:r w:rsidR="00087872">
        <w:t>qualitative information regarding feelings was not</w:t>
      </w:r>
      <w:r w:rsidR="001B6119">
        <w:t xml:space="preserve"> discussed </w:t>
      </w:r>
      <w:r w:rsidR="00903B16">
        <w:t>or recommended for</w:t>
      </w:r>
      <w:r w:rsidR="001B6119">
        <w:t xml:space="preserve"> further investigation</w:t>
      </w:r>
      <w:r w:rsidR="005831E1">
        <w:t>.</w:t>
      </w:r>
      <w:r w:rsidR="001B6119">
        <w:t xml:space="preserve"> </w:t>
      </w:r>
      <w:r w:rsidR="00903B16">
        <w:t>It</w:t>
      </w:r>
      <w:r w:rsidR="001B6119">
        <w:t xml:space="preserve"> may</w:t>
      </w:r>
      <w:r w:rsidR="00903B16">
        <w:t xml:space="preserve"> </w:t>
      </w:r>
      <w:r w:rsidR="001B6119">
        <w:t xml:space="preserve">be a sign of bias or </w:t>
      </w:r>
      <w:r w:rsidR="00903B16">
        <w:t>lack of reflexivity regarding</w:t>
      </w:r>
      <w:r w:rsidR="001B6119">
        <w:t xml:space="preserve"> personal beliefs</w:t>
      </w:r>
      <w:r w:rsidR="00903B16">
        <w:t xml:space="preserve"> and the effect on the research. </w:t>
      </w:r>
      <w:r>
        <w:t>Walter and Waterhouse</w:t>
      </w:r>
      <w:r w:rsidR="00600100">
        <w:t>'</w:t>
      </w:r>
      <w:r w:rsidR="003250DA">
        <w:t>s</w:t>
      </w:r>
      <w:r>
        <w:t xml:space="preserve"> </w:t>
      </w:r>
      <w:r w:rsidR="00903B16">
        <w:t>qualitative approach uses</w:t>
      </w:r>
      <w:r>
        <w:t xml:space="preserve"> in</w:t>
      </w:r>
      <w:r w:rsidR="00A93D8B">
        <w:t>-</w:t>
      </w:r>
      <w:r>
        <w:t>depth interviews to collect a variety of information</w:t>
      </w:r>
      <w:r w:rsidR="00A93D8B">
        <w:t xml:space="preserve"> on beliefs in reincarnation in England.</w:t>
      </w:r>
      <w:r w:rsidR="00657A34" w:rsidRPr="00657A34">
        <w:t xml:space="preserve"> </w:t>
      </w:r>
      <w:r w:rsidR="00657A34">
        <w:t>Their literature is varied and includes contemporary literature sources from1950-90s</w:t>
      </w:r>
      <w:r w:rsidR="00657A34">
        <w:rPr>
          <w:rStyle w:val="FootnoteReference"/>
        </w:rPr>
        <w:t xml:space="preserve">. </w:t>
      </w:r>
      <w:r w:rsidR="00087872">
        <w:rPr>
          <w:rStyle w:val="FootnoteReference"/>
        </w:rPr>
        <w:footnoteReference w:id="44"/>
      </w:r>
      <w:r w:rsidR="003250DA">
        <w:t xml:space="preserve"> </w:t>
      </w:r>
      <w:r w:rsidR="00657A34">
        <w:t xml:space="preserve"> </w:t>
      </w:r>
      <w:r w:rsidR="00903B16">
        <w:t>A variety of literature</w:t>
      </w:r>
      <w:r w:rsidR="00A93D8B">
        <w:t xml:space="preserve"> </w:t>
      </w:r>
      <w:r w:rsidR="00903B16">
        <w:t>provides the</w:t>
      </w:r>
      <w:r w:rsidR="003250DA">
        <w:t xml:space="preserve"> authors</w:t>
      </w:r>
      <w:r w:rsidR="00903B16">
        <w:t xml:space="preserve"> with ways to examine the narrative themes and</w:t>
      </w:r>
      <w:r>
        <w:t xml:space="preserve"> contrast and support their findings.</w:t>
      </w:r>
      <w:r w:rsidR="007C53F3">
        <w:t xml:space="preserve"> </w:t>
      </w:r>
      <w:r w:rsidR="002D6B22">
        <w:t>Their research</w:t>
      </w:r>
      <w:r w:rsidR="00903B16">
        <w:t xml:space="preserve"> appears </w:t>
      </w:r>
      <w:r w:rsidR="002D6B22">
        <w:t xml:space="preserve">grounded in the larger academic framework. </w:t>
      </w:r>
      <w:r w:rsidR="007C53F3">
        <w:t>This</w:t>
      </w:r>
      <w:r w:rsidR="003250DA">
        <w:t xml:space="preserve"> methodology</w:t>
      </w:r>
      <w:r w:rsidR="007C53F3">
        <w:t xml:space="preserve"> seems appropriat</w:t>
      </w:r>
      <w:r w:rsidR="003250DA">
        <w:t>e</w:t>
      </w:r>
      <w:r w:rsidR="007C53F3">
        <w:t xml:space="preserve"> for their study</w:t>
      </w:r>
      <w:r w:rsidR="00657A34">
        <w:t>; however, the lack of information about ethics and informed consent is problematic</w:t>
      </w:r>
      <w:r w:rsidR="007C53F3">
        <w:t>.</w:t>
      </w:r>
      <w:r w:rsidR="003250DA">
        <w:t xml:space="preserve"> The project plan </w:t>
      </w:r>
      <w:r w:rsidR="00903B16">
        <w:t>supported</w:t>
      </w:r>
      <w:r w:rsidR="003250DA">
        <w:t xml:space="preserve"> the </w:t>
      </w:r>
      <w:r>
        <w:t xml:space="preserve">investigation into beliefs about reincarnation and </w:t>
      </w:r>
      <w:r w:rsidR="00903B16">
        <w:t xml:space="preserve">the </w:t>
      </w:r>
      <w:r>
        <w:t xml:space="preserve">privatization of beliefs. </w:t>
      </w:r>
      <w:r w:rsidR="007A56F9">
        <w:t xml:space="preserve"> </w:t>
      </w:r>
    </w:p>
    <w:p w14:paraId="2DC682F0" w14:textId="0261D715" w:rsidR="003250DA" w:rsidRDefault="00B001AA" w:rsidP="00276C29">
      <w:pPr>
        <w:pStyle w:val="Heading1"/>
      </w:pPr>
      <w:r>
        <w:t>Insider</w:t>
      </w:r>
      <w:r w:rsidR="00276C29">
        <w:t>/</w:t>
      </w:r>
      <w:r>
        <w:t xml:space="preserve"> Outsider positions of the Researchers:</w:t>
      </w:r>
    </w:p>
    <w:p w14:paraId="7E84F321" w14:textId="77777777" w:rsidR="00276C29" w:rsidRPr="00276C29" w:rsidRDefault="00276C29" w:rsidP="00276C29"/>
    <w:p w14:paraId="34FD1019" w14:textId="5E4C0447" w:rsidR="003250DA" w:rsidRPr="003250DA" w:rsidRDefault="007F6C5C" w:rsidP="003250DA">
      <w:r>
        <w:t xml:space="preserve">     </w:t>
      </w:r>
      <w:r w:rsidR="00657A34">
        <w:t>Walter and Waterhouse did not discuss their</w:t>
      </w:r>
      <w:r w:rsidR="00657A34">
        <w:t xml:space="preserve"> personal</w:t>
      </w:r>
      <w:r w:rsidR="00657A34">
        <w:t xml:space="preserve"> relationship to </w:t>
      </w:r>
      <w:r w:rsidR="00657A34">
        <w:t>Buddhism,</w:t>
      </w:r>
      <w:r w:rsidR="00657A34">
        <w:t xml:space="preserve"> death beliefs</w:t>
      </w:r>
      <w:r w:rsidR="00657A34">
        <w:t>,</w:t>
      </w:r>
      <w:r w:rsidR="00657A34">
        <w:t xml:space="preserve"> </w:t>
      </w:r>
      <w:r w:rsidR="00657A34">
        <w:t>and</w:t>
      </w:r>
      <w:r w:rsidR="00657A34">
        <w:t xml:space="preserve"> reincarnation. Brink reveals nothing about his relationship with Roman Catholicism, astrology, and reincarnation. Brink's research s</w:t>
      </w:r>
      <w:r w:rsidR="00657A34">
        <w:t>uggests</w:t>
      </w:r>
      <w:r w:rsidR="00657A34">
        <w:t xml:space="preserve"> </w:t>
      </w:r>
      <w:r w:rsidR="00657A34">
        <w:t>an</w:t>
      </w:r>
      <w:r w:rsidR="00657A34">
        <w:t xml:space="preserve"> assumption about Roman Catholic</w:t>
      </w:r>
      <w:r w:rsidR="00657A34">
        <w:t xml:space="preserve">ism and that Catholics can only hold one belief. </w:t>
      </w:r>
      <w:r w:rsidR="00657A34">
        <w:t xml:space="preserve"> His bias to astrology and reincarnation </w:t>
      </w:r>
      <w:r w:rsidR="00657A34">
        <w:t>is suggested</w:t>
      </w:r>
      <w:r w:rsidR="00657A34">
        <w:t xml:space="preserve"> in his use of words and failure to discuss these topics.</w:t>
      </w:r>
      <w:r w:rsidR="00657A34">
        <w:rPr>
          <w:rStyle w:val="FootnoteReference"/>
        </w:rPr>
        <w:footnoteReference w:id="45"/>
      </w:r>
      <w:r w:rsidR="00657A34">
        <w:t xml:space="preserve">  This bias would have put him an outsider to </w:t>
      </w:r>
      <w:r w:rsidR="00657A34">
        <w:t xml:space="preserve">participants who were </w:t>
      </w:r>
      <w:r w:rsidR="00657A34">
        <w:t>astrology and reincarnation believers</w:t>
      </w:r>
      <w:r w:rsidR="00657A34">
        <w:t xml:space="preserve">. </w:t>
      </w:r>
      <w:r w:rsidR="00657A34">
        <w:t xml:space="preserve">Walter and Waterhouse share an interest in reincarnation professionally, which links to the participants who believe in reincarnation, giving them a </w:t>
      </w:r>
      <w:r w:rsidR="008A2730">
        <w:t>quasi-insider</w:t>
      </w:r>
      <w:r w:rsidR="00657A34">
        <w:t>-outsider position. According to Haynes, this information would have demonstrated reflexivity of the researcher's personal beliefs to the projects.</w:t>
      </w:r>
      <w:r w:rsidR="00657A34">
        <w:rPr>
          <w:rStyle w:val="FootnoteReference"/>
        </w:rPr>
        <w:footnoteReference w:id="46"/>
      </w:r>
      <w:r w:rsidR="00657A34">
        <w:t xml:space="preserve">  </w:t>
      </w:r>
      <w:r w:rsidR="00276C29">
        <w:t>With no</w:t>
      </w:r>
      <w:r w:rsidR="00657A34">
        <w:t xml:space="preserve"> concrete personal statement from</w:t>
      </w:r>
      <w:r w:rsidR="00276C29">
        <w:t xml:space="preserve"> researchers</w:t>
      </w:r>
      <w:r w:rsidR="00657A34">
        <w:t>,</w:t>
      </w:r>
      <w:r w:rsidR="00276C29">
        <w:t>'</w:t>
      </w:r>
      <w:r w:rsidR="00276C29">
        <w:t xml:space="preserve"> it would be hard to comment </w:t>
      </w:r>
      <w:r w:rsidR="00657A34">
        <w:t>truthfully on the researchers'</w:t>
      </w:r>
      <w:r w:rsidR="00276C29">
        <w:t xml:space="preserve"> positions as insiders </w:t>
      </w:r>
      <w:r w:rsidR="00657A34">
        <w:t xml:space="preserve">or outsiders </w:t>
      </w:r>
      <w:r w:rsidR="00276C29">
        <w:t>in the</w:t>
      </w:r>
      <w:r w:rsidR="00657A34">
        <w:t>ir respective</w:t>
      </w:r>
      <w:r w:rsidR="00276C29">
        <w:t xml:space="preserve"> research</w:t>
      </w:r>
      <w:r w:rsidR="00657A34">
        <w:t xml:space="preserve"> projects</w:t>
      </w:r>
      <w:r w:rsidR="00276C29">
        <w:t>.</w:t>
      </w:r>
      <w:r w:rsidR="00316F62">
        <w:t xml:space="preserve"> </w:t>
      </w:r>
      <w:r>
        <w:t>'</w:t>
      </w:r>
      <w:r w:rsidR="00316F62">
        <w:t>Reflexivity is a vital part of the entire research process and increases accountability for the knowledge that is produced.</w:t>
      </w:r>
      <w:r>
        <w:t>'</w:t>
      </w:r>
      <w:r w:rsidR="00316F62">
        <w:rPr>
          <w:rStyle w:val="FootnoteReference"/>
        </w:rPr>
        <w:footnoteReference w:id="47"/>
      </w:r>
      <w:r w:rsidR="00276C29">
        <w:t xml:space="preserve">  </w:t>
      </w:r>
    </w:p>
    <w:p w14:paraId="2ABE1CE3" w14:textId="6AEF90D2" w:rsidR="00B001AA" w:rsidRDefault="00B001AA" w:rsidP="00B001AA">
      <w:pPr>
        <w:pStyle w:val="Heading1"/>
      </w:pPr>
    </w:p>
    <w:p w14:paraId="791DE3EA" w14:textId="77777777" w:rsidR="004937A9" w:rsidRPr="004937A9" w:rsidRDefault="004937A9" w:rsidP="004937A9"/>
    <w:p w14:paraId="79926E4C" w14:textId="77777777" w:rsidR="004937A9" w:rsidRDefault="005A21F6" w:rsidP="005A21F6">
      <w:r>
        <w:t xml:space="preserve">           </w:t>
      </w:r>
    </w:p>
    <w:p w14:paraId="32333A62" w14:textId="5BB8C9D3" w:rsidR="004937A9" w:rsidRDefault="006D5A26" w:rsidP="006D5A26">
      <w:pPr>
        <w:pStyle w:val="Heading1"/>
      </w:pPr>
      <w:r>
        <w:t>Conclusion:</w:t>
      </w:r>
    </w:p>
    <w:p w14:paraId="0B17CB65" w14:textId="77777777" w:rsidR="004937A9" w:rsidRDefault="004937A9" w:rsidP="005A21F6"/>
    <w:p w14:paraId="30CEC965" w14:textId="6C1E9450" w:rsidR="005A21F6" w:rsidRDefault="004937A9" w:rsidP="005A21F6">
      <w:r>
        <w:t xml:space="preserve">     </w:t>
      </w:r>
      <w:r w:rsidR="001B2EAC">
        <w:t>In this</w:t>
      </w:r>
      <w:r w:rsidR="005A21F6">
        <w:t xml:space="preserve"> essay</w:t>
      </w:r>
      <w:r w:rsidR="001B2EAC">
        <w:t>, two papers were critically compared and contrasted in</w:t>
      </w:r>
      <w:r w:rsidR="005A21F6">
        <w:t xml:space="preserve"> methodology, literature, research trends, and</w:t>
      </w:r>
      <w:r w:rsidR="001B2EAC">
        <w:t xml:space="preserve"> the </w:t>
      </w:r>
      <w:r w:rsidR="005A21F6">
        <w:t>researchers' insider/outsider position</w:t>
      </w:r>
      <w:r w:rsidR="001B2EAC">
        <w:t xml:space="preserve"> in their project. The papers and their authors were introduced, and the reading audiences described. Brink's use of quantitative methodology was compared to the qualitative methodology in Walter and Waterhouse's research.  A brief description of changes in sociological research and a move to phenomenological methodology in the mid to late 20</w:t>
      </w:r>
      <w:r w:rsidR="001B2EAC" w:rsidRPr="001B2EAC">
        <w:rPr>
          <w:vertAlign w:val="superscript"/>
        </w:rPr>
        <w:t>th</w:t>
      </w:r>
      <w:r w:rsidR="001B2EAC">
        <w:t xml:space="preserve"> century was explored as it related to the two papers. Researchers' use of literature in shaping their studies was looked examined.  The appropriateness, problems, and benefits of each methodology were looked at with attention to the reflexivity and ethics demonstrated by the researchers. </w:t>
      </w:r>
      <w:r w:rsidR="005A21F6">
        <w:t xml:space="preserve"> </w:t>
      </w:r>
      <w:r w:rsidR="001B2EAC">
        <w:t xml:space="preserve">Insider/outsider positioning of the researchers to their project was queried.  The need for researchers' reflexivity on multiple levels was demonstrated as essential to the research process.    </w:t>
      </w:r>
    </w:p>
    <w:p w14:paraId="35308C98" w14:textId="0810EDAE" w:rsidR="005A21F6" w:rsidRPr="005A21F6" w:rsidRDefault="005A21F6" w:rsidP="005A21F6"/>
    <w:p w14:paraId="456C26B0" w14:textId="77777777" w:rsidR="007F6C5C" w:rsidRPr="007F6C5C" w:rsidRDefault="007F6C5C" w:rsidP="007F6C5C"/>
    <w:p w14:paraId="4B2EF9C4" w14:textId="77777777" w:rsidR="00B001AA" w:rsidRPr="00B001AA" w:rsidRDefault="00B001AA" w:rsidP="00B001AA"/>
    <w:p w14:paraId="13A1A04C" w14:textId="77777777" w:rsidR="00FE1A7F" w:rsidRDefault="00FE1A7F" w:rsidP="00FE1A7F"/>
    <w:p w14:paraId="6B88B794" w14:textId="77777777" w:rsidR="00FE1A7F" w:rsidRDefault="00FE1A7F" w:rsidP="00FE1A7F"/>
    <w:p w14:paraId="70CFC17B" w14:textId="77777777" w:rsidR="002E3BDC" w:rsidRDefault="002E3BDC" w:rsidP="001B2EAC">
      <w:pPr>
        <w:pStyle w:val="Heading1"/>
      </w:pPr>
    </w:p>
    <w:p w14:paraId="13D9D198" w14:textId="77777777" w:rsidR="002E3BDC" w:rsidRDefault="002E3BDC" w:rsidP="001B2EAC">
      <w:pPr>
        <w:pStyle w:val="Heading1"/>
      </w:pPr>
    </w:p>
    <w:p w14:paraId="1B64A31D" w14:textId="77777777" w:rsidR="002E3BDC" w:rsidRDefault="002E3BDC" w:rsidP="001B2EAC">
      <w:pPr>
        <w:pStyle w:val="Heading1"/>
      </w:pPr>
    </w:p>
    <w:p w14:paraId="62EEA0EF" w14:textId="77777777" w:rsidR="002E3BDC" w:rsidRDefault="002E3BDC" w:rsidP="001B2EAC">
      <w:pPr>
        <w:pStyle w:val="Heading1"/>
      </w:pPr>
    </w:p>
    <w:p w14:paraId="70351A49" w14:textId="77777777" w:rsidR="002E3BDC" w:rsidRDefault="002E3BDC" w:rsidP="001B2EAC">
      <w:pPr>
        <w:pStyle w:val="Heading1"/>
      </w:pPr>
    </w:p>
    <w:p w14:paraId="527BC52B" w14:textId="1BC86E46" w:rsidR="001B2EAC" w:rsidRDefault="001B2EAC" w:rsidP="001B2EAC">
      <w:pPr>
        <w:pStyle w:val="Heading1"/>
      </w:pPr>
    </w:p>
    <w:p w14:paraId="733B3789" w14:textId="77777777" w:rsidR="002E3BDC" w:rsidRPr="002E3BDC" w:rsidRDefault="002E3BDC" w:rsidP="002E3BDC"/>
    <w:p w14:paraId="2DB1C25F" w14:textId="77777777" w:rsidR="002E3BDC" w:rsidRDefault="002E3BDC" w:rsidP="001B2EAC">
      <w:pPr>
        <w:ind w:left="720" w:hanging="720"/>
      </w:pPr>
    </w:p>
    <w:p w14:paraId="51A219A7" w14:textId="77777777" w:rsidR="002E3BDC" w:rsidRDefault="002E3BDC" w:rsidP="001B2EAC">
      <w:pPr>
        <w:ind w:left="720" w:hanging="720"/>
      </w:pPr>
    </w:p>
    <w:p w14:paraId="06A04294" w14:textId="77777777" w:rsidR="002E3BDC" w:rsidRDefault="002E3BDC" w:rsidP="001B2EAC">
      <w:pPr>
        <w:ind w:left="720" w:hanging="720"/>
      </w:pPr>
    </w:p>
    <w:p w14:paraId="66B88B10" w14:textId="77777777" w:rsidR="002E3BDC" w:rsidRDefault="002E3BDC" w:rsidP="001B2EAC">
      <w:pPr>
        <w:ind w:left="720" w:hanging="720"/>
      </w:pPr>
    </w:p>
    <w:p w14:paraId="529E4403" w14:textId="77777777" w:rsidR="002E3BDC" w:rsidRDefault="002E3BDC" w:rsidP="001B2EAC">
      <w:pPr>
        <w:ind w:left="720" w:hanging="720"/>
      </w:pPr>
    </w:p>
    <w:p w14:paraId="5DE0B84F" w14:textId="77777777" w:rsidR="002E3BDC" w:rsidRDefault="002E3BDC" w:rsidP="001B2EAC">
      <w:pPr>
        <w:ind w:left="720" w:hanging="720"/>
      </w:pPr>
    </w:p>
    <w:p w14:paraId="2B2734C2" w14:textId="77777777" w:rsidR="002E3BDC" w:rsidRDefault="002E3BDC" w:rsidP="001B2EAC">
      <w:pPr>
        <w:ind w:left="720" w:hanging="720"/>
      </w:pPr>
    </w:p>
    <w:p w14:paraId="50C12E05" w14:textId="214606CE" w:rsidR="002E3BDC" w:rsidRDefault="002E3BDC" w:rsidP="002E3BDC">
      <w:pPr>
        <w:pStyle w:val="Heading1"/>
      </w:pPr>
      <w:r>
        <w:t>Bibliography:</w:t>
      </w:r>
    </w:p>
    <w:p w14:paraId="167FC17A" w14:textId="3E2E1CBB" w:rsidR="00BD3D48" w:rsidRDefault="00BD3D48" w:rsidP="00BD3D48"/>
    <w:p w14:paraId="0A1104FF" w14:textId="77777777" w:rsidR="00BD3D48" w:rsidRPr="00BD3D48" w:rsidRDefault="00BD3D48" w:rsidP="00BD3D48"/>
    <w:p w14:paraId="4EBCF731" w14:textId="13DAFF62" w:rsidR="002E3BDC" w:rsidRDefault="00BD3D48" w:rsidP="001B2EAC">
      <w:pPr>
        <w:ind w:left="720" w:hanging="720"/>
      </w:pPr>
      <w:r w:rsidRPr="00BD3D48">
        <w:t>Belmont Report, &lt;</w:t>
      </w:r>
      <w:hyperlink r:id="rId9" w:history="1">
        <w:r w:rsidRPr="00BD3D48">
          <w:rPr>
            <w:rStyle w:val="Hyperlink"/>
            <w:i/>
            <w:iCs/>
            <w:color w:val="auto"/>
            <w:u w:val="none"/>
          </w:rPr>
          <w:t>https://www.hhs.gov/ohrp/relulations</w:t>
        </w:r>
      </w:hyperlink>
      <w:r>
        <w:rPr>
          <w:i/>
          <w:iCs/>
        </w:rPr>
        <w:t xml:space="preserve">&gt;, </w:t>
      </w:r>
      <w:r>
        <w:t>{accessed 13 March 2022}</w:t>
      </w:r>
    </w:p>
    <w:p w14:paraId="7FB93F1F" w14:textId="1383BACF" w:rsidR="00BD3D48" w:rsidRDefault="00BD3D48" w:rsidP="00BD3D48">
      <w:pPr>
        <w:rPr>
          <w:shd w:val="clear" w:color="auto" w:fill="FFFFFF"/>
        </w:rPr>
      </w:pPr>
      <w:r w:rsidRPr="001B6119">
        <w:t>Brinks,</w:t>
      </w:r>
      <w:r w:rsidR="00BB347D">
        <w:t xml:space="preserve"> </w:t>
      </w:r>
      <w:r>
        <w:t>T.L, &lt;</w:t>
      </w:r>
      <w:r w:rsidRPr="00BD3D48">
        <w:rPr>
          <w:i/>
          <w:iCs/>
        </w:rPr>
        <w:t>www.</w:t>
      </w:r>
      <w:r w:rsidRPr="00BD3D48">
        <w:rPr>
          <w:i/>
          <w:iCs/>
          <w:shd w:val="clear" w:color="auto" w:fill="FFFFFF"/>
        </w:rPr>
        <w:t>https://craftonhills.academia.edu/TLBrink</w:t>
      </w:r>
      <w:r>
        <w:rPr>
          <w:shd w:val="clear" w:color="auto" w:fill="FFFFFF"/>
        </w:rPr>
        <w:t>&gt;</w:t>
      </w:r>
      <w:r w:rsidRPr="001B6119">
        <w:rPr>
          <w:shd w:val="clear" w:color="auto" w:fill="FFFFFF"/>
        </w:rPr>
        <w:t>, {accessed 2 February 2022}.</w:t>
      </w:r>
    </w:p>
    <w:p w14:paraId="59C9A6B4" w14:textId="53CF15B6" w:rsidR="007A5B45" w:rsidRDefault="001B2EAC" w:rsidP="001B2EAC">
      <w:pPr>
        <w:ind w:left="720" w:hanging="720"/>
      </w:pPr>
      <w:r w:rsidRPr="001B2EAC">
        <w:t>Bryman</w:t>
      </w:r>
      <w:r w:rsidRPr="001B2EAC">
        <w:t>, Alan</w:t>
      </w:r>
      <w:r w:rsidRPr="001B2EAC">
        <w:t xml:space="preserve">, </w:t>
      </w:r>
      <w:r w:rsidRPr="009A541D">
        <w:rPr>
          <w:i/>
          <w:iCs/>
        </w:rPr>
        <w:t>Contemporary Social Research Series: 18</w:t>
      </w:r>
      <w:r w:rsidR="00BB347D">
        <w:rPr>
          <w:i/>
          <w:iCs/>
        </w:rPr>
        <w:t>-</w:t>
      </w:r>
      <w:r w:rsidRPr="009A541D">
        <w:rPr>
          <w:i/>
          <w:iCs/>
        </w:rPr>
        <w:t xml:space="preserve"> Quantity and Quality in Social Research</w:t>
      </w:r>
      <w:r w:rsidRPr="001B2EAC">
        <w:t>, ed. Martin Bulmer (London and New York: Routledge 1988)</w:t>
      </w:r>
      <w:r>
        <w:t>.</w:t>
      </w:r>
    </w:p>
    <w:p w14:paraId="0D255482" w14:textId="4A80D184" w:rsidR="009A541D" w:rsidRDefault="009A541D" w:rsidP="009A541D">
      <w:pPr>
        <w:pStyle w:val="FootnoteText"/>
        <w:ind w:left="720" w:hanging="720"/>
        <w:rPr>
          <w:rFonts w:ascii="Calibri" w:hAnsi="Calibri" w:cs="Calibri"/>
          <w:sz w:val="22"/>
          <w:szCs w:val="22"/>
        </w:rPr>
      </w:pPr>
      <w:r w:rsidRPr="001B6119">
        <w:rPr>
          <w:rFonts w:ascii="Calibri" w:hAnsi="Calibri" w:cs="Calibri"/>
          <w:sz w:val="22"/>
          <w:szCs w:val="22"/>
        </w:rPr>
        <w:t>Filmer</w:t>
      </w:r>
      <w:r>
        <w:rPr>
          <w:rFonts w:ascii="Calibri" w:hAnsi="Calibri" w:cs="Calibri"/>
          <w:sz w:val="22"/>
          <w:szCs w:val="22"/>
        </w:rPr>
        <w:t>, Paul</w:t>
      </w:r>
      <w:r w:rsidRPr="001B6119">
        <w:rPr>
          <w:rFonts w:ascii="Calibri" w:hAnsi="Calibri" w:cs="Calibri"/>
          <w:sz w:val="22"/>
          <w:szCs w:val="22"/>
        </w:rPr>
        <w:t xml:space="preserve">, </w:t>
      </w:r>
      <w:r>
        <w:rPr>
          <w:rFonts w:ascii="Calibri" w:hAnsi="Calibri" w:cs="Calibri"/>
          <w:sz w:val="22"/>
          <w:szCs w:val="22"/>
        </w:rPr>
        <w:t xml:space="preserve">Michael </w:t>
      </w:r>
      <w:r w:rsidRPr="001B6119">
        <w:rPr>
          <w:rFonts w:ascii="Calibri" w:hAnsi="Calibri" w:cs="Calibri"/>
          <w:sz w:val="22"/>
          <w:szCs w:val="22"/>
        </w:rPr>
        <w:t>Phillipson</w:t>
      </w:r>
      <w:r>
        <w:rPr>
          <w:rFonts w:ascii="Calibri" w:hAnsi="Calibri" w:cs="Calibri"/>
          <w:sz w:val="22"/>
          <w:szCs w:val="22"/>
        </w:rPr>
        <w:t xml:space="preserve">, </w:t>
      </w:r>
      <w:r w:rsidRPr="001B6119">
        <w:rPr>
          <w:rFonts w:ascii="Calibri" w:hAnsi="Calibri" w:cs="Calibri"/>
          <w:sz w:val="22"/>
          <w:szCs w:val="22"/>
        </w:rPr>
        <w:t xml:space="preserve">David Silverman, and David Walsh, </w:t>
      </w:r>
      <w:r w:rsidRPr="001B6119">
        <w:rPr>
          <w:rFonts w:ascii="Calibri" w:hAnsi="Calibri" w:cs="Calibri"/>
          <w:i/>
          <w:iCs/>
          <w:sz w:val="22"/>
          <w:szCs w:val="22"/>
        </w:rPr>
        <w:t>New Directions in Sociological Theory</w:t>
      </w:r>
      <w:r w:rsidRPr="001B6119">
        <w:rPr>
          <w:rFonts w:ascii="Calibri" w:hAnsi="Calibri" w:cs="Calibri"/>
          <w:sz w:val="22"/>
          <w:szCs w:val="22"/>
        </w:rPr>
        <w:t xml:space="preserve">, (London: Colliers MacMillan Publishers 1972), </w:t>
      </w:r>
      <w:r>
        <w:rPr>
          <w:rFonts w:ascii="Calibri" w:hAnsi="Calibri" w:cs="Calibri"/>
          <w:sz w:val="22"/>
          <w:szCs w:val="22"/>
        </w:rPr>
        <w:t>&lt;</w:t>
      </w:r>
      <w:hyperlink r:id="rId10" w:history="1">
        <w:r w:rsidRPr="00BD3D48">
          <w:rPr>
            <w:rStyle w:val="Hyperlink"/>
            <w:rFonts w:ascii="Calibri" w:hAnsi="Calibri" w:cs="Calibri"/>
            <w:i/>
            <w:iCs/>
            <w:color w:val="auto"/>
            <w:sz w:val="22"/>
            <w:szCs w:val="22"/>
            <w:u w:val="none"/>
          </w:rPr>
          <w:t>www.https://openlibrary.org</w:t>
        </w:r>
      </w:hyperlink>
      <w:r>
        <w:rPr>
          <w:rFonts w:ascii="Calibri" w:hAnsi="Calibri" w:cs="Calibri"/>
          <w:i/>
          <w:iCs/>
          <w:sz w:val="22"/>
          <w:szCs w:val="22"/>
        </w:rPr>
        <w:t>&gt;</w:t>
      </w:r>
      <w:r w:rsidRPr="001B2EAC">
        <w:rPr>
          <w:rFonts w:ascii="Calibri" w:hAnsi="Calibri" w:cs="Calibri"/>
          <w:i/>
          <w:iCs/>
          <w:sz w:val="22"/>
          <w:szCs w:val="22"/>
        </w:rPr>
        <w:t>,</w:t>
      </w:r>
      <w:r w:rsidRPr="001B6119">
        <w:rPr>
          <w:rFonts w:ascii="Calibri" w:hAnsi="Calibri" w:cs="Calibri"/>
          <w:sz w:val="22"/>
          <w:szCs w:val="22"/>
        </w:rPr>
        <w:t xml:space="preserve"> {accessed 7 March 2022}.</w:t>
      </w:r>
    </w:p>
    <w:p w14:paraId="4B6DFCAE" w14:textId="17C6AA11" w:rsidR="00FC0B96" w:rsidRDefault="00FC0B96" w:rsidP="00FC0B96">
      <w:pPr>
        <w:ind w:left="720" w:hanging="720"/>
      </w:pPr>
      <w:r>
        <w:t>Geertz,</w:t>
      </w:r>
      <w:r>
        <w:t xml:space="preserve"> Clifford,</w:t>
      </w:r>
      <w:r>
        <w:t xml:space="preserve"> </w:t>
      </w:r>
      <w:r w:rsidRPr="006A5006">
        <w:rPr>
          <w:i/>
          <w:iCs/>
        </w:rPr>
        <w:t>The Interpretation of Cultures: Selected Essays</w:t>
      </w:r>
      <w:r w:rsidRPr="006A5006">
        <w:t>,</w:t>
      </w:r>
      <w:r>
        <w:t xml:space="preserve"> E-book, (New York: Basic Books 1973.)  {accessed 11 March </w:t>
      </w:r>
      <w:proofErr w:type="gramStart"/>
      <w:r>
        <w:t>2022 }</w:t>
      </w:r>
      <w:proofErr w:type="gramEnd"/>
      <w:r>
        <w:t>.</w:t>
      </w:r>
    </w:p>
    <w:p w14:paraId="3B7709BF" w14:textId="0F74792A" w:rsidR="00FC0B96" w:rsidRDefault="00FC0B96" w:rsidP="00FC0B96">
      <w:pPr>
        <w:ind w:left="720" w:hanging="720"/>
      </w:pPr>
      <w:r>
        <w:t>Guillemin</w:t>
      </w:r>
      <w:r>
        <w:t xml:space="preserve">, </w:t>
      </w:r>
      <w:proofErr w:type="spellStart"/>
      <w:r>
        <w:t>Marilys</w:t>
      </w:r>
      <w:proofErr w:type="spellEnd"/>
      <w:r>
        <w:t xml:space="preserve"> and Lynn Gillam, 'Ethics, Reflexivity and "Ethically Important Moments</w:t>
      </w:r>
      <w:r w:rsidR="00E1670D">
        <w:t>"</w:t>
      </w:r>
      <w:r>
        <w:t xml:space="preserve"> in Research,</w:t>
      </w:r>
      <w:r w:rsidR="00E1670D">
        <w:t>'</w:t>
      </w:r>
      <w:r>
        <w:t xml:space="preserve"> Q</w:t>
      </w:r>
      <w:r w:rsidRPr="005C128D">
        <w:rPr>
          <w:i/>
          <w:iCs/>
        </w:rPr>
        <w:t>ualitative Inquiry</w:t>
      </w:r>
      <w:r>
        <w:t>, Vol. 10, No. 2, (2004)</w:t>
      </w:r>
      <w:r>
        <w:t xml:space="preserve">, </w:t>
      </w:r>
      <w:r>
        <w:t>pp.</w:t>
      </w:r>
      <w:r w:rsidR="00E1670D">
        <w:t xml:space="preserve"> </w:t>
      </w:r>
      <w:r>
        <w:t>261-280</w:t>
      </w:r>
      <w:r>
        <w:t>.</w:t>
      </w:r>
    </w:p>
    <w:p w14:paraId="5D333F09" w14:textId="7011912F" w:rsidR="00E1670D" w:rsidRDefault="00E1670D" w:rsidP="00E1670D">
      <w:pPr>
        <w:ind w:left="720" w:hanging="720"/>
      </w:pPr>
      <w:r>
        <w:t>H</w:t>
      </w:r>
      <w:r>
        <w:t>aynes,</w:t>
      </w:r>
      <w:r>
        <w:t xml:space="preserve"> Kathryn, </w:t>
      </w:r>
      <w:r>
        <w:t xml:space="preserve">' Reflexivity in Qualitative Research' in </w:t>
      </w:r>
      <w:r w:rsidRPr="00A93D8B">
        <w:rPr>
          <w:i/>
          <w:iCs/>
        </w:rPr>
        <w:t>Qualitative Organizational Research</w:t>
      </w:r>
      <w:r>
        <w:t>, eds. Gillian Symon and Catherine Cassell, (Los Angeles, London, New Delhi, Singapore, Washington DC: Sage Publications, 2021)</w:t>
      </w:r>
      <w:r>
        <w:t>,</w:t>
      </w:r>
      <w:r>
        <w:t xml:space="preserve"> pp.72-89</w:t>
      </w:r>
      <w:r>
        <w:t>.</w:t>
      </w:r>
    </w:p>
    <w:p w14:paraId="729463A9" w14:textId="1E302A12" w:rsidR="004501DE" w:rsidRPr="002E3BDC" w:rsidRDefault="002E3BDC" w:rsidP="002E3BDC">
      <w:pPr>
        <w:ind w:left="720" w:hanging="720"/>
      </w:pPr>
      <w:proofErr w:type="spellStart"/>
      <w:r>
        <w:t>Hennink</w:t>
      </w:r>
      <w:proofErr w:type="spellEnd"/>
      <w:r>
        <w:t>,</w:t>
      </w:r>
      <w:r>
        <w:t xml:space="preserve"> Monique,</w:t>
      </w:r>
      <w:r>
        <w:t xml:space="preserve"> Inge </w:t>
      </w:r>
      <w:proofErr w:type="spellStart"/>
      <w:r>
        <w:t>Hutter</w:t>
      </w:r>
      <w:proofErr w:type="spellEnd"/>
      <w:r>
        <w:t>,</w:t>
      </w:r>
      <w:r>
        <w:t xml:space="preserve"> and Ajay Bailey, </w:t>
      </w:r>
      <w:r w:rsidRPr="005C128D">
        <w:rPr>
          <w:i/>
          <w:iCs/>
        </w:rPr>
        <w:t>Qualitative Research Methods</w:t>
      </w:r>
      <w:r>
        <w:t>, 2</w:t>
      </w:r>
      <w:r w:rsidRPr="005C128D">
        <w:rPr>
          <w:vertAlign w:val="superscript"/>
        </w:rPr>
        <w:t>nd</w:t>
      </w:r>
      <w:r>
        <w:t xml:space="preserve"> Edition (</w:t>
      </w:r>
      <w:r w:rsidR="00BB347D">
        <w:t xml:space="preserve">Los Angeles, London, </w:t>
      </w:r>
      <w:r>
        <w:t>New Delhi</w:t>
      </w:r>
      <w:r w:rsidR="00BB347D">
        <w:t>, Singapore, Washington DC</w:t>
      </w:r>
      <w:r>
        <w:t>: Sage Publications 2020) p. 116-117</w:t>
      </w:r>
      <w:r>
        <w:t>.</w:t>
      </w:r>
    </w:p>
    <w:p w14:paraId="7E96921A" w14:textId="5E078A01" w:rsidR="007A5B45" w:rsidRPr="001B6119" w:rsidRDefault="007A5B45" w:rsidP="007A5B45">
      <w:pPr>
        <w:pStyle w:val="FootnoteText"/>
        <w:rPr>
          <w:rFonts w:ascii="Calibri" w:hAnsi="Calibri" w:cs="Calibri"/>
          <w:sz w:val="22"/>
          <w:szCs w:val="22"/>
        </w:rPr>
      </w:pPr>
      <w:r w:rsidRPr="001B6119">
        <w:rPr>
          <w:rFonts w:ascii="Calibri" w:hAnsi="Calibri" w:cs="Calibri"/>
          <w:sz w:val="22"/>
          <w:szCs w:val="22"/>
        </w:rPr>
        <w:t xml:space="preserve">Society for the Scientific Study of Religion, </w:t>
      </w:r>
      <w:r w:rsidR="001B2EAC">
        <w:rPr>
          <w:rFonts w:ascii="Calibri" w:hAnsi="Calibri" w:cs="Calibri"/>
          <w:sz w:val="22"/>
          <w:szCs w:val="22"/>
        </w:rPr>
        <w:t>&lt;</w:t>
      </w:r>
      <w:hyperlink r:id="rId11" w:history="1">
        <w:r w:rsidR="001B2EAC" w:rsidRPr="00BD3D48">
          <w:rPr>
            <w:rStyle w:val="Hyperlink"/>
            <w:rFonts w:ascii="Calibri" w:hAnsi="Calibri" w:cs="Calibri"/>
            <w:i/>
            <w:iCs/>
            <w:color w:val="auto"/>
            <w:sz w:val="22"/>
            <w:szCs w:val="22"/>
            <w:u w:val="none"/>
          </w:rPr>
          <w:t>www.https://JSTOR.org</w:t>
        </w:r>
      </w:hyperlink>
      <w:r w:rsidR="001B2EAC">
        <w:rPr>
          <w:rStyle w:val="Hyperlink"/>
          <w:rFonts w:ascii="Calibri" w:hAnsi="Calibri" w:cs="Calibri"/>
          <w:i/>
          <w:iCs/>
          <w:color w:val="auto"/>
          <w:sz w:val="22"/>
          <w:szCs w:val="22"/>
          <w:u w:val="none"/>
        </w:rPr>
        <w:t>&gt;</w:t>
      </w:r>
      <w:r w:rsidRPr="001B2EAC">
        <w:rPr>
          <w:rFonts w:ascii="Calibri" w:hAnsi="Calibri" w:cs="Calibri"/>
          <w:sz w:val="22"/>
          <w:szCs w:val="22"/>
        </w:rPr>
        <w:t xml:space="preserve">, </w:t>
      </w:r>
      <w:r w:rsidRPr="001B6119">
        <w:rPr>
          <w:rFonts w:ascii="Calibri" w:hAnsi="Calibri" w:cs="Calibri"/>
          <w:sz w:val="22"/>
          <w:szCs w:val="22"/>
        </w:rPr>
        <w:t>{accessed 7 March 2022}.</w:t>
      </w:r>
    </w:p>
    <w:p w14:paraId="3A16CD86" w14:textId="77777777" w:rsidR="004501DE" w:rsidRPr="001B6119" w:rsidRDefault="004501DE" w:rsidP="002E3BDC">
      <w:pPr>
        <w:pStyle w:val="FootnoteText"/>
        <w:rPr>
          <w:rFonts w:ascii="Calibri" w:hAnsi="Calibri" w:cs="Calibri"/>
          <w:sz w:val="22"/>
          <w:szCs w:val="22"/>
        </w:rPr>
      </w:pPr>
    </w:p>
    <w:p w14:paraId="6326DB6F" w14:textId="6DB45936" w:rsidR="007A5B45" w:rsidRPr="001B6119" w:rsidRDefault="007A5B45" w:rsidP="007A5B45">
      <w:pPr>
        <w:rPr>
          <w:rFonts w:ascii="Calibri" w:hAnsi="Calibri" w:cs="Calibri"/>
        </w:rPr>
      </w:pPr>
      <w:r w:rsidRPr="001B6119">
        <w:rPr>
          <w:rFonts w:ascii="Calibri" w:hAnsi="Calibri" w:cs="Calibri"/>
        </w:rPr>
        <w:t xml:space="preserve">Sociology of Religion, </w:t>
      </w:r>
      <w:r w:rsidR="001B2EAC">
        <w:rPr>
          <w:rFonts w:ascii="Calibri" w:hAnsi="Calibri" w:cs="Calibri"/>
        </w:rPr>
        <w:t>&lt;</w:t>
      </w:r>
      <w:r w:rsidR="001B2EAC" w:rsidRPr="001B2EAC">
        <w:rPr>
          <w:rFonts w:ascii="Calibri" w:hAnsi="Calibri" w:cs="Calibri"/>
          <w:i/>
          <w:iCs/>
        </w:rPr>
        <w:t>www.</w:t>
      </w:r>
      <w:hyperlink r:id="rId12" w:history="1">
        <w:r w:rsidR="001B2EAC" w:rsidRPr="001B2EAC">
          <w:rPr>
            <w:rStyle w:val="Hyperlink"/>
            <w:rFonts w:ascii="Calibri" w:hAnsi="Calibri" w:cs="Calibri"/>
            <w:i/>
            <w:iCs/>
            <w:color w:val="auto"/>
            <w:u w:val="none"/>
          </w:rPr>
          <w:t>https://www.JSTOR.org</w:t>
        </w:r>
      </w:hyperlink>
      <w:r w:rsidR="001B2EAC">
        <w:rPr>
          <w:rFonts w:ascii="Calibri" w:hAnsi="Calibri" w:cs="Calibri"/>
          <w:i/>
          <w:iCs/>
        </w:rPr>
        <w:t>&gt;</w:t>
      </w:r>
      <w:r w:rsidRPr="001B6119">
        <w:rPr>
          <w:rFonts w:ascii="Calibri" w:hAnsi="Calibri" w:cs="Calibri"/>
          <w:i/>
          <w:iCs/>
        </w:rPr>
        <w:t xml:space="preserve">, </w:t>
      </w:r>
      <w:r w:rsidRPr="001B6119">
        <w:rPr>
          <w:rFonts w:ascii="Calibri" w:hAnsi="Calibri" w:cs="Calibri"/>
        </w:rPr>
        <w:t>{accessed 7 March 2022}.</w:t>
      </w:r>
      <w:r w:rsidRPr="001B6119">
        <w:rPr>
          <w:rStyle w:val="EndnoteReference"/>
          <w:rFonts w:ascii="Calibri" w:hAnsi="Calibri" w:cs="Calibri"/>
        </w:rPr>
        <w:footnoteRef/>
      </w:r>
    </w:p>
    <w:p w14:paraId="46F6BFEC" w14:textId="00B781E0" w:rsidR="007A5B45" w:rsidRDefault="009A541D" w:rsidP="002E3BDC">
      <w:pPr>
        <w:pStyle w:val="FootnoteText"/>
        <w:ind w:left="720" w:hanging="720"/>
        <w:rPr>
          <w:rFonts w:ascii="Calibri" w:hAnsi="Calibri" w:cs="Calibri"/>
          <w:sz w:val="22"/>
          <w:szCs w:val="22"/>
        </w:rPr>
      </w:pPr>
      <w:r w:rsidRPr="001B6119">
        <w:rPr>
          <w:rFonts w:ascii="Calibri" w:hAnsi="Calibri" w:cs="Calibri"/>
          <w:sz w:val="22"/>
          <w:szCs w:val="22"/>
        </w:rPr>
        <w:lastRenderedPageBreak/>
        <w:t>Walter</w:t>
      </w:r>
      <w:r>
        <w:rPr>
          <w:rFonts w:ascii="Calibri" w:hAnsi="Calibri" w:cs="Calibri"/>
          <w:sz w:val="22"/>
          <w:szCs w:val="22"/>
        </w:rPr>
        <w:t>, Tony &lt;</w:t>
      </w:r>
      <w:r w:rsidRPr="001B2EAC">
        <w:rPr>
          <w:rFonts w:ascii="Calibri" w:hAnsi="Calibri" w:cs="Calibri"/>
          <w:i/>
          <w:iCs/>
          <w:sz w:val="22"/>
          <w:szCs w:val="22"/>
        </w:rPr>
        <w:t>www.h</w:t>
      </w:r>
      <w:hyperlink r:id="rId13" w:history="1">
        <w:r w:rsidRPr="001B2EAC">
          <w:rPr>
            <w:rStyle w:val="Hyperlink"/>
            <w:rFonts w:ascii="Calibri" w:hAnsi="Calibri" w:cs="Calibri"/>
            <w:i/>
            <w:iCs/>
            <w:color w:val="auto"/>
            <w:sz w:val="22"/>
            <w:szCs w:val="22"/>
            <w:u w:val="none"/>
          </w:rPr>
          <w:t>ttps://researchportal.bath.ac.uk/en/persons/tony-walter</w:t>
        </w:r>
      </w:hyperlink>
      <w:r>
        <w:rPr>
          <w:rFonts w:ascii="Calibri" w:hAnsi="Calibri" w:cs="Calibri"/>
          <w:sz w:val="22"/>
          <w:szCs w:val="22"/>
        </w:rPr>
        <w:t>&gt; {acc</w:t>
      </w:r>
      <w:r w:rsidRPr="001B6119">
        <w:rPr>
          <w:rFonts w:ascii="Calibri" w:hAnsi="Calibri" w:cs="Calibri"/>
          <w:sz w:val="22"/>
          <w:szCs w:val="22"/>
        </w:rPr>
        <w:t>essed 5 March 2022}.</w:t>
      </w:r>
    </w:p>
    <w:p w14:paraId="1AFE1A5C" w14:textId="77777777" w:rsidR="00BD3D48" w:rsidRPr="001B6119" w:rsidRDefault="00BD3D48" w:rsidP="002E3BDC">
      <w:pPr>
        <w:pStyle w:val="FootnoteText"/>
        <w:ind w:left="720" w:hanging="720"/>
        <w:rPr>
          <w:rFonts w:ascii="Calibri" w:hAnsi="Calibri" w:cs="Calibri"/>
          <w:sz w:val="22"/>
          <w:szCs w:val="22"/>
        </w:rPr>
      </w:pPr>
    </w:p>
    <w:p w14:paraId="5B9B1EB6" w14:textId="2E5B4511" w:rsidR="008D0E6B" w:rsidRDefault="008D0E6B" w:rsidP="008D0E6B">
      <w:pPr>
        <w:ind w:left="720" w:hanging="720"/>
      </w:pPr>
      <w:r>
        <w:t>Walter</w:t>
      </w:r>
      <w:r w:rsidR="009A541D">
        <w:t>, T,</w:t>
      </w:r>
      <w:r>
        <w:t xml:space="preserve"> and Waterhouse,</w:t>
      </w:r>
      <w:r w:rsidR="009A541D">
        <w:t xml:space="preserve"> H.,</w:t>
      </w:r>
      <w:r>
        <w:t xml:space="preserve"> </w:t>
      </w:r>
      <w:r w:rsidR="00FC0B96">
        <w:t>'</w:t>
      </w:r>
      <w:r>
        <w:t>A Very Private Belief: Reincarnation in Contemporary England</w:t>
      </w:r>
      <w:r w:rsidR="002E3BDC">
        <w:t>,'</w:t>
      </w:r>
      <w:r>
        <w:t xml:space="preserve"> </w:t>
      </w:r>
      <w:r w:rsidRPr="00FE1A7F">
        <w:rPr>
          <w:i/>
          <w:iCs/>
        </w:rPr>
        <w:t>Sociology of Religion</w:t>
      </w:r>
      <w:r>
        <w:t>, Vol.60, No.2, (1999), pp. 187-197</w:t>
      </w:r>
    </w:p>
    <w:p w14:paraId="7E844D76" w14:textId="77777777" w:rsidR="009A541D" w:rsidRPr="001B6119" w:rsidRDefault="009A541D" w:rsidP="009A541D">
      <w:pPr>
        <w:pStyle w:val="FootnoteText"/>
        <w:rPr>
          <w:rFonts w:ascii="Calibri" w:hAnsi="Calibri" w:cs="Calibri"/>
          <w:sz w:val="22"/>
          <w:szCs w:val="22"/>
        </w:rPr>
      </w:pPr>
      <w:r w:rsidRPr="001B6119">
        <w:rPr>
          <w:rFonts w:ascii="Calibri" w:hAnsi="Calibri" w:cs="Calibri"/>
          <w:sz w:val="22"/>
          <w:szCs w:val="22"/>
        </w:rPr>
        <w:t>Waterhouse,</w:t>
      </w:r>
      <w:r>
        <w:rPr>
          <w:rFonts w:ascii="Calibri" w:hAnsi="Calibri" w:cs="Calibri"/>
          <w:sz w:val="22"/>
          <w:szCs w:val="22"/>
        </w:rPr>
        <w:t xml:space="preserve"> Helen </w:t>
      </w:r>
      <w:r w:rsidRPr="001B2EAC">
        <w:rPr>
          <w:rFonts w:ascii="Calibri" w:hAnsi="Calibri" w:cs="Calibri"/>
          <w:sz w:val="22"/>
          <w:szCs w:val="22"/>
        </w:rPr>
        <w:t>&lt;</w:t>
      </w:r>
      <w:r w:rsidRPr="001B2EAC">
        <w:rPr>
          <w:rFonts w:ascii="Calibri" w:hAnsi="Calibri" w:cs="Calibri"/>
          <w:i/>
          <w:iCs/>
          <w:sz w:val="22"/>
          <w:szCs w:val="22"/>
        </w:rPr>
        <w:t>www.</w:t>
      </w:r>
      <w:hyperlink r:id="rId14" w:history="1">
        <w:r w:rsidRPr="001B2EAC">
          <w:rPr>
            <w:rStyle w:val="Hyperlink"/>
            <w:rFonts w:ascii="Calibri" w:hAnsi="Calibri" w:cs="Calibri"/>
            <w:i/>
            <w:iCs/>
            <w:color w:val="auto"/>
            <w:sz w:val="22"/>
            <w:szCs w:val="22"/>
            <w:u w:val="none"/>
          </w:rPr>
          <w:t>https://open.academia.edu/helenwaterhouse</w:t>
        </w:r>
      </w:hyperlink>
      <w:r w:rsidRPr="001B2EAC">
        <w:rPr>
          <w:rFonts w:ascii="Calibri" w:hAnsi="Calibri" w:cs="Calibri"/>
          <w:i/>
          <w:iCs/>
          <w:sz w:val="22"/>
          <w:szCs w:val="22"/>
        </w:rPr>
        <w:t>&gt;</w:t>
      </w:r>
      <w:proofErr w:type="gramStart"/>
      <w:r>
        <w:rPr>
          <w:rFonts w:ascii="Calibri" w:hAnsi="Calibri" w:cs="Calibri"/>
          <w:sz w:val="22"/>
          <w:szCs w:val="22"/>
        </w:rPr>
        <w:t xml:space="preserve"> </w:t>
      </w:r>
      <w:r w:rsidRPr="001B6119">
        <w:rPr>
          <w:rFonts w:ascii="Calibri" w:hAnsi="Calibri" w:cs="Calibri"/>
          <w:sz w:val="22"/>
          <w:szCs w:val="22"/>
        </w:rPr>
        <w:t xml:space="preserve">  {</w:t>
      </w:r>
      <w:proofErr w:type="gramEnd"/>
      <w:r w:rsidRPr="001B6119">
        <w:rPr>
          <w:rFonts w:ascii="Calibri" w:hAnsi="Calibri" w:cs="Calibri"/>
          <w:sz w:val="22"/>
          <w:szCs w:val="22"/>
        </w:rPr>
        <w:t>accessed 5 March 2022}.</w:t>
      </w:r>
    </w:p>
    <w:p w14:paraId="1F9A3987" w14:textId="77777777" w:rsidR="009A541D" w:rsidRDefault="009A541D" w:rsidP="008D0E6B">
      <w:pPr>
        <w:ind w:left="720" w:hanging="720"/>
      </w:pPr>
    </w:p>
    <w:p w14:paraId="5D73D1CA" w14:textId="77777777" w:rsidR="009A541D" w:rsidRDefault="009A541D" w:rsidP="008D0E6B">
      <w:pPr>
        <w:ind w:left="720" w:hanging="720"/>
      </w:pPr>
    </w:p>
    <w:p w14:paraId="53D255DA" w14:textId="21B0F941" w:rsidR="00CA5BD0" w:rsidRDefault="00CA5BD0" w:rsidP="008D0E6B">
      <w:pPr>
        <w:ind w:left="720" w:hanging="720"/>
      </w:pPr>
      <w:r>
        <w:t xml:space="preserve"> </w:t>
      </w:r>
    </w:p>
    <w:p w14:paraId="721DD059" w14:textId="77777777" w:rsidR="00A21348" w:rsidRDefault="00A21348" w:rsidP="008D0E6B">
      <w:pPr>
        <w:ind w:left="720" w:hanging="720"/>
      </w:pPr>
    </w:p>
    <w:p w14:paraId="16241604" w14:textId="77777777" w:rsidR="006A5006" w:rsidRDefault="006A5006" w:rsidP="008D0E6B">
      <w:pPr>
        <w:ind w:left="720" w:hanging="720"/>
      </w:pPr>
    </w:p>
    <w:p w14:paraId="2E61A926" w14:textId="77777777" w:rsidR="005C128D" w:rsidRDefault="005C128D" w:rsidP="008D0E6B">
      <w:pPr>
        <w:ind w:left="720" w:hanging="720"/>
      </w:pPr>
    </w:p>
    <w:p w14:paraId="2A8ACF91" w14:textId="77777777" w:rsidR="005C128D" w:rsidRDefault="005C128D" w:rsidP="008D0E6B">
      <w:pPr>
        <w:ind w:left="720" w:hanging="720"/>
      </w:pPr>
    </w:p>
    <w:p w14:paraId="6250F864" w14:textId="77777777" w:rsidR="00C51A53" w:rsidRDefault="00C51A53" w:rsidP="00C51A53">
      <w:pPr>
        <w:pStyle w:val="Heading1"/>
      </w:pPr>
    </w:p>
    <w:p w14:paraId="179BADEA" w14:textId="77777777" w:rsidR="00C51A53" w:rsidRDefault="00C51A53" w:rsidP="00C51A53">
      <w:pPr>
        <w:pStyle w:val="Heading1"/>
      </w:pPr>
    </w:p>
    <w:p w14:paraId="20990C49" w14:textId="77777777" w:rsidR="00C51A53" w:rsidRDefault="00C51A53" w:rsidP="00C51A53">
      <w:pPr>
        <w:pStyle w:val="Heading1"/>
      </w:pPr>
    </w:p>
    <w:p w14:paraId="02320696" w14:textId="77777777" w:rsidR="00C51A53" w:rsidRDefault="00C51A53" w:rsidP="00C51A53">
      <w:pPr>
        <w:pStyle w:val="Heading1"/>
      </w:pPr>
    </w:p>
    <w:p w14:paraId="4E5F6D2B" w14:textId="77777777" w:rsidR="00C51A53" w:rsidRDefault="00C51A53" w:rsidP="00C51A53">
      <w:pPr>
        <w:pStyle w:val="Heading1"/>
      </w:pPr>
    </w:p>
    <w:p w14:paraId="1E96E9CF" w14:textId="77777777" w:rsidR="00C51A53" w:rsidRDefault="00C51A53" w:rsidP="00C51A53">
      <w:pPr>
        <w:pStyle w:val="Heading1"/>
      </w:pPr>
    </w:p>
    <w:p w14:paraId="23E0CF7C" w14:textId="77777777" w:rsidR="00C51A53" w:rsidRDefault="00C51A53" w:rsidP="00C51A53">
      <w:pPr>
        <w:pStyle w:val="Heading1"/>
      </w:pPr>
    </w:p>
    <w:p w14:paraId="6E93542B" w14:textId="77777777" w:rsidR="00C51A53" w:rsidRDefault="00C51A53" w:rsidP="00C51A53">
      <w:pPr>
        <w:pStyle w:val="Heading1"/>
      </w:pPr>
    </w:p>
    <w:p w14:paraId="634028F5" w14:textId="77777777" w:rsidR="00C51A53" w:rsidRDefault="00C51A53" w:rsidP="00C51A53"/>
    <w:p w14:paraId="7E7A39C4" w14:textId="77777777" w:rsidR="007A5B45" w:rsidRPr="007A5B45" w:rsidRDefault="007A5B45" w:rsidP="007A5B45"/>
    <w:p w14:paraId="54C29DE1" w14:textId="77777777" w:rsidR="007A5B45" w:rsidRPr="007A5B45" w:rsidRDefault="007A5B45" w:rsidP="007A5B45"/>
    <w:p w14:paraId="76A59262" w14:textId="77777777" w:rsidR="00FE1A7F" w:rsidRDefault="00FE1A7F" w:rsidP="00FE1A7F"/>
    <w:p w14:paraId="3B819811" w14:textId="77777777" w:rsidR="00FE1A7F" w:rsidRPr="00FE1A7F" w:rsidRDefault="00FE1A7F" w:rsidP="00FE1A7F">
      <w:pPr>
        <w:pStyle w:val="NoSpacing"/>
      </w:pPr>
    </w:p>
    <w:p w14:paraId="307A46AC" w14:textId="77777777" w:rsidR="00FE1A7F" w:rsidRPr="00FE1A7F" w:rsidRDefault="00FE1A7F" w:rsidP="00FE1A7F"/>
    <w:p w14:paraId="79286F31" w14:textId="77777777" w:rsidR="00FE1A7F" w:rsidRPr="00FE1A7F" w:rsidRDefault="00FE1A7F" w:rsidP="00FE1A7F"/>
    <w:sectPr w:rsidR="00FE1A7F" w:rsidRPr="00FE1A7F">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C88D3" w14:textId="77777777" w:rsidR="00FE1A7F" w:rsidRDefault="00FE1A7F" w:rsidP="00FE1A7F">
      <w:pPr>
        <w:spacing w:after="0" w:line="240" w:lineRule="auto"/>
      </w:pPr>
      <w:r>
        <w:separator/>
      </w:r>
    </w:p>
  </w:endnote>
  <w:endnote w:type="continuationSeparator" w:id="0">
    <w:p w14:paraId="3EED890C" w14:textId="77777777" w:rsidR="00FE1A7F" w:rsidRDefault="00FE1A7F" w:rsidP="00FE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03FC" w14:textId="77777777" w:rsidR="00FE1A7F" w:rsidRDefault="00FE1A7F" w:rsidP="00FE1A7F">
      <w:pPr>
        <w:spacing w:after="0" w:line="240" w:lineRule="auto"/>
      </w:pPr>
      <w:r>
        <w:separator/>
      </w:r>
    </w:p>
  </w:footnote>
  <w:footnote w:type="continuationSeparator" w:id="0">
    <w:p w14:paraId="2418B2F0" w14:textId="77777777" w:rsidR="00FE1A7F" w:rsidRDefault="00FE1A7F" w:rsidP="00FE1A7F">
      <w:pPr>
        <w:spacing w:after="0" w:line="240" w:lineRule="auto"/>
      </w:pPr>
      <w:r>
        <w:continuationSeparator/>
      </w:r>
    </w:p>
  </w:footnote>
  <w:footnote w:id="1">
    <w:p w14:paraId="65EEAAC3" w14:textId="02E76106" w:rsidR="008D0E6B" w:rsidRPr="0030206C" w:rsidRDefault="008D0E6B" w:rsidP="008D0E6B">
      <w:pPr>
        <w:pStyle w:val="FootnoteText"/>
        <w:ind w:left="720" w:hanging="720"/>
      </w:pPr>
      <w:r>
        <w:rPr>
          <w:rStyle w:val="FootnoteReference"/>
        </w:rPr>
        <w:footnoteRef/>
      </w:r>
      <w:r>
        <w:t xml:space="preserve"> </w:t>
      </w:r>
      <w:r w:rsidRPr="0030206C">
        <w:t>T.L. Brink,</w:t>
      </w:r>
      <w:r w:rsidRPr="0030206C">
        <w:t xml:space="preserve"> ‘</w:t>
      </w:r>
      <w:r w:rsidRPr="0030206C">
        <w:t>Inconsistency of Beliefs among Roman Catholic Girls: Religion, Astrology, and Reincarnation</w:t>
      </w:r>
      <w:r w:rsidRPr="0030206C">
        <w:t>’</w:t>
      </w:r>
      <w:r w:rsidRPr="0030206C">
        <w:t xml:space="preserve">, </w:t>
      </w:r>
      <w:r w:rsidRPr="0030206C">
        <w:rPr>
          <w:i/>
          <w:iCs/>
        </w:rPr>
        <w:t>Review of Religious Research</w:t>
      </w:r>
      <w:r w:rsidRPr="0030206C">
        <w:t>, Vol.20, No.1, (1978) pp. 82-85</w:t>
      </w:r>
    </w:p>
  </w:footnote>
  <w:footnote w:id="2">
    <w:p w14:paraId="5EAE8A30" w14:textId="5EF396AA" w:rsidR="008D0E6B" w:rsidRPr="0030206C" w:rsidRDefault="008D0E6B" w:rsidP="008D0E6B">
      <w:pPr>
        <w:pStyle w:val="FootnoteText"/>
        <w:ind w:left="720" w:hanging="720"/>
      </w:pPr>
      <w:r w:rsidRPr="0030206C">
        <w:rPr>
          <w:rStyle w:val="FootnoteReference"/>
        </w:rPr>
        <w:footnoteRef/>
      </w:r>
      <w:r w:rsidRPr="0030206C">
        <w:t xml:space="preserve"> </w:t>
      </w:r>
      <w:r w:rsidRPr="0030206C">
        <w:t xml:space="preserve">T. Walter and H. Waterhouse, A Very Private Belief: Reincarnation in Contemporary England, </w:t>
      </w:r>
      <w:r w:rsidRPr="0030206C">
        <w:rPr>
          <w:i/>
          <w:iCs/>
        </w:rPr>
        <w:t>Sociology of Religion</w:t>
      </w:r>
      <w:r w:rsidRPr="0030206C">
        <w:t>, Vol.60, No.2, (1999), pp. 187-197</w:t>
      </w:r>
    </w:p>
  </w:footnote>
  <w:footnote w:id="3">
    <w:p w14:paraId="4C128590" w14:textId="7ABFA996" w:rsidR="00F7077E" w:rsidRPr="0030206C" w:rsidRDefault="00F7077E" w:rsidP="00F7077E">
      <w:pPr>
        <w:pStyle w:val="FootnoteText"/>
      </w:pPr>
      <w:r w:rsidRPr="0030206C">
        <w:rPr>
          <w:rStyle w:val="FootnoteReference"/>
        </w:rPr>
        <w:footnoteRef/>
      </w:r>
      <w:r w:rsidRPr="0030206C">
        <w:t xml:space="preserve"> T.L. Brink</w:t>
      </w:r>
      <w:r w:rsidRPr="0030206C">
        <w:rPr>
          <w:rFonts w:ascii="Calibri" w:hAnsi="Calibri" w:cs="Calibri"/>
          <w:i/>
          <w:iCs/>
          <w:color w:val="000000" w:themeColor="text1"/>
        </w:rPr>
        <w:t>,</w:t>
      </w:r>
      <w:r w:rsidR="00992479">
        <w:rPr>
          <w:rFonts w:ascii="Calibri" w:hAnsi="Calibri" w:cs="Calibri"/>
          <w:i/>
          <w:iCs/>
          <w:color w:val="000000" w:themeColor="text1"/>
        </w:rPr>
        <w:t xml:space="preserve"> </w:t>
      </w:r>
      <w:r w:rsidR="0030206C">
        <w:rPr>
          <w:rFonts w:ascii="Calibri" w:hAnsi="Calibri" w:cs="Calibri"/>
          <w:i/>
          <w:iCs/>
          <w:color w:val="000000" w:themeColor="text1"/>
        </w:rPr>
        <w:t>&lt;</w:t>
      </w:r>
      <w:r w:rsidR="002C028D" w:rsidRPr="0030206C">
        <w:rPr>
          <w:rFonts w:ascii="Calibri" w:hAnsi="Calibri" w:cs="Calibri"/>
          <w:i/>
          <w:iCs/>
          <w:color w:val="000000" w:themeColor="text1"/>
        </w:rPr>
        <w:t xml:space="preserve"> www.</w:t>
      </w:r>
      <w:r w:rsidRPr="0030206C">
        <w:rPr>
          <w:rFonts w:ascii="Calibri" w:hAnsi="Calibri" w:cs="Calibri"/>
          <w:i/>
          <w:iCs/>
          <w:color w:val="000000" w:themeColor="text1"/>
          <w:shd w:val="clear" w:color="auto" w:fill="FFFFFF"/>
        </w:rPr>
        <w:t>https://craftonhills.academia.edu</w:t>
      </w:r>
      <w:r w:rsidR="002C028D" w:rsidRPr="0030206C">
        <w:rPr>
          <w:rFonts w:ascii="Calibri" w:hAnsi="Calibri" w:cs="Calibri"/>
          <w:i/>
          <w:iCs/>
          <w:color w:val="000000" w:themeColor="text1"/>
          <w:shd w:val="clear" w:color="auto" w:fill="FFFFFF"/>
        </w:rPr>
        <w:t>/</w:t>
      </w:r>
      <w:r w:rsidRPr="0030206C">
        <w:rPr>
          <w:rFonts w:ascii="Calibri" w:hAnsi="Calibri" w:cs="Calibri"/>
          <w:i/>
          <w:iCs/>
          <w:color w:val="000000" w:themeColor="text1"/>
          <w:shd w:val="clear" w:color="auto" w:fill="FFFFFF"/>
        </w:rPr>
        <w:t>TLBrink</w:t>
      </w:r>
      <w:r w:rsidR="0030206C">
        <w:rPr>
          <w:rFonts w:ascii="Calibri" w:hAnsi="Calibri" w:cs="Calibri"/>
          <w:i/>
          <w:iCs/>
          <w:color w:val="000000" w:themeColor="text1"/>
          <w:shd w:val="clear" w:color="auto" w:fill="FFFFFF"/>
        </w:rPr>
        <w:t>&gt;</w:t>
      </w:r>
      <w:r w:rsidRPr="0030206C">
        <w:rPr>
          <w:rFonts w:ascii="Calibri" w:hAnsi="Calibri" w:cs="Calibri"/>
          <w:i/>
          <w:iCs/>
          <w:color w:val="000000" w:themeColor="text1"/>
          <w:shd w:val="clear" w:color="auto" w:fill="FFFFFF"/>
        </w:rPr>
        <w:t xml:space="preserve">, </w:t>
      </w:r>
      <w:r w:rsidRPr="0030206C">
        <w:rPr>
          <w:rFonts w:ascii="Calibri" w:hAnsi="Calibri" w:cs="Calibri"/>
          <w:color w:val="000000" w:themeColor="text1"/>
          <w:shd w:val="clear" w:color="auto" w:fill="FFFFFF"/>
        </w:rPr>
        <w:t>{accessed 2 February 2022}.</w:t>
      </w:r>
    </w:p>
  </w:footnote>
  <w:footnote w:id="4">
    <w:p w14:paraId="2A43753E" w14:textId="25D9D309" w:rsidR="001A21DC" w:rsidRPr="0030206C" w:rsidRDefault="001A21DC">
      <w:pPr>
        <w:pStyle w:val="FootnoteText"/>
      </w:pPr>
      <w:r w:rsidRPr="0030206C">
        <w:rPr>
          <w:rStyle w:val="FootnoteReference"/>
        </w:rPr>
        <w:footnoteRef/>
      </w:r>
      <w:r w:rsidRPr="0030206C">
        <w:t xml:space="preserve"> </w:t>
      </w:r>
      <w:r w:rsidR="00D35C74" w:rsidRPr="0030206C">
        <w:t>Tony Walter,</w:t>
      </w:r>
      <w:r w:rsidR="00992479">
        <w:t xml:space="preserve"> </w:t>
      </w:r>
      <w:r w:rsidR="0030206C">
        <w:t>&lt;</w:t>
      </w:r>
      <w:r w:rsidR="0030206C" w:rsidRPr="0030206C">
        <w:rPr>
          <w:rFonts w:ascii="Calibri" w:hAnsi="Calibri" w:cs="Calibri"/>
          <w:i/>
          <w:iCs/>
        </w:rPr>
        <w:t>www.h</w:t>
      </w:r>
      <w:hyperlink r:id="rId1" w:history="1">
        <w:r w:rsidR="0030206C" w:rsidRPr="0030206C">
          <w:rPr>
            <w:rStyle w:val="Hyperlink"/>
            <w:rFonts w:ascii="Calibri" w:hAnsi="Calibri" w:cs="Calibri"/>
            <w:i/>
            <w:iCs/>
            <w:color w:val="auto"/>
            <w:u w:val="none"/>
          </w:rPr>
          <w:t>ttps://researchportal.bath.ac.uk/en/persons/tony-walter</w:t>
        </w:r>
      </w:hyperlink>
      <w:r w:rsidR="0030206C">
        <w:rPr>
          <w:rFonts w:ascii="Calibri" w:hAnsi="Calibri" w:cs="Calibri"/>
          <w:i/>
          <w:iCs/>
        </w:rPr>
        <w:t>&gt;</w:t>
      </w:r>
      <w:r w:rsidR="00D35C74" w:rsidRPr="0030206C">
        <w:rPr>
          <w:i/>
          <w:iCs/>
        </w:rPr>
        <w:t>,</w:t>
      </w:r>
      <w:r w:rsidR="0030206C" w:rsidRPr="0030206C">
        <w:rPr>
          <w:i/>
          <w:iCs/>
        </w:rPr>
        <w:t xml:space="preserve"> </w:t>
      </w:r>
      <w:r w:rsidR="00D35C74" w:rsidRPr="0030206C">
        <w:t>{accessed 5 March 2022}</w:t>
      </w:r>
      <w:r w:rsidR="006852AC" w:rsidRPr="0030206C">
        <w:t>.</w:t>
      </w:r>
    </w:p>
  </w:footnote>
  <w:footnote w:id="5">
    <w:p w14:paraId="0A8F5EC2" w14:textId="4A0A988F" w:rsidR="006852AC" w:rsidRPr="0030206C" w:rsidRDefault="006852AC">
      <w:pPr>
        <w:pStyle w:val="FootnoteText"/>
      </w:pPr>
      <w:r w:rsidRPr="0030206C">
        <w:rPr>
          <w:rStyle w:val="FootnoteReference"/>
        </w:rPr>
        <w:footnoteRef/>
      </w:r>
      <w:r w:rsidRPr="0030206C">
        <w:t xml:space="preserve"> Helen Waterhouse, </w:t>
      </w:r>
      <w:r w:rsidR="0030206C">
        <w:t>&lt;</w:t>
      </w:r>
      <w:r w:rsidR="0030206C" w:rsidRPr="001B2EAC">
        <w:rPr>
          <w:rFonts w:ascii="Calibri" w:hAnsi="Calibri" w:cs="Calibri"/>
          <w:i/>
          <w:iCs/>
          <w:sz w:val="22"/>
          <w:szCs w:val="22"/>
        </w:rPr>
        <w:t>www.</w:t>
      </w:r>
      <w:hyperlink r:id="rId2" w:history="1">
        <w:r w:rsidR="0030206C" w:rsidRPr="001B2EAC">
          <w:rPr>
            <w:rStyle w:val="Hyperlink"/>
            <w:rFonts w:ascii="Calibri" w:hAnsi="Calibri" w:cs="Calibri"/>
            <w:i/>
            <w:iCs/>
            <w:color w:val="auto"/>
            <w:sz w:val="22"/>
            <w:szCs w:val="22"/>
            <w:u w:val="none"/>
          </w:rPr>
          <w:t>https://open.academia.edu/helenwaterhouse</w:t>
        </w:r>
      </w:hyperlink>
      <w:proofErr w:type="gramStart"/>
      <w:r w:rsidR="0030206C">
        <w:rPr>
          <w:rFonts w:ascii="Calibri" w:hAnsi="Calibri" w:cs="Calibri"/>
          <w:i/>
          <w:iCs/>
          <w:sz w:val="22"/>
          <w:szCs w:val="22"/>
        </w:rPr>
        <w:t>&gt;</w:t>
      </w:r>
      <w:r w:rsidRPr="0030206C">
        <w:t xml:space="preserve"> </w:t>
      </w:r>
      <w:r w:rsidRPr="0030206C">
        <w:rPr>
          <w:i/>
          <w:iCs/>
        </w:rPr>
        <w:t>,</w:t>
      </w:r>
      <w:proofErr w:type="gramEnd"/>
      <w:r w:rsidRPr="0030206C">
        <w:rPr>
          <w:i/>
          <w:iCs/>
        </w:rPr>
        <w:t xml:space="preserve"> </w:t>
      </w:r>
      <w:r w:rsidRPr="0030206C">
        <w:t>{accessed 5 March 2022}.</w:t>
      </w:r>
    </w:p>
  </w:footnote>
  <w:footnote w:id="6">
    <w:p w14:paraId="1A0F95B8" w14:textId="0588887F" w:rsidR="002C028D" w:rsidRPr="0030206C" w:rsidRDefault="002C028D">
      <w:pPr>
        <w:pStyle w:val="FootnoteText"/>
      </w:pPr>
      <w:r w:rsidRPr="0030206C">
        <w:rPr>
          <w:rStyle w:val="FootnoteReference"/>
        </w:rPr>
        <w:footnoteRef/>
      </w:r>
      <w:r w:rsidRPr="0030206C">
        <w:t xml:space="preserve"> </w:t>
      </w:r>
      <w:r w:rsidRPr="0030206C">
        <w:rPr>
          <w:i/>
          <w:iCs/>
        </w:rPr>
        <w:t>Society for the Scientific Study of Religion</w:t>
      </w:r>
      <w:r w:rsidRPr="0030206C">
        <w:t xml:space="preserve">, </w:t>
      </w:r>
      <w:r w:rsidR="0030206C">
        <w:t>&lt;</w:t>
      </w:r>
      <w:hyperlink r:id="rId3" w:history="1">
        <w:r w:rsidR="0030206C" w:rsidRPr="0030206C">
          <w:rPr>
            <w:rStyle w:val="Hyperlink"/>
            <w:i/>
            <w:iCs/>
            <w:color w:val="auto"/>
            <w:u w:val="none"/>
          </w:rPr>
          <w:t>www.https://JSTOR.org</w:t>
        </w:r>
      </w:hyperlink>
      <w:r w:rsidR="0030206C" w:rsidRPr="0030206C">
        <w:rPr>
          <w:rStyle w:val="Hyperlink"/>
          <w:i/>
          <w:iCs/>
          <w:color w:val="auto"/>
          <w:u w:val="none"/>
        </w:rPr>
        <w:t>&gt;</w:t>
      </w:r>
      <w:r w:rsidRPr="0030206C">
        <w:t>, {accessed 7 March 2022}</w:t>
      </w:r>
      <w:r w:rsidR="007A5B45" w:rsidRPr="0030206C">
        <w:t>.</w:t>
      </w:r>
    </w:p>
  </w:footnote>
  <w:footnote w:id="7">
    <w:p w14:paraId="2D1FA642" w14:textId="5F2DC63E" w:rsidR="007A5B45" w:rsidRPr="0030206C" w:rsidRDefault="007A5B45">
      <w:pPr>
        <w:pStyle w:val="FootnoteText"/>
      </w:pPr>
      <w:r w:rsidRPr="0030206C">
        <w:rPr>
          <w:rStyle w:val="FootnoteReference"/>
          <w:i/>
          <w:iCs/>
        </w:rPr>
        <w:footnoteRef/>
      </w:r>
      <w:r w:rsidRPr="0030206C">
        <w:rPr>
          <w:i/>
          <w:iCs/>
        </w:rPr>
        <w:t xml:space="preserve"> Sociology of Religion</w:t>
      </w:r>
      <w:r w:rsidRPr="0030206C">
        <w:t xml:space="preserve">, </w:t>
      </w:r>
      <w:r w:rsidR="0030206C" w:rsidRPr="0030206C">
        <w:t>&lt;</w:t>
      </w:r>
      <w:hyperlink r:id="rId4" w:history="1">
        <w:r w:rsidR="0030206C" w:rsidRPr="0030206C">
          <w:rPr>
            <w:rStyle w:val="Hyperlink"/>
            <w:i/>
            <w:iCs/>
            <w:color w:val="auto"/>
            <w:u w:val="none"/>
          </w:rPr>
          <w:t>https://www.JSTOR.org</w:t>
        </w:r>
      </w:hyperlink>
      <w:r w:rsidR="0030206C">
        <w:rPr>
          <w:i/>
          <w:iCs/>
        </w:rPr>
        <w:t>&gt;</w:t>
      </w:r>
      <w:r w:rsidRPr="0030206C">
        <w:rPr>
          <w:i/>
          <w:iCs/>
        </w:rPr>
        <w:t xml:space="preserve">, </w:t>
      </w:r>
      <w:r w:rsidRPr="0030206C">
        <w:t>{accessed 7 March 2022}.</w:t>
      </w:r>
    </w:p>
  </w:footnote>
  <w:footnote w:id="8">
    <w:p w14:paraId="16A55A29" w14:textId="43315FDA" w:rsidR="007A5B45" w:rsidRPr="008D0E6B" w:rsidRDefault="007A5B45">
      <w:pPr>
        <w:pStyle w:val="FootnoteText"/>
      </w:pPr>
      <w:r>
        <w:rPr>
          <w:rStyle w:val="FootnoteReference"/>
        </w:rPr>
        <w:footnoteRef/>
      </w:r>
      <w:r>
        <w:t xml:space="preserve"> </w:t>
      </w:r>
      <w:r w:rsidR="008D0E6B">
        <w:t xml:space="preserve"> </w:t>
      </w:r>
      <w:r w:rsidRPr="00096C34">
        <w:t>Brink</w:t>
      </w:r>
      <w:r w:rsidR="008A2730">
        <w:t xml:space="preserve">, </w:t>
      </w:r>
      <w:r w:rsidRPr="008D0E6B">
        <w:t>’</w:t>
      </w:r>
      <w:r w:rsidR="0084288C" w:rsidRPr="008D0E6B">
        <w:t>Inconsistency</w:t>
      </w:r>
      <w:r w:rsidRPr="008D0E6B">
        <w:t xml:space="preserve"> of Belief’</w:t>
      </w:r>
      <w:r>
        <w:rPr>
          <w:i/>
          <w:iCs/>
        </w:rPr>
        <w:t xml:space="preserve"> </w:t>
      </w:r>
      <w:r w:rsidRPr="008D0E6B">
        <w:t>p.82</w:t>
      </w:r>
    </w:p>
  </w:footnote>
  <w:footnote w:id="9">
    <w:p w14:paraId="6D79464C" w14:textId="5C5779BB" w:rsidR="00614587" w:rsidRPr="00614587" w:rsidRDefault="00614587">
      <w:pPr>
        <w:pStyle w:val="FootnoteText"/>
      </w:pPr>
      <w:r>
        <w:rPr>
          <w:rStyle w:val="FootnoteReference"/>
        </w:rPr>
        <w:footnoteRef/>
      </w:r>
      <w:r>
        <w:t xml:space="preserve">  </w:t>
      </w:r>
      <w:r>
        <w:t>Walter and Waterhouse, ‘</w:t>
      </w:r>
      <w:r w:rsidRPr="007A5B45">
        <w:rPr>
          <w:i/>
          <w:iCs/>
        </w:rPr>
        <w:t>A Very Private Belief’</w:t>
      </w:r>
      <w:r>
        <w:t>, p. 188</w:t>
      </w:r>
    </w:p>
  </w:footnote>
  <w:footnote w:id="10">
    <w:p w14:paraId="3B975447" w14:textId="5A199B92" w:rsidR="007A5B45" w:rsidRPr="007A5B45" w:rsidRDefault="007A5B45">
      <w:pPr>
        <w:pStyle w:val="FootnoteText"/>
      </w:pPr>
      <w:r>
        <w:rPr>
          <w:rStyle w:val="FootnoteReference"/>
        </w:rPr>
        <w:footnoteRef/>
      </w:r>
      <w:r>
        <w:t xml:space="preserve"> Walter and Waterhouse, ‘</w:t>
      </w:r>
      <w:r w:rsidRPr="007A5B45">
        <w:rPr>
          <w:i/>
          <w:iCs/>
        </w:rPr>
        <w:t>A Very Private Belief’</w:t>
      </w:r>
      <w:r>
        <w:rPr>
          <w:i/>
          <w:iCs/>
        </w:rPr>
        <w:t xml:space="preserve"> </w:t>
      </w:r>
      <w:r>
        <w:t>p.187</w:t>
      </w:r>
    </w:p>
  </w:footnote>
  <w:footnote w:id="11">
    <w:p w14:paraId="52462F6E" w14:textId="5837093B" w:rsidR="00CF3113" w:rsidRDefault="00CF3113">
      <w:pPr>
        <w:pStyle w:val="FootnoteText"/>
      </w:pPr>
      <w:r>
        <w:rPr>
          <w:rStyle w:val="FootnoteReference"/>
        </w:rPr>
        <w:footnoteRef/>
      </w:r>
      <w:r>
        <w:t xml:space="preserve"> </w:t>
      </w:r>
      <w:r w:rsidRPr="00096C34">
        <w:t>Brink</w:t>
      </w:r>
      <w:r>
        <w:rPr>
          <w:i/>
          <w:iCs/>
        </w:rPr>
        <w:t>,</w:t>
      </w:r>
      <w:r w:rsidR="008A2730">
        <w:rPr>
          <w:i/>
          <w:iCs/>
        </w:rPr>
        <w:t xml:space="preserve"> </w:t>
      </w:r>
      <w:r w:rsidRPr="008D0E6B">
        <w:t>’Inconsistency of Belief’</w:t>
      </w:r>
      <w:r>
        <w:t>, p.83</w:t>
      </w:r>
    </w:p>
  </w:footnote>
  <w:footnote w:id="12">
    <w:p w14:paraId="0DE870D1" w14:textId="77777777" w:rsidR="003B002C" w:rsidRPr="00600100" w:rsidRDefault="003B002C" w:rsidP="003B002C">
      <w:pPr>
        <w:pStyle w:val="FootnoteText"/>
        <w:ind w:left="720" w:hanging="720"/>
      </w:pPr>
      <w:r w:rsidRPr="00600100">
        <w:rPr>
          <w:rStyle w:val="FootnoteReference"/>
        </w:rPr>
        <w:footnoteRef/>
      </w:r>
      <w:r w:rsidRPr="00600100">
        <w:t xml:space="preserve"> Alan Bryman</w:t>
      </w:r>
      <w:r w:rsidRPr="00600100">
        <w:rPr>
          <w:i/>
          <w:iCs/>
        </w:rPr>
        <w:t>, Contemporary Social Research Series: 18 Quantity and Quality in Social Research</w:t>
      </w:r>
      <w:r w:rsidRPr="00600100">
        <w:t xml:space="preserve">, </w:t>
      </w:r>
      <w:r w:rsidRPr="00600100">
        <w:rPr>
          <w:i/>
          <w:iCs/>
        </w:rPr>
        <w:t>ed. Martin Bulmer</w:t>
      </w:r>
      <w:r w:rsidRPr="00600100">
        <w:t xml:space="preserve"> (London and New York: Routledge 1988) p.13</w:t>
      </w:r>
    </w:p>
  </w:footnote>
  <w:footnote w:id="13">
    <w:p w14:paraId="33A7826A" w14:textId="457C48F4" w:rsidR="00FD5526" w:rsidRPr="00600100" w:rsidRDefault="00FD5526" w:rsidP="00FD5526">
      <w:pPr>
        <w:pStyle w:val="FootnoteText"/>
        <w:ind w:left="720" w:hanging="720"/>
      </w:pPr>
      <w:r w:rsidRPr="00600100">
        <w:rPr>
          <w:rStyle w:val="FootnoteReference"/>
        </w:rPr>
        <w:footnoteRef/>
      </w:r>
      <w:r w:rsidRPr="00600100">
        <w:t xml:space="preserve"> Paul Filmer, Michael Phillipson, David Silverman and David Walsh, </w:t>
      </w:r>
      <w:r w:rsidRPr="00600100">
        <w:rPr>
          <w:i/>
          <w:iCs/>
        </w:rPr>
        <w:t>New Directions in Sociological Theory</w:t>
      </w:r>
      <w:r w:rsidRPr="00600100">
        <w:t>, (London: Colliers MacMillan Publishers 1972), p.10</w:t>
      </w:r>
      <w:r>
        <w:t>,</w:t>
      </w:r>
      <w:r w:rsidRPr="00600100">
        <w:t xml:space="preserve"> </w:t>
      </w:r>
      <w:r w:rsidR="0030206C">
        <w:t>&lt;</w:t>
      </w:r>
      <w:hyperlink r:id="rId5" w:history="1">
        <w:r w:rsidR="0030206C" w:rsidRPr="0030206C">
          <w:rPr>
            <w:rStyle w:val="Hyperlink"/>
            <w:i/>
            <w:iCs/>
            <w:color w:val="auto"/>
            <w:u w:val="none"/>
          </w:rPr>
          <w:t>www.https://openlibrary.org</w:t>
        </w:r>
      </w:hyperlink>
      <w:r w:rsidR="0030206C" w:rsidRPr="0030206C">
        <w:t>&gt;</w:t>
      </w:r>
      <w:r w:rsidRPr="00600100">
        <w:t>, {accessed 7 March 2022}.</w:t>
      </w:r>
    </w:p>
  </w:footnote>
  <w:footnote w:id="14">
    <w:p w14:paraId="4697116B" w14:textId="7A171547" w:rsidR="008D0E6B" w:rsidRDefault="008D0E6B">
      <w:pPr>
        <w:pStyle w:val="FootnoteText"/>
      </w:pPr>
      <w:r>
        <w:rPr>
          <w:rStyle w:val="FootnoteReference"/>
        </w:rPr>
        <w:footnoteRef/>
      </w:r>
      <w:r>
        <w:t xml:space="preserve">  T.L Brink, ‘</w:t>
      </w:r>
      <w:r w:rsidR="0084288C">
        <w:t>Inconsistency</w:t>
      </w:r>
      <w:r>
        <w:t xml:space="preserve"> of Belief</w:t>
      </w:r>
      <w:r w:rsidR="00001543">
        <w:t xml:space="preserve">’ </w:t>
      </w:r>
      <w:r>
        <w:t>p. 83</w:t>
      </w:r>
    </w:p>
  </w:footnote>
  <w:footnote w:id="15">
    <w:p w14:paraId="64AFCC7F" w14:textId="1993575B" w:rsidR="00A93D8B" w:rsidRDefault="00A93D8B">
      <w:pPr>
        <w:pStyle w:val="FootnoteText"/>
      </w:pPr>
      <w:r>
        <w:rPr>
          <w:rStyle w:val="FootnoteReference"/>
        </w:rPr>
        <w:footnoteRef/>
      </w:r>
      <w:r>
        <w:t xml:space="preserve">  </w:t>
      </w:r>
      <w:r>
        <w:t>T.L Brink, ‘Inconsistency of Belief’ p. 83</w:t>
      </w:r>
    </w:p>
  </w:footnote>
  <w:footnote w:id="16">
    <w:p w14:paraId="1E51D411" w14:textId="77777777" w:rsidR="00A93D8B" w:rsidRDefault="00A93D8B" w:rsidP="00A93D8B">
      <w:pPr>
        <w:pStyle w:val="FootnoteText"/>
        <w:ind w:left="720" w:hanging="720"/>
      </w:pPr>
      <w:r>
        <w:rPr>
          <w:rStyle w:val="FootnoteReference"/>
        </w:rPr>
        <w:footnoteRef/>
      </w:r>
      <w:r>
        <w:t xml:space="preserve">  </w:t>
      </w:r>
      <w:proofErr w:type="spellStart"/>
      <w:r>
        <w:t>Marilys</w:t>
      </w:r>
      <w:proofErr w:type="spellEnd"/>
      <w:r>
        <w:t xml:space="preserve"> Guillemin and Lynn Gillam, </w:t>
      </w:r>
      <w:proofErr w:type="gramStart"/>
      <w:r>
        <w:t>‘ Ethics</w:t>
      </w:r>
      <w:proofErr w:type="gramEnd"/>
      <w:r>
        <w:t xml:space="preserve">, Reflexivity and “Ethically Important Moments” in Research”, </w:t>
      </w:r>
      <w:r w:rsidRPr="005C128D">
        <w:rPr>
          <w:i/>
          <w:iCs/>
        </w:rPr>
        <w:t>Qualitative Inquiry</w:t>
      </w:r>
      <w:r>
        <w:t>, Vol. 10, No. 2, (2004) pp.261-280 (p.271)</w:t>
      </w:r>
    </w:p>
  </w:footnote>
  <w:footnote w:id="17">
    <w:p w14:paraId="65C5B3E1" w14:textId="5A4B391D" w:rsidR="00582D05" w:rsidRDefault="00582D05">
      <w:pPr>
        <w:pStyle w:val="FootnoteText"/>
      </w:pPr>
      <w:r>
        <w:rPr>
          <w:rStyle w:val="FootnoteReference"/>
        </w:rPr>
        <w:footnoteRef/>
      </w:r>
      <w:r>
        <w:t xml:space="preserve"> </w:t>
      </w:r>
      <w:r w:rsidRPr="00096C34">
        <w:t>Brink</w:t>
      </w:r>
      <w:r>
        <w:rPr>
          <w:i/>
          <w:iCs/>
        </w:rPr>
        <w:t>,</w:t>
      </w:r>
      <w:r w:rsidR="008A2730">
        <w:t xml:space="preserve"> ‘</w:t>
      </w:r>
      <w:r w:rsidRPr="008D0E6B">
        <w:t>Inconsistency of Belief’</w:t>
      </w:r>
      <w:r>
        <w:rPr>
          <w:i/>
          <w:iCs/>
        </w:rPr>
        <w:t xml:space="preserve"> </w:t>
      </w:r>
      <w:r w:rsidRPr="008D0E6B">
        <w:t>p.82</w:t>
      </w:r>
    </w:p>
  </w:footnote>
  <w:footnote w:id="18">
    <w:p w14:paraId="2818B0F3" w14:textId="284E0881" w:rsidR="00A93D8B" w:rsidRDefault="00A93D8B" w:rsidP="00A93D8B">
      <w:pPr>
        <w:pStyle w:val="FootnoteText"/>
      </w:pPr>
      <w:r>
        <w:rPr>
          <w:rStyle w:val="FootnoteReference"/>
        </w:rPr>
        <w:footnoteRef/>
      </w:r>
      <w:r>
        <w:t xml:space="preserve">  Brink, </w:t>
      </w:r>
      <w:r w:rsidR="008A2730">
        <w:t>‘</w:t>
      </w:r>
      <w:r>
        <w:t>Inconsistency of Belief’ p. 82</w:t>
      </w:r>
    </w:p>
  </w:footnote>
  <w:footnote w:id="19">
    <w:p w14:paraId="0468EEBB" w14:textId="47F7D84F" w:rsidR="008D0E6B" w:rsidRDefault="008D0E6B">
      <w:pPr>
        <w:pStyle w:val="FootnoteText"/>
      </w:pPr>
      <w:r>
        <w:rPr>
          <w:rStyle w:val="FootnoteReference"/>
        </w:rPr>
        <w:footnoteRef/>
      </w:r>
      <w:r>
        <w:t xml:space="preserve">  </w:t>
      </w:r>
      <w:r>
        <w:t>Brink, ‘</w:t>
      </w:r>
      <w:r w:rsidR="0084288C">
        <w:t>Inconsistency</w:t>
      </w:r>
      <w:r>
        <w:t xml:space="preserve"> of Belief</w:t>
      </w:r>
      <w:r w:rsidR="00001543">
        <w:t xml:space="preserve">’ </w:t>
      </w:r>
      <w:r>
        <w:t>p. 8</w:t>
      </w:r>
      <w:r>
        <w:t>2</w:t>
      </w:r>
    </w:p>
  </w:footnote>
  <w:footnote w:id="20">
    <w:p w14:paraId="1149C140" w14:textId="28827992" w:rsidR="00FD5526" w:rsidRDefault="00FD5526">
      <w:pPr>
        <w:pStyle w:val="FootnoteText"/>
      </w:pPr>
      <w:r>
        <w:rPr>
          <w:rStyle w:val="FootnoteReference"/>
        </w:rPr>
        <w:footnoteRef/>
      </w:r>
      <w:r>
        <w:t xml:space="preserve">  </w:t>
      </w:r>
      <w:r w:rsidRPr="00A811FE">
        <w:t>Belmont Report</w:t>
      </w:r>
      <w:r w:rsidR="0030206C" w:rsidRPr="00A811FE">
        <w:t>, &lt;</w:t>
      </w:r>
      <w:hyperlink r:id="rId6" w:history="1">
        <w:r w:rsidR="0030206C" w:rsidRPr="00A811FE">
          <w:rPr>
            <w:rStyle w:val="Hyperlink"/>
            <w:i/>
            <w:iCs/>
            <w:color w:val="auto"/>
            <w:u w:val="none"/>
          </w:rPr>
          <w:t>https://www.hhs.gov/ohrp/relulations</w:t>
        </w:r>
      </w:hyperlink>
      <w:r w:rsidR="0030206C">
        <w:t>&gt;</w:t>
      </w:r>
      <w:r>
        <w:t xml:space="preserve"> </w:t>
      </w:r>
      <w:proofErr w:type="gramStart"/>
      <w:r w:rsidR="00A811FE">
        <w:t>{ accessed</w:t>
      </w:r>
      <w:proofErr w:type="gramEnd"/>
      <w:r w:rsidR="00A811FE">
        <w:t xml:space="preserve"> 13 March 2022}. </w:t>
      </w:r>
    </w:p>
  </w:footnote>
  <w:footnote w:id="21">
    <w:p w14:paraId="5DAC1410" w14:textId="751DC0C4" w:rsidR="00FD5526" w:rsidRDefault="00FD5526">
      <w:pPr>
        <w:pStyle w:val="FootnoteText"/>
      </w:pPr>
      <w:r>
        <w:rPr>
          <w:rStyle w:val="FootnoteReference"/>
        </w:rPr>
        <w:footnoteRef/>
      </w:r>
      <w:r>
        <w:t xml:space="preserve">  </w:t>
      </w:r>
      <w:r>
        <w:t>Brink, ‘Inconsistency of Belief’</w:t>
      </w:r>
      <w:r>
        <w:t xml:space="preserve"> p.83.</w:t>
      </w:r>
    </w:p>
  </w:footnote>
  <w:footnote w:id="22">
    <w:p w14:paraId="2B12B46E" w14:textId="48C0C8D5" w:rsidR="00167809" w:rsidRDefault="00167809">
      <w:pPr>
        <w:pStyle w:val="FootnoteText"/>
      </w:pPr>
      <w:r>
        <w:rPr>
          <w:rStyle w:val="FootnoteReference"/>
        </w:rPr>
        <w:footnoteRef/>
      </w:r>
      <w:r>
        <w:t xml:space="preserve"> </w:t>
      </w:r>
      <w:r w:rsidR="00531A17">
        <w:t xml:space="preserve"> </w:t>
      </w:r>
      <w:r w:rsidR="00531A17" w:rsidRPr="00096C34">
        <w:t>Brink</w:t>
      </w:r>
      <w:r w:rsidR="00531A17">
        <w:rPr>
          <w:i/>
          <w:iCs/>
        </w:rPr>
        <w:t>,</w:t>
      </w:r>
      <w:r w:rsidR="008A2730">
        <w:t xml:space="preserve"> ‘</w:t>
      </w:r>
      <w:r w:rsidR="00531A17" w:rsidRPr="008D0E6B">
        <w:t>Inconsistency of Belief’</w:t>
      </w:r>
      <w:r w:rsidR="00531A17">
        <w:rPr>
          <w:i/>
          <w:iCs/>
        </w:rPr>
        <w:t xml:space="preserve"> </w:t>
      </w:r>
      <w:r w:rsidR="00531A17" w:rsidRPr="008D0E6B">
        <w:t>p.8</w:t>
      </w:r>
      <w:r w:rsidR="00531A17">
        <w:t>4</w:t>
      </w:r>
    </w:p>
  </w:footnote>
  <w:footnote w:id="23">
    <w:p w14:paraId="24BD0C4E" w14:textId="01ECD6C0" w:rsidR="00531A17" w:rsidRDefault="00531A17">
      <w:pPr>
        <w:pStyle w:val="FootnoteText"/>
      </w:pPr>
      <w:r>
        <w:rPr>
          <w:rStyle w:val="FootnoteReference"/>
        </w:rPr>
        <w:footnoteRef/>
      </w:r>
      <w:r>
        <w:t xml:space="preserve">  </w:t>
      </w:r>
      <w:r w:rsidRPr="00096C34">
        <w:t>Brink</w:t>
      </w:r>
      <w:r w:rsidR="008A2730">
        <w:t xml:space="preserve">, </w:t>
      </w:r>
      <w:r w:rsidRPr="008D0E6B">
        <w:t>’Inconsistency of Belief’</w:t>
      </w:r>
      <w:r>
        <w:rPr>
          <w:i/>
          <w:iCs/>
        </w:rPr>
        <w:t xml:space="preserve"> </w:t>
      </w:r>
      <w:r w:rsidRPr="008D0E6B">
        <w:t>p.8</w:t>
      </w:r>
      <w:r>
        <w:t>5</w:t>
      </w:r>
    </w:p>
  </w:footnote>
  <w:footnote w:id="24">
    <w:p w14:paraId="21CC1CE3" w14:textId="6018CF4B" w:rsidR="006D1840" w:rsidRDefault="006D1840">
      <w:pPr>
        <w:pStyle w:val="FootnoteText"/>
      </w:pPr>
      <w:r>
        <w:rPr>
          <w:rStyle w:val="FootnoteReference"/>
        </w:rPr>
        <w:footnoteRef/>
      </w:r>
      <w:r>
        <w:t xml:space="preserve"> Brink, ‘Inconsistency of Belief’ p.84</w:t>
      </w:r>
    </w:p>
  </w:footnote>
  <w:footnote w:id="25">
    <w:p w14:paraId="30BCD81E" w14:textId="6B41371D" w:rsidR="0084288C" w:rsidRPr="0084288C" w:rsidRDefault="0084288C">
      <w:pPr>
        <w:pStyle w:val="FootnoteText"/>
      </w:pPr>
      <w:r>
        <w:rPr>
          <w:rStyle w:val="FootnoteReference"/>
        </w:rPr>
        <w:footnoteRef/>
      </w:r>
      <w:r>
        <w:t xml:space="preserve"> Bryman, </w:t>
      </w:r>
      <w:r w:rsidRPr="0084288C">
        <w:rPr>
          <w:i/>
          <w:iCs/>
        </w:rPr>
        <w:t>Contemporary Social Research</w:t>
      </w:r>
      <w:r>
        <w:t>: p. 122-123.</w:t>
      </w:r>
    </w:p>
  </w:footnote>
  <w:footnote w:id="26">
    <w:p w14:paraId="7C5C46F0" w14:textId="3148995B" w:rsidR="008D5375" w:rsidRDefault="008D5375">
      <w:pPr>
        <w:pStyle w:val="FootnoteText"/>
      </w:pPr>
      <w:r>
        <w:rPr>
          <w:rStyle w:val="FootnoteReference"/>
        </w:rPr>
        <w:footnoteRef/>
      </w:r>
      <w:r>
        <w:t xml:space="preserve"> Walter and Waterhouse, ‘A Very Private Belief’, p.187</w:t>
      </w:r>
    </w:p>
  </w:footnote>
  <w:footnote w:id="27">
    <w:p w14:paraId="45FF66CD" w14:textId="4CFAF274" w:rsidR="005C128D" w:rsidRDefault="005C128D" w:rsidP="005C128D">
      <w:pPr>
        <w:pStyle w:val="FootnoteText"/>
        <w:ind w:left="720" w:hanging="720"/>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w:t>
      </w:r>
      <w:r w:rsidRPr="005C128D">
        <w:rPr>
          <w:i/>
          <w:iCs/>
        </w:rPr>
        <w:t>Qualitative Research Methods</w:t>
      </w:r>
      <w:r>
        <w:t>, 2</w:t>
      </w:r>
      <w:r w:rsidRPr="005C128D">
        <w:rPr>
          <w:vertAlign w:val="superscript"/>
        </w:rPr>
        <w:t>nd</w:t>
      </w:r>
      <w:r>
        <w:t xml:space="preserve"> Edition </w:t>
      </w:r>
      <w:proofErr w:type="gramStart"/>
      <w:r>
        <w:t>( New</w:t>
      </w:r>
      <w:proofErr w:type="gramEnd"/>
      <w:r>
        <w:t xml:space="preserve"> Delhi: Sage Publications 2020) p. 116-117</w:t>
      </w:r>
    </w:p>
  </w:footnote>
  <w:footnote w:id="28">
    <w:p w14:paraId="3741A9E3" w14:textId="454F3693" w:rsidR="003779C9" w:rsidRDefault="003779C9">
      <w:pPr>
        <w:pStyle w:val="FootnoteText"/>
      </w:pPr>
      <w:r>
        <w:rPr>
          <w:rStyle w:val="FootnoteReference"/>
        </w:rPr>
        <w:footnoteRef/>
      </w:r>
      <w:r>
        <w:t xml:space="preserve"> </w:t>
      </w:r>
      <w:r>
        <w:t>Walter and Waterhouse, ‘A Very Private Belief’</w:t>
      </w:r>
      <w:r>
        <w:t xml:space="preserve"> p.188</w:t>
      </w:r>
    </w:p>
  </w:footnote>
  <w:footnote w:id="29">
    <w:p w14:paraId="138C5BC2" w14:textId="70572EE2" w:rsidR="00F80262" w:rsidRDefault="00F80262" w:rsidP="00F80262">
      <w:pPr>
        <w:pStyle w:val="FootnoteText"/>
        <w:ind w:left="720" w:hanging="720"/>
      </w:pPr>
      <w:r>
        <w:rPr>
          <w:rStyle w:val="FootnoteReference"/>
        </w:rPr>
        <w:footnoteRef/>
      </w:r>
      <w:r>
        <w:t xml:space="preserve"> Kathryn </w:t>
      </w:r>
      <w:r w:rsidR="008A2730">
        <w:t>Haynes, ’</w:t>
      </w:r>
      <w:r>
        <w:t xml:space="preserve">Reflexivity in Qualitative Research’ in </w:t>
      </w:r>
      <w:r w:rsidRPr="00A93D8B">
        <w:rPr>
          <w:i/>
          <w:iCs/>
        </w:rPr>
        <w:t>Qualitative Organizational Research</w:t>
      </w:r>
      <w:r>
        <w:t>, eds. Gillian Symon and Catherine Cassell, (Los Angeles, London, New Delhi, Singapore, Washington DC: Sage Publications, 2021), (pp.72-89),</w:t>
      </w:r>
      <w:r>
        <w:t xml:space="preserve"> pp.73-74</w:t>
      </w:r>
    </w:p>
  </w:footnote>
  <w:footnote w:id="30">
    <w:p w14:paraId="10AB87E7" w14:textId="525909ED" w:rsidR="00A93D8B" w:rsidRDefault="00A93D8B">
      <w:pPr>
        <w:pStyle w:val="FootnoteText"/>
      </w:pPr>
      <w:r>
        <w:rPr>
          <w:rStyle w:val="FootnoteReference"/>
        </w:rPr>
        <w:footnoteRef/>
      </w:r>
      <w:r>
        <w:t xml:space="preserve"> </w:t>
      </w:r>
      <w:r>
        <w:t>Walter and Waterhouse, ‘A Very Private Belief’ p.188</w:t>
      </w:r>
    </w:p>
  </w:footnote>
  <w:footnote w:id="31">
    <w:p w14:paraId="6B4BEDB6" w14:textId="1584748C" w:rsidR="008D5375" w:rsidRDefault="008D5375">
      <w:pPr>
        <w:pStyle w:val="FootnoteText"/>
      </w:pPr>
      <w:r>
        <w:rPr>
          <w:rStyle w:val="FootnoteReference"/>
        </w:rPr>
        <w:footnoteRef/>
      </w:r>
      <w:r>
        <w:t xml:space="preserve"> </w:t>
      </w:r>
      <w:r>
        <w:t>Walter and Waterhouse, ‘A Very Private Belief’</w:t>
      </w:r>
      <w:r>
        <w:t xml:space="preserve"> p.188</w:t>
      </w:r>
    </w:p>
  </w:footnote>
  <w:footnote w:id="32">
    <w:p w14:paraId="30256D1A" w14:textId="2E12E864" w:rsidR="00375140" w:rsidRDefault="00375140">
      <w:pPr>
        <w:pStyle w:val="FootnoteText"/>
      </w:pPr>
      <w:r>
        <w:rPr>
          <w:rStyle w:val="FootnoteReference"/>
        </w:rPr>
        <w:footnoteRef/>
      </w:r>
      <w:r>
        <w:t xml:space="preserve"> Guillemin and Gillam, ‘Ethic, Reflexivity…in Research’, p.271</w:t>
      </w:r>
    </w:p>
  </w:footnote>
  <w:footnote w:id="33">
    <w:p w14:paraId="4655BAF0" w14:textId="22E4C9F2" w:rsidR="00276C29" w:rsidRDefault="00276C29">
      <w:pPr>
        <w:pStyle w:val="FootnoteText"/>
      </w:pPr>
      <w:r>
        <w:rPr>
          <w:rStyle w:val="FootnoteReference"/>
        </w:rPr>
        <w:footnoteRef/>
      </w:r>
      <w:r>
        <w:t xml:space="preserve"> </w:t>
      </w:r>
      <w:r>
        <w:t>Walter and Waterhouse, ‘A Very Private Belief’</w:t>
      </w:r>
      <w:r>
        <w:t>p.189</w:t>
      </w:r>
    </w:p>
  </w:footnote>
  <w:footnote w:id="34">
    <w:p w14:paraId="1F39E33B" w14:textId="59106F09" w:rsidR="008D5375" w:rsidRDefault="008D5375">
      <w:pPr>
        <w:pStyle w:val="FootnoteText"/>
      </w:pPr>
      <w:r>
        <w:rPr>
          <w:rStyle w:val="FootnoteReference"/>
        </w:rPr>
        <w:footnoteRef/>
      </w:r>
      <w:r>
        <w:t xml:space="preserve"> </w:t>
      </w:r>
      <w:r>
        <w:t>Walter and Waterhouse, ‘A Very Private Belief’</w:t>
      </w:r>
      <w:r>
        <w:t>, p.189</w:t>
      </w:r>
    </w:p>
  </w:footnote>
  <w:footnote w:id="35">
    <w:p w14:paraId="3694B2A0" w14:textId="37B72FD7" w:rsidR="00276C29" w:rsidRDefault="00276C29">
      <w:pPr>
        <w:pStyle w:val="FootnoteText"/>
      </w:pPr>
      <w:r>
        <w:rPr>
          <w:rStyle w:val="FootnoteReference"/>
        </w:rPr>
        <w:footnoteRef/>
      </w:r>
      <w:r>
        <w:t xml:space="preserve"> Brink</w:t>
      </w:r>
      <w:r w:rsidR="008A2730">
        <w:t xml:space="preserve">, </w:t>
      </w:r>
      <w:r>
        <w:t>‘Inconsistency of Belief’</w:t>
      </w:r>
      <w:r>
        <w:t>, p.84</w:t>
      </w:r>
    </w:p>
  </w:footnote>
  <w:footnote w:id="36">
    <w:p w14:paraId="62ED5871" w14:textId="77777777" w:rsidR="00276C29" w:rsidRDefault="00276C29" w:rsidP="00276C29">
      <w:pPr>
        <w:pStyle w:val="FootnoteText"/>
      </w:pPr>
      <w:r>
        <w:rPr>
          <w:rStyle w:val="FootnoteReference"/>
        </w:rPr>
        <w:footnoteRef/>
      </w:r>
      <w:r>
        <w:t xml:space="preserve"> Walter and Waterhouse, ‘A Very Private Belief’ p. 195</w:t>
      </w:r>
    </w:p>
  </w:footnote>
  <w:footnote w:id="37">
    <w:p w14:paraId="4666E142" w14:textId="5BAE7E20" w:rsidR="00276C29" w:rsidRDefault="00276C29" w:rsidP="00276C29">
      <w:pPr>
        <w:pStyle w:val="FootnoteText"/>
      </w:pPr>
      <w:r>
        <w:rPr>
          <w:rStyle w:val="FootnoteReference"/>
        </w:rPr>
        <w:footnoteRef/>
      </w:r>
      <w:r>
        <w:t xml:space="preserve"> Guillemin and Gillam, ‘Ethics, Reflexivity…in Research’ p.271</w:t>
      </w:r>
    </w:p>
  </w:footnote>
  <w:footnote w:id="38">
    <w:p w14:paraId="20A0C879" w14:textId="17E6DF15" w:rsidR="004A0F7C" w:rsidRDefault="004A0F7C">
      <w:pPr>
        <w:pStyle w:val="FootnoteText"/>
      </w:pPr>
      <w:r>
        <w:rPr>
          <w:rStyle w:val="FootnoteReference"/>
        </w:rPr>
        <w:footnoteRef/>
      </w:r>
      <w:r>
        <w:t xml:space="preserve"> </w:t>
      </w:r>
      <w:r>
        <w:t>Walter and Waterhouse, ‘A Very Private Belief’</w:t>
      </w:r>
      <w:r>
        <w:t xml:space="preserve"> p.192</w:t>
      </w:r>
    </w:p>
  </w:footnote>
  <w:footnote w:id="39">
    <w:p w14:paraId="4E402ECA" w14:textId="4BF9DE3B" w:rsidR="008D5375" w:rsidRDefault="008D5375">
      <w:pPr>
        <w:pStyle w:val="FootnoteText"/>
      </w:pPr>
      <w:r>
        <w:rPr>
          <w:rStyle w:val="FootnoteReference"/>
        </w:rPr>
        <w:footnoteRef/>
      </w:r>
      <w:r>
        <w:t xml:space="preserve"> </w:t>
      </w:r>
      <w:r w:rsidR="006F3A35">
        <w:t>Walter and Waterhouse, ‘A Very Private</w:t>
      </w:r>
      <w:r w:rsidR="006F3A35">
        <w:t xml:space="preserve"> Belief’, p.</w:t>
      </w:r>
      <w:r w:rsidR="004A0F7C">
        <w:t>190-195</w:t>
      </w:r>
    </w:p>
  </w:footnote>
  <w:footnote w:id="40">
    <w:p w14:paraId="1C9CB93E" w14:textId="39C8307D" w:rsidR="006A5006" w:rsidRDefault="006A5006" w:rsidP="006A5006">
      <w:pPr>
        <w:pStyle w:val="FootnoteText"/>
        <w:ind w:left="720" w:hanging="720"/>
      </w:pPr>
      <w:r>
        <w:rPr>
          <w:rStyle w:val="FootnoteReference"/>
        </w:rPr>
        <w:footnoteRef/>
      </w:r>
      <w:r>
        <w:t xml:space="preserve"> Clifford Geertz, </w:t>
      </w:r>
      <w:r w:rsidRPr="006A5006">
        <w:rPr>
          <w:i/>
          <w:iCs/>
        </w:rPr>
        <w:t>The Interpretation of Cultures: Selected Essays</w:t>
      </w:r>
      <w:r w:rsidRPr="006A5006">
        <w:t>,</w:t>
      </w:r>
      <w:r>
        <w:t xml:space="preserve"> E-book, (New York: Basic Books 1973.) p.9 {accessed 11 March 2022}</w:t>
      </w:r>
    </w:p>
  </w:footnote>
  <w:footnote w:id="41">
    <w:p w14:paraId="41D0A846" w14:textId="3934D08B" w:rsidR="00181E31" w:rsidRDefault="00181E31">
      <w:pPr>
        <w:pStyle w:val="FootnoteText"/>
      </w:pPr>
      <w:r>
        <w:rPr>
          <w:rStyle w:val="FootnoteReference"/>
        </w:rPr>
        <w:footnoteRef/>
      </w:r>
      <w:r>
        <w:t xml:space="preserve"> Walter and Waterhouse, ‘A Very Private Belief</w:t>
      </w:r>
      <w:r w:rsidR="003250DA">
        <w:t>’, p.196</w:t>
      </w:r>
    </w:p>
  </w:footnote>
  <w:footnote w:id="42">
    <w:p w14:paraId="772720F9" w14:textId="650C33BF" w:rsidR="00BD0CF7" w:rsidRDefault="00BD0CF7">
      <w:pPr>
        <w:pStyle w:val="FootnoteText"/>
      </w:pPr>
      <w:r>
        <w:rPr>
          <w:rStyle w:val="FootnoteReference"/>
        </w:rPr>
        <w:footnoteRef/>
      </w:r>
      <w:r>
        <w:t xml:space="preserve"> </w:t>
      </w:r>
      <w:r w:rsidRPr="00096C34">
        <w:t>Brink</w:t>
      </w:r>
      <w:r w:rsidR="004937A9">
        <w:t xml:space="preserve">, </w:t>
      </w:r>
      <w:r w:rsidRPr="008D0E6B">
        <w:t>’Inconsistency of Belief’</w:t>
      </w:r>
      <w:r>
        <w:rPr>
          <w:i/>
          <w:iCs/>
        </w:rPr>
        <w:t xml:space="preserve"> </w:t>
      </w:r>
      <w:r w:rsidRPr="008D0E6B">
        <w:t>p</w:t>
      </w:r>
      <w:r>
        <w:t>p. 82-85</w:t>
      </w:r>
    </w:p>
  </w:footnote>
  <w:footnote w:id="43">
    <w:p w14:paraId="16CE6829" w14:textId="36A3C513" w:rsidR="005831E1" w:rsidRDefault="005831E1">
      <w:pPr>
        <w:pStyle w:val="FootnoteText"/>
      </w:pPr>
      <w:r>
        <w:rPr>
          <w:rStyle w:val="FootnoteReference"/>
        </w:rPr>
        <w:footnoteRef/>
      </w:r>
      <w:r>
        <w:t xml:space="preserve"> Brink, ‘Inconsistency of Belief’ p.83</w:t>
      </w:r>
    </w:p>
  </w:footnote>
  <w:footnote w:id="44">
    <w:p w14:paraId="1CCE399E" w14:textId="22D7E226" w:rsidR="00087872" w:rsidRDefault="00087872">
      <w:pPr>
        <w:pStyle w:val="FootnoteText"/>
      </w:pPr>
      <w:r>
        <w:rPr>
          <w:rStyle w:val="FootnoteReference"/>
        </w:rPr>
        <w:footnoteRef/>
      </w:r>
      <w:r w:rsidR="00657A34">
        <w:t xml:space="preserve"> </w:t>
      </w:r>
      <w:r w:rsidR="00657A34">
        <w:t>Walter and Waterhouse, ‘A Very Private Belief’</w:t>
      </w:r>
      <w:r w:rsidR="00657A34">
        <w:t xml:space="preserve"> pp.187-197</w:t>
      </w:r>
    </w:p>
  </w:footnote>
  <w:footnote w:id="45">
    <w:p w14:paraId="692A882C" w14:textId="77777777" w:rsidR="00657A34" w:rsidRDefault="00657A34" w:rsidP="00657A34">
      <w:pPr>
        <w:pStyle w:val="FootnoteText"/>
      </w:pPr>
      <w:r>
        <w:rPr>
          <w:rStyle w:val="FootnoteReference"/>
        </w:rPr>
        <w:footnoteRef/>
      </w:r>
      <w:r>
        <w:t xml:space="preserve"> Brink, ‘Inconsistency in Belief’, p.82</w:t>
      </w:r>
    </w:p>
  </w:footnote>
  <w:footnote w:id="46">
    <w:p w14:paraId="2A2D9C15" w14:textId="77777777" w:rsidR="00657A34" w:rsidRDefault="00657A34" w:rsidP="00657A34">
      <w:pPr>
        <w:pStyle w:val="FootnoteText"/>
        <w:ind w:left="720" w:hanging="720"/>
      </w:pPr>
      <w:r>
        <w:rPr>
          <w:rStyle w:val="FootnoteReference"/>
        </w:rPr>
        <w:footnoteRef/>
      </w:r>
      <w:r>
        <w:t xml:space="preserve"> Kathryn Haynes,’ Reflexivity in Qualitative Research</w:t>
      </w:r>
      <w:proofErr w:type="gramStart"/>
      <w:r>
        <w:t>’  p.</w:t>
      </w:r>
      <w:proofErr w:type="gramEnd"/>
      <w:r>
        <w:t xml:space="preserve"> 72</w:t>
      </w:r>
    </w:p>
  </w:footnote>
  <w:footnote w:id="47">
    <w:p w14:paraId="08CC626C" w14:textId="4D4080E2" w:rsidR="00316F62" w:rsidRDefault="00316F62">
      <w:pPr>
        <w:pStyle w:val="FootnoteText"/>
      </w:pPr>
      <w:r>
        <w:rPr>
          <w:rStyle w:val="FootnoteReference"/>
        </w:rPr>
        <w:footnoteRef/>
      </w:r>
      <w:r>
        <w:t xml:space="preserve"> </w:t>
      </w:r>
      <w:r>
        <w:t>Kathryn Haynes,’ Reflexivity in Qualitative Research’</w:t>
      </w:r>
      <w:r>
        <w:t xml:space="preserve"> pp.72, 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4AC3" w14:textId="366E37FA" w:rsidR="00FE1A7F" w:rsidRDefault="00FE1A7F">
    <w:pPr>
      <w:pStyle w:val="Header"/>
    </w:pPr>
    <w:r>
      <w:t xml:space="preserve">Francine Goteiner                                                                                                                                    </w:t>
    </w:r>
    <w:r>
      <w:fldChar w:fldCharType="begin"/>
    </w:r>
    <w:r>
      <w:instrText xml:space="preserve"> PAGE   \* MERGEFORMAT </w:instrText>
    </w:r>
    <w:r>
      <w:fldChar w:fldCharType="separate"/>
    </w:r>
    <w:r>
      <w:rPr>
        <w:noProof/>
      </w:rPr>
      <w:t>1</w:t>
    </w:r>
    <w:r>
      <w:rPr>
        <w:noProof/>
      </w:rPr>
      <w:fldChar w:fldCharType="end"/>
    </w:r>
  </w:p>
  <w:p w14:paraId="55CD55C8" w14:textId="47D4D8A4" w:rsidR="00FE1A7F" w:rsidRDefault="00FE1A7F">
    <w:pPr>
      <w:pStyle w:val="Header"/>
    </w:pPr>
    <w:r>
      <w:t>2022484</w:t>
    </w:r>
  </w:p>
  <w:p w14:paraId="17840959" w14:textId="60278679" w:rsidR="00FE1A7F" w:rsidRDefault="00FE1A7F" w:rsidP="00FE1A7F">
    <w:pPr>
      <w:pStyle w:val="No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C1D56"/>
    <w:multiLevelType w:val="hybridMultilevel"/>
    <w:tmpl w:val="9E5CDF4C"/>
    <w:lvl w:ilvl="0" w:tplc="AACAAD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C0B53"/>
    <w:multiLevelType w:val="hybridMultilevel"/>
    <w:tmpl w:val="2A962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2NDYyMzC1NDc3MjRV0lEKTi0uzszPAykwrgUA5vQVNiwAAAA="/>
  </w:docVars>
  <w:rsids>
    <w:rsidRoot w:val="00FE1A7F"/>
    <w:rsid w:val="0000083A"/>
    <w:rsid w:val="000009BF"/>
    <w:rsid w:val="00001543"/>
    <w:rsid w:val="0002701E"/>
    <w:rsid w:val="00030586"/>
    <w:rsid w:val="00032B04"/>
    <w:rsid w:val="000446F6"/>
    <w:rsid w:val="000455CD"/>
    <w:rsid w:val="00080CC7"/>
    <w:rsid w:val="00087872"/>
    <w:rsid w:val="00096C34"/>
    <w:rsid w:val="000B3383"/>
    <w:rsid w:val="000C0FDD"/>
    <w:rsid w:val="000C2A31"/>
    <w:rsid w:val="000C37BB"/>
    <w:rsid w:val="00106AD7"/>
    <w:rsid w:val="00133037"/>
    <w:rsid w:val="00167809"/>
    <w:rsid w:val="00181E31"/>
    <w:rsid w:val="001A21DC"/>
    <w:rsid w:val="001B2EAC"/>
    <w:rsid w:val="001B6119"/>
    <w:rsid w:val="001E76DE"/>
    <w:rsid w:val="00213FBD"/>
    <w:rsid w:val="002153E1"/>
    <w:rsid w:val="00224285"/>
    <w:rsid w:val="00252452"/>
    <w:rsid w:val="00253EED"/>
    <w:rsid w:val="00276C29"/>
    <w:rsid w:val="002A2ACC"/>
    <w:rsid w:val="002A3072"/>
    <w:rsid w:val="002C028D"/>
    <w:rsid w:val="002D1E9A"/>
    <w:rsid w:val="002D47DE"/>
    <w:rsid w:val="002D5A7F"/>
    <w:rsid w:val="002D6B22"/>
    <w:rsid w:val="002E3BDC"/>
    <w:rsid w:val="002F63B2"/>
    <w:rsid w:val="0030206C"/>
    <w:rsid w:val="00316F62"/>
    <w:rsid w:val="003250DA"/>
    <w:rsid w:val="00340607"/>
    <w:rsid w:val="00375140"/>
    <w:rsid w:val="003779C9"/>
    <w:rsid w:val="003A4C87"/>
    <w:rsid w:val="003B002C"/>
    <w:rsid w:val="003B5040"/>
    <w:rsid w:val="00412678"/>
    <w:rsid w:val="004501DE"/>
    <w:rsid w:val="00481A76"/>
    <w:rsid w:val="004937A9"/>
    <w:rsid w:val="004A0F7C"/>
    <w:rsid w:val="004C74C3"/>
    <w:rsid w:val="004D6A3B"/>
    <w:rsid w:val="004F6294"/>
    <w:rsid w:val="00531A17"/>
    <w:rsid w:val="005519D0"/>
    <w:rsid w:val="00582622"/>
    <w:rsid w:val="00582D05"/>
    <w:rsid w:val="005831E1"/>
    <w:rsid w:val="00586EC4"/>
    <w:rsid w:val="005A0805"/>
    <w:rsid w:val="005A21F6"/>
    <w:rsid w:val="005C128D"/>
    <w:rsid w:val="005F037F"/>
    <w:rsid w:val="00600100"/>
    <w:rsid w:val="00614587"/>
    <w:rsid w:val="00631536"/>
    <w:rsid w:val="00657A34"/>
    <w:rsid w:val="006852AC"/>
    <w:rsid w:val="006960C1"/>
    <w:rsid w:val="006A5006"/>
    <w:rsid w:val="006D1840"/>
    <w:rsid w:val="006D5A26"/>
    <w:rsid w:val="006E2A0E"/>
    <w:rsid w:val="006F3A35"/>
    <w:rsid w:val="0070007C"/>
    <w:rsid w:val="00710984"/>
    <w:rsid w:val="00734E44"/>
    <w:rsid w:val="007575E6"/>
    <w:rsid w:val="007665E3"/>
    <w:rsid w:val="00793EDD"/>
    <w:rsid w:val="007A56F9"/>
    <w:rsid w:val="007A5B45"/>
    <w:rsid w:val="007C53F3"/>
    <w:rsid w:val="007D5AD3"/>
    <w:rsid w:val="007F6C5C"/>
    <w:rsid w:val="007F74F3"/>
    <w:rsid w:val="0084288C"/>
    <w:rsid w:val="00897372"/>
    <w:rsid w:val="008A2730"/>
    <w:rsid w:val="008D0E6B"/>
    <w:rsid w:val="008D5375"/>
    <w:rsid w:val="008E5607"/>
    <w:rsid w:val="008F0985"/>
    <w:rsid w:val="00903B16"/>
    <w:rsid w:val="00904EA6"/>
    <w:rsid w:val="0094524C"/>
    <w:rsid w:val="009661B9"/>
    <w:rsid w:val="00974C7E"/>
    <w:rsid w:val="00977433"/>
    <w:rsid w:val="00992479"/>
    <w:rsid w:val="009A541D"/>
    <w:rsid w:val="009C05C9"/>
    <w:rsid w:val="009D6326"/>
    <w:rsid w:val="00A03658"/>
    <w:rsid w:val="00A1347C"/>
    <w:rsid w:val="00A21348"/>
    <w:rsid w:val="00A46F41"/>
    <w:rsid w:val="00A674A8"/>
    <w:rsid w:val="00A811FE"/>
    <w:rsid w:val="00A8309F"/>
    <w:rsid w:val="00A93D8B"/>
    <w:rsid w:val="00AB09B6"/>
    <w:rsid w:val="00AC4AF5"/>
    <w:rsid w:val="00AD75F3"/>
    <w:rsid w:val="00AE4F3A"/>
    <w:rsid w:val="00B001AA"/>
    <w:rsid w:val="00BA132A"/>
    <w:rsid w:val="00BB347D"/>
    <w:rsid w:val="00BB6EED"/>
    <w:rsid w:val="00BD0CF7"/>
    <w:rsid w:val="00BD3D48"/>
    <w:rsid w:val="00C0391A"/>
    <w:rsid w:val="00C41A6A"/>
    <w:rsid w:val="00C51A53"/>
    <w:rsid w:val="00C56010"/>
    <w:rsid w:val="00CA5BD0"/>
    <w:rsid w:val="00CF3113"/>
    <w:rsid w:val="00D260AF"/>
    <w:rsid w:val="00D35C74"/>
    <w:rsid w:val="00D738A4"/>
    <w:rsid w:val="00DA372B"/>
    <w:rsid w:val="00E1670D"/>
    <w:rsid w:val="00E50C20"/>
    <w:rsid w:val="00E7450D"/>
    <w:rsid w:val="00EA7D8F"/>
    <w:rsid w:val="00EB3594"/>
    <w:rsid w:val="00EB69E9"/>
    <w:rsid w:val="00F13171"/>
    <w:rsid w:val="00F52E0C"/>
    <w:rsid w:val="00F7077E"/>
    <w:rsid w:val="00F80262"/>
    <w:rsid w:val="00FC0B96"/>
    <w:rsid w:val="00FD5526"/>
    <w:rsid w:val="00FE1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534E5"/>
  <w15:chartTrackingRefBased/>
  <w15:docId w15:val="{BB3717DF-5376-44C5-9B66-296BE6822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A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2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A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1A7F"/>
  </w:style>
  <w:style w:type="paragraph" w:styleId="Footer">
    <w:name w:val="footer"/>
    <w:basedOn w:val="Normal"/>
    <w:link w:val="FooterChar"/>
    <w:uiPriority w:val="99"/>
    <w:unhideWhenUsed/>
    <w:rsid w:val="00FE1A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A7F"/>
  </w:style>
  <w:style w:type="paragraph" w:styleId="NoSpacing">
    <w:name w:val="No Spacing"/>
    <w:uiPriority w:val="1"/>
    <w:qFormat/>
    <w:rsid w:val="00FE1A7F"/>
    <w:pPr>
      <w:spacing w:after="0" w:line="240" w:lineRule="auto"/>
    </w:pPr>
  </w:style>
  <w:style w:type="character" w:customStyle="1" w:styleId="Heading1Char">
    <w:name w:val="Heading 1 Char"/>
    <w:basedOn w:val="DefaultParagraphFont"/>
    <w:link w:val="Heading1"/>
    <w:uiPriority w:val="9"/>
    <w:rsid w:val="00FE1A7F"/>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FE1A7F"/>
    <w:pPr>
      <w:spacing w:after="0" w:line="240" w:lineRule="auto"/>
    </w:pPr>
    <w:rPr>
      <w:sz w:val="20"/>
      <w:szCs w:val="20"/>
    </w:rPr>
  </w:style>
  <w:style w:type="character" w:customStyle="1" w:styleId="FootnoteTextChar">
    <w:name w:val="Footnote Text Char"/>
    <w:basedOn w:val="DefaultParagraphFont"/>
    <w:link w:val="FootnoteText"/>
    <w:uiPriority w:val="99"/>
    <w:rsid w:val="00FE1A7F"/>
    <w:rPr>
      <w:sz w:val="20"/>
      <w:szCs w:val="20"/>
    </w:rPr>
  </w:style>
  <w:style w:type="character" w:styleId="FootnoteReference">
    <w:name w:val="footnote reference"/>
    <w:basedOn w:val="DefaultParagraphFont"/>
    <w:uiPriority w:val="99"/>
    <w:semiHidden/>
    <w:unhideWhenUsed/>
    <w:rsid w:val="00FE1A7F"/>
    <w:rPr>
      <w:vertAlign w:val="superscript"/>
    </w:rPr>
  </w:style>
  <w:style w:type="character" w:styleId="Hyperlink">
    <w:name w:val="Hyperlink"/>
    <w:basedOn w:val="DefaultParagraphFont"/>
    <w:uiPriority w:val="99"/>
    <w:unhideWhenUsed/>
    <w:rsid w:val="00FE1A7F"/>
    <w:rPr>
      <w:color w:val="0563C1" w:themeColor="hyperlink"/>
      <w:u w:val="single"/>
    </w:rPr>
  </w:style>
  <w:style w:type="character" w:styleId="UnresolvedMention">
    <w:name w:val="Unresolved Mention"/>
    <w:basedOn w:val="DefaultParagraphFont"/>
    <w:uiPriority w:val="99"/>
    <w:semiHidden/>
    <w:unhideWhenUsed/>
    <w:rsid w:val="00FE1A7F"/>
    <w:rPr>
      <w:color w:val="605E5C"/>
      <w:shd w:val="clear" w:color="auto" w:fill="E1DFDD"/>
    </w:rPr>
  </w:style>
  <w:style w:type="paragraph" w:styleId="ListParagraph">
    <w:name w:val="List Paragraph"/>
    <w:basedOn w:val="Normal"/>
    <w:uiPriority w:val="34"/>
    <w:qFormat/>
    <w:rsid w:val="007A56F9"/>
    <w:pPr>
      <w:ind w:left="720"/>
      <w:contextualSpacing/>
    </w:pPr>
  </w:style>
  <w:style w:type="paragraph" w:styleId="EndnoteText">
    <w:name w:val="endnote text"/>
    <w:basedOn w:val="Normal"/>
    <w:link w:val="EndnoteTextChar"/>
    <w:uiPriority w:val="99"/>
    <w:semiHidden/>
    <w:unhideWhenUsed/>
    <w:rsid w:val="007A56F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A56F9"/>
    <w:rPr>
      <w:sz w:val="20"/>
      <w:szCs w:val="20"/>
    </w:rPr>
  </w:style>
  <w:style w:type="character" w:styleId="EndnoteReference">
    <w:name w:val="endnote reference"/>
    <w:basedOn w:val="DefaultParagraphFont"/>
    <w:uiPriority w:val="99"/>
    <w:semiHidden/>
    <w:unhideWhenUsed/>
    <w:rsid w:val="007A56F9"/>
    <w:rPr>
      <w:vertAlign w:val="superscript"/>
    </w:rPr>
  </w:style>
  <w:style w:type="character" w:customStyle="1" w:styleId="Heading3Char">
    <w:name w:val="Heading 3 Char"/>
    <w:basedOn w:val="DefaultParagraphFont"/>
    <w:link w:val="Heading3"/>
    <w:uiPriority w:val="9"/>
    <w:semiHidden/>
    <w:rsid w:val="0099247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portal.bath.ac.uk/en/persons/tony-wal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ttps://JSTOR.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https://openlibrary.org" TargetMode="External"/><Relationship Id="rId4" Type="http://schemas.openxmlformats.org/officeDocument/2006/relationships/settings" Target="settings.xml"/><Relationship Id="rId9" Type="http://schemas.openxmlformats.org/officeDocument/2006/relationships/hyperlink" Target="https://www.hhs.gov/ohrp/relulations" TargetMode="External"/><Relationship Id="rId14" Type="http://schemas.openxmlformats.org/officeDocument/2006/relationships/hyperlink" Target="https://open.academia.edu/helenwaterhous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https://JSTOR.org" TargetMode="External"/><Relationship Id="rId2" Type="http://schemas.openxmlformats.org/officeDocument/2006/relationships/hyperlink" Target="https://open.academia.edu/helenwaterhouse" TargetMode="External"/><Relationship Id="rId1" Type="http://schemas.openxmlformats.org/officeDocument/2006/relationships/hyperlink" Target="https://researchportal.bath.ac.uk/en/persons/tony-walter" TargetMode="External"/><Relationship Id="rId6" Type="http://schemas.openxmlformats.org/officeDocument/2006/relationships/hyperlink" Target="https://www.hhs.gov/ohrp/relulations" TargetMode="External"/><Relationship Id="rId5" Type="http://schemas.openxmlformats.org/officeDocument/2006/relationships/hyperlink" Target="http://www.https://openlibrary.org" TargetMode="External"/><Relationship Id="rId4" Type="http://schemas.openxmlformats.org/officeDocument/2006/relationships/hyperlink" Target="https://www.JSTO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F0835-2790-4D0D-98AB-593450DB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2690</Words>
  <Characters>15334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2</cp:revision>
  <cp:lastPrinted>2022-03-14T14:57:00Z</cp:lastPrinted>
  <dcterms:created xsi:type="dcterms:W3CDTF">2022-03-15T04:12:00Z</dcterms:created>
  <dcterms:modified xsi:type="dcterms:W3CDTF">2022-03-15T04:12:00Z</dcterms:modified>
</cp:coreProperties>
</file>