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6560A" w14:textId="77777777" w:rsidR="00B12B57" w:rsidRPr="002A5D8D" w:rsidRDefault="00B12B57" w:rsidP="00B12B57">
      <w:pPr>
        <w:spacing w:line="360" w:lineRule="auto"/>
        <w:rPr>
          <w:rFonts w:ascii="Arial" w:hAnsi="Arial" w:cs="Arial"/>
        </w:rPr>
      </w:pPr>
    </w:p>
    <w:p w14:paraId="66BFA1F6" w14:textId="77777777" w:rsidR="00B12B57" w:rsidRPr="002A5D8D" w:rsidRDefault="00B12B57" w:rsidP="00B12B57">
      <w:pPr>
        <w:spacing w:line="360" w:lineRule="auto"/>
        <w:rPr>
          <w:rFonts w:ascii="Arial" w:hAnsi="Arial" w:cs="Arial"/>
        </w:rPr>
      </w:pPr>
      <w:r w:rsidRPr="002A5D8D">
        <w:rPr>
          <w:rFonts w:ascii="Arial" w:hAnsi="Arial" w:cs="Arial"/>
          <w:noProof/>
        </w:rPr>
        <w:drawing>
          <wp:anchor distT="0" distB="0" distL="114300" distR="114300" simplePos="0" relativeHeight="251663360" behindDoc="0" locked="0" layoutInCell="1" allowOverlap="1" wp14:anchorId="2511918C" wp14:editId="2E096E38">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0B53C99" w14:textId="77777777" w:rsidR="00B12B57" w:rsidRPr="002A5D8D" w:rsidRDefault="00B12B57" w:rsidP="00B12B57">
      <w:pPr>
        <w:spacing w:line="360" w:lineRule="auto"/>
        <w:rPr>
          <w:rFonts w:ascii="Arial" w:hAnsi="Arial" w:cs="Arial"/>
        </w:rPr>
      </w:pPr>
    </w:p>
    <w:p w14:paraId="23E29871" w14:textId="77777777" w:rsidR="00B12B57" w:rsidRPr="002A5D8D" w:rsidRDefault="00B12B57" w:rsidP="00B12B57">
      <w:pPr>
        <w:spacing w:line="360" w:lineRule="auto"/>
        <w:rPr>
          <w:rFonts w:ascii="Arial" w:hAnsi="Arial" w:cs="Arial"/>
        </w:rPr>
      </w:pPr>
    </w:p>
    <w:p w14:paraId="46FEFF3E" w14:textId="77777777" w:rsidR="00B12B57" w:rsidRPr="002A5D8D" w:rsidRDefault="00B12B57" w:rsidP="00B12B57">
      <w:pPr>
        <w:spacing w:line="360" w:lineRule="auto"/>
        <w:rPr>
          <w:rFonts w:ascii="Arial" w:hAnsi="Arial" w:cs="Arial"/>
        </w:rPr>
      </w:pPr>
    </w:p>
    <w:p w14:paraId="3F92BF58" w14:textId="77777777" w:rsidR="00B12B57" w:rsidRPr="002A5D8D" w:rsidRDefault="00B12B57" w:rsidP="00B12B57">
      <w:pPr>
        <w:tabs>
          <w:tab w:val="left" w:pos="6540"/>
        </w:tabs>
        <w:spacing w:line="360" w:lineRule="auto"/>
        <w:rPr>
          <w:rFonts w:ascii="Arial" w:hAnsi="Arial" w:cs="Arial"/>
        </w:rPr>
      </w:pPr>
    </w:p>
    <w:p w14:paraId="7BC37A4B" w14:textId="77777777" w:rsidR="00B12B57" w:rsidRPr="002A5D8D" w:rsidRDefault="00B12B57" w:rsidP="00B12B57">
      <w:pPr>
        <w:tabs>
          <w:tab w:val="left" w:pos="6540"/>
        </w:tabs>
        <w:spacing w:line="360" w:lineRule="auto"/>
        <w:rPr>
          <w:rFonts w:ascii="Arial" w:hAnsi="Arial" w:cs="Arial"/>
          <w:lang w:val="nl-NL"/>
        </w:rPr>
      </w:pPr>
      <w:r w:rsidRPr="002A5D8D">
        <w:rPr>
          <w:rFonts w:ascii="Arial" w:hAnsi="Arial" w:cs="Arial"/>
          <w:b/>
          <w:bCs/>
          <w:lang w:val="nl-NL"/>
        </w:rPr>
        <w:t>Student name</w:t>
      </w:r>
      <w:r w:rsidRPr="002A5D8D">
        <w:rPr>
          <w:rFonts w:ascii="Arial" w:hAnsi="Arial" w:cs="Arial"/>
          <w:lang w:val="nl-NL"/>
        </w:rPr>
        <w:t>: Sasha Mohammed</w:t>
      </w:r>
    </w:p>
    <w:p w14:paraId="15377B98" w14:textId="77777777" w:rsidR="00B12B57" w:rsidRPr="002A5D8D" w:rsidRDefault="00B12B57" w:rsidP="00B12B57">
      <w:pPr>
        <w:tabs>
          <w:tab w:val="left" w:pos="6540"/>
        </w:tabs>
        <w:spacing w:line="360" w:lineRule="auto"/>
        <w:rPr>
          <w:rFonts w:ascii="Arial" w:hAnsi="Arial" w:cs="Arial"/>
          <w:lang w:val="nl-NL"/>
        </w:rPr>
      </w:pPr>
      <w:r w:rsidRPr="002A5D8D">
        <w:rPr>
          <w:rFonts w:ascii="Arial" w:hAnsi="Arial" w:cs="Arial"/>
          <w:b/>
          <w:bCs/>
          <w:lang w:val="nl-NL"/>
        </w:rPr>
        <w:t>Student ID</w:t>
      </w:r>
      <w:r w:rsidRPr="002A5D8D">
        <w:rPr>
          <w:rFonts w:ascii="Arial" w:hAnsi="Arial" w:cs="Arial"/>
          <w:lang w:val="nl-NL"/>
        </w:rPr>
        <w:t>: 2429698</w:t>
      </w:r>
    </w:p>
    <w:p w14:paraId="0C8D42B9" w14:textId="77777777" w:rsidR="00B12B57" w:rsidRPr="002A5D8D" w:rsidRDefault="00B12B57" w:rsidP="00B12B57">
      <w:pPr>
        <w:tabs>
          <w:tab w:val="left" w:pos="6540"/>
        </w:tabs>
        <w:spacing w:line="360" w:lineRule="auto"/>
        <w:rPr>
          <w:rFonts w:ascii="Arial" w:hAnsi="Arial" w:cs="Arial"/>
          <w:lang w:val="nl-NL"/>
        </w:rPr>
      </w:pPr>
    </w:p>
    <w:p w14:paraId="22457825" w14:textId="77777777" w:rsidR="00B12B57" w:rsidRPr="002A5D8D" w:rsidRDefault="00B12B57" w:rsidP="00B12B57">
      <w:pPr>
        <w:tabs>
          <w:tab w:val="left" w:pos="6540"/>
        </w:tabs>
        <w:spacing w:line="360" w:lineRule="auto"/>
        <w:rPr>
          <w:rFonts w:ascii="Arial" w:hAnsi="Arial" w:cs="Arial"/>
          <w:lang w:val="nl-NL"/>
        </w:rPr>
      </w:pPr>
      <w:r w:rsidRPr="002A5D8D">
        <w:rPr>
          <w:rFonts w:ascii="Arial" w:hAnsi="Arial" w:cs="Arial"/>
          <w:b/>
          <w:bCs/>
          <w:lang w:val="nl-NL"/>
        </w:rPr>
        <w:t>Module name</w:t>
      </w:r>
      <w:r w:rsidRPr="002A5D8D">
        <w:rPr>
          <w:rFonts w:ascii="Arial" w:hAnsi="Arial" w:cs="Arial"/>
          <w:lang w:val="nl-NL"/>
        </w:rPr>
        <w:t>: Introduction to Physiology</w:t>
      </w:r>
    </w:p>
    <w:p w14:paraId="5E1EDB1D" w14:textId="77777777" w:rsidR="00B12B57" w:rsidRPr="002A5D8D" w:rsidRDefault="00B12B57" w:rsidP="00B12B57">
      <w:pPr>
        <w:tabs>
          <w:tab w:val="left" w:pos="6540"/>
        </w:tabs>
        <w:spacing w:line="360" w:lineRule="auto"/>
        <w:rPr>
          <w:rFonts w:ascii="Arial" w:hAnsi="Arial" w:cs="Arial"/>
        </w:rPr>
      </w:pPr>
      <w:r w:rsidRPr="002A5D8D">
        <w:rPr>
          <w:rFonts w:ascii="Arial" w:hAnsi="Arial" w:cs="Arial"/>
          <w:b/>
          <w:bCs/>
        </w:rPr>
        <w:t>Module code</w:t>
      </w:r>
      <w:r w:rsidRPr="002A5D8D">
        <w:rPr>
          <w:rFonts w:ascii="Arial" w:hAnsi="Arial" w:cs="Arial"/>
        </w:rPr>
        <w:t>: BMHP5023</w:t>
      </w:r>
    </w:p>
    <w:p w14:paraId="60C8BFCD" w14:textId="77777777" w:rsidR="00B12B57" w:rsidRPr="002A5D8D" w:rsidRDefault="00B12B57" w:rsidP="00B12B57">
      <w:pPr>
        <w:tabs>
          <w:tab w:val="left" w:pos="6540"/>
        </w:tabs>
        <w:spacing w:line="360" w:lineRule="auto"/>
        <w:rPr>
          <w:rFonts w:ascii="Arial" w:hAnsi="Arial" w:cs="Arial"/>
        </w:rPr>
      </w:pPr>
      <w:r w:rsidRPr="002A5D8D">
        <w:rPr>
          <w:rFonts w:ascii="Arial" w:hAnsi="Arial" w:cs="Arial"/>
          <w:b/>
          <w:bCs/>
        </w:rPr>
        <w:t>Lecturer name</w:t>
      </w:r>
      <w:r w:rsidRPr="002A5D8D">
        <w:rPr>
          <w:rFonts w:ascii="Arial" w:hAnsi="Arial" w:cs="Arial"/>
        </w:rPr>
        <w:t>: Soban Sadiq</w:t>
      </w:r>
    </w:p>
    <w:p w14:paraId="43192170" w14:textId="632D05CF" w:rsidR="00B12B57" w:rsidRDefault="00B12B57" w:rsidP="002A5D8D">
      <w:pPr>
        <w:tabs>
          <w:tab w:val="left" w:pos="6540"/>
        </w:tabs>
        <w:spacing w:line="360" w:lineRule="auto"/>
        <w:rPr>
          <w:rFonts w:ascii="Arial" w:hAnsi="Arial" w:cs="Arial"/>
        </w:rPr>
      </w:pPr>
      <w:r w:rsidRPr="002A5D8D">
        <w:rPr>
          <w:rFonts w:ascii="Arial" w:hAnsi="Arial" w:cs="Arial"/>
          <w:b/>
          <w:bCs/>
        </w:rPr>
        <w:t xml:space="preserve">Assessment: </w:t>
      </w:r>
      <w:r w:rsidRPr="002A5D8D">
        <w:rPr>
          <w:rFonts w:ascii="Arial" w:hAnsi="Arial" w:cs="Arial"/>
        </w:rPr>
        <w:t>Component 1:</w:t>
      </w:r>
      <w:r w:rsidRPr="002A5D8D">
        <w:rPr>
          <w:rFonts w:ascii="Arial" w:hAnsi="Arial" w:cs="Arial"/>
          <w:b/>
          <w:bCs/>
        </w:rPr>
        <w:t xml:space="preserve"> </w:t>
      </w:r>
      <w:r w:rsidRPr="002A5D8D">
        <w:rPr>
          <w:rFonts w:ascii="Arial" w:hAnsi="Arial" w:cs="Arial"/>
        </w:rPr>
        <w:t>Written Assignment (Case Study</w:t>
      </w:r>
      <w:r w:rsidR="00A518D3">
        <w:rPr>
          <w:rFonts w:ascii="Arial" w:hAnsi="Arial" w:cs="Arial"/>
        </w:rPr>
        <w:t xml:space="preserve"> report</w:t>
      </w:r>
      <w:r w:rsidRPr="002A5D8D">
        <w:rPr>
          <w:rFonts w:ascii="Arial" w:hAnsi="Arial" w:cs="Arial"/>
        </w:rPr>
        <w:t>)</w:t>
      </w:r>
    </w:p>
    <w:p w14:paraId="16833DA3" w14:textId="43E04485" w:rsidR="00041CC3" w:rsidRDefault="00041CC3">
      <w:pPr>
        <w:rPr>
          <w:rFonts w:ascii="Arial" w:hAnsi="Arial" w:cs="Arial"/>
        </w:rPr>
      </w:pPr>
      <w:r>
        <w:rPr>
          <w:rFonts w:ascii="Arial" w:hAnsi="Arial" w:cs="Arial"/>
        </w:rPr>
        <w:br w:type="page"/>
      </w:r>
    </w:p>
    <w:sdt>
      <w:sdtPr>
        <w:rPr>
          <w:rFonts w:asciiTheme="minorHAnsi" w:eastAsiaTheme="minorHAnsi" w:hAnsiTheme="minorHAnsi" w:cstheme="minorBidi"/>
          <w:color w:val="auto"/>
          <w:kern w:val="2"/>
          <w:sz w:val="24"/>
          <w:szCs w:val="24"/>
          <w:lang w:eastAsia="en-US"/>
          <w14:ligatures w14:val="standardContextual"/>
        </w:rPr>
        <w:id w:val="512195621"/>
        <w:docPartObj>
          <w:docPartGallery w:val="Table of Contents"/>
          <w:docPartUnique/>
        </w:docPartObj>
      </w:sdtPr>
      <w:sdtEndPr>
        <w:rPr>
          <w:b/>
          <w:bCs/>
        </w:rPr>
      </w:sdtEndPr>
      <w:sdtContent>
        <w:p w14:paraId="62956DAE" w14:textId="1F6EE488" w:rsidR="00041CC3" w:rsidRPr="00A518D3" w:rsidRDefault="00041CC3" w:rsidP="00A518D3">
          <w:pPr>
            <w:pStyle w:val="TOCHeading"/>
            <w:spacing w:line="360" w:lineRule="auto"/>
            <w:rPr>
              <w:rFonts w:ascii="Arial" w:hAnsi="Arial" w:cs="Arial"/>
            </w:rPr>
          </w:pPr>
          <w:r w:rsidRPr="00A518D3">
            <w:rPr>
              <w:rFonts w:ascii="Arial" w:hAnsi="Arial" w:cs="Arial"/>
            </w:rPr>
            <w:t>Table of Contents</w:t>
          </w:r>
        </w:p>
        <w:p w14:paraId="2CDC95F6" w14:textId="3E811A5B" w:rsidR="00C51A77" w:rsidRDefault="00041CC3">
          <w:pPr>
            <w:pStyle w:val="TOC1"/>
            <w:rPr>
              <w:rFonts w:asciiTheme="minorHAnsi" w:eastAsiaTheme="minorEastAsia" w:hAnsiTheme="minorHAnsi"/>
              <w:noProof/>
              <w:kern w:val="2"/>
              <w:szCs w:val="24"/>
              <w:lang w:eastAsia="en-GB"/>
              <w14:ligatures w14:val="standardContextual"/>
            </w:rPr>
          </w:pPr>
          <w:r w:rsidRPr="00A518D3">
            <w:rPr>
              <w:rFonts w:ascii="Arial" w:hAnsi="Arial" w:cs="Arial"/>
              <w:szCs w:val="24"/>
            </w:rPr>
            <w:fldChar w:fldCharType="begin"/>
          </w:r>
          <w:r w:rsidRPr="00A518D3">
            <w:rPr>
              <w:rFonts w:ascii="Arial" w:hAnsi="Arial" w:cs="Arial"/>
              <w:szCs w:val="24"/>
            </w:rPr>
            <w:instrText xml:space="preserve"> TOC \o "1-3" \h \z \u </w:instrText>
          </w:r>
          <w:r w:rsidRPr="00A518D3">
            <w:rPr>
              <w:rFonts w:ascii="Arial" w:hAnsi="Arial" w:cs="Arial"/>
              <w:szCs w:val="24"/>
            </w:rPr>
            <w:fldChar w:fldCharType="separate"/>
          </w:r>
          <w:hyperlink w:anchor="_Toc235887957" w:history="1">
            <w:r w:rsidR="00C51A77" w:rsidRPr="00B05057">
              <w:rPr>
                <w:rStyle w:val="Hyperlink"/>
                <w:rFonts w:ascii="Arial" w:hAnsi="Arial" w:cs="Arial"/>
                <w:noProof/>
              </w:rPr>
              <w:t>1. Introduction</w:t>
            </w:r>
            <w:r w:rsidR="00C51A77">
              <w:rPr>
                <w:noProof/>
                <w:webHidden/>
              </w:rPr>
              <w:tab/>
            </w:r>
            <w:r w:rsidR="00C51A77">
              <w:rPr>
                <w:noProof/>
                <w:webHidden/>
              </w:rPr>
              <w:fldChar w:fldCharType="begin"/>
            </w:r>
            <w:r w:rsidR="00C51A77">
              <w:rPr>
                <w:noProof/>
                <w:webHidden/>
              </w:rPr>
              <w:instrText xml:space="preserve"> PAGEREF _Toc235887957 \h </w:instrText>
            </w:r>
            <w:r w:rsidR="00C51A77">
              <w:rPr>
                <w:noProof/>
                <w:webHidden/>
              </w:rPr>
            </w:r>
            <w:r w:rsidR="00C51A77">
              <w:rPr>
                <w:noProof/>
                <w:webHidden/>
              </w:rPr>
              <w:fldChar w:fldCharType="separate"/>
            </w:r>
            <w:r w:rsidR="00C51A77">
              <w:rPr>
                <w:noProof/>
                <w:webHidden/>
              </w:rPr>
              <w:t>3</w:t>
            </w:r>
            <w:r w:rsidR="00C51A77">
              <w:rPr>
                <w:noProof/>
                <w:webHidden/>
              </w:rPr>
              <w:fldChar w:fldCharType="end"/>
            </w:r>
          </w:hyperlink>
        </w:p>
        <w:p w14:paraId="2571C254" w14:textId="2A1F323D" w:rsidR="00C51A77" w:rsidRDefault="00C51A77">
          <w:pPr>
            <w:pStyle w:val="TOC1"/>
            <w:rPr>
              <w:rFonts w:asciiTheme="minorHAnsi" w:eastAsiaTheme="minorEastAsia" w:hAnsiTheme="minorHAnsi"/>
              <w:noProof/>
              <w:kern w:val="2"/>
              <w:szCs w:val="24"/>
              <w:lang w:eastAsia="en-GB"/>
              <w14:ligatures w14:val="standardContextual"/>
            </w:rPr>
          </w:pPr>
          <w:hyperlink w:anchor="_Toc235887958" w:history="1">
            <w:r w:rsidRPr="00B05057">
              <w:rPr>
                <w:rStyle w:val="Hyperlink"/>
                <w:rFonts w:ascii="Arial" w:hAnsi="Arial" w:cs="Arial"/>
                <w:noProof/>
              </w:rPr>
              <w:t>2. The Structure of the Respiratory System and Mechanical Respiration</w:t>
            </w:r>
            <w:r>
              <w:rPr>
                <w:noProof/>
                <w:webHidden/>
              </w:rPr>
              <w:tab/>
            </w:r>
            <w:r>
              <w:rPr>
                <w:noProof/>
                <w:webHidden/>
              </w:rPr>
              <w:fldChar w:fldCharType="begin"/>
            </w:r>
            <w:r>
              <w:rPr>
                <w:noProof/>
                <w:webHidden/>
              </w:rPr>
              <w:instrText xml:space="preserve"> PAGEREF _Toc235887958 \h </w:instrText>
            </w:r>
            <w:r>
              <w:rPr>
                <w:noProof/>
                <w:webHidden/>
              </w:rPr>
            </w:r>
            <w:r>
              <w:rPr>
                <w:noProof/>
                <w:webHidden/>
              </w:rPr>
              <w:fldChar w:fldCharType="separate"/>
            </w:r>
            <w:r>
              <w:rPr>
                <w:noProof/>
                <w:webHidden/>
              </w:rPr>
              <w:t>4</w:t>
            </w:r>
            <w:r>
              <w:rPr>
                <w:noProof/>
                <w:webHidden/>
              </w:rPr>
              <w:fldChar w:fldCharType="end"/>
            </w:r>
          </w:hyperlink>
        </w:p>
        <w:p w14:paraId="1838E0B1" w14:textId="1CE46829" w:rsidR="00C51A77" w:rsidRDefault="00C51A77">
          <w:pPr>
            <w:pStyle w:val="TOC1"/>
            <w:rPr>
              <w:rFonts w:asciiTheme="minorHAnsi" w:eastAsiaTheme="minorEastAsia" w:hAnsiTheme="minorHAnsi"/>
              <w:noProof/>
              <w:kern w:val="2"/>
              <w:szCs w:val="24"/>
              <w:lang w:eastAsia="en-GB"/>
              <w14:ligatures w14:val="standardContextual"/>
            </w:rPr>
          </w:pPr>
          <w:hyperlink w:anchor="_Toc235887959" w:history="1">
            <w:r w:rsidRPr="00B05057">
              <w:rPr>
                <w:rStyle w:val="Hyperlink"/>
                <w:rFonts w:ascii="Arial" w:hAnsi="Arial" w:cs="Arial"/>
                <w:noProof/>
              </w:rPr>
              <w:t>3. Gas Exchange in the Lungs</w:t>
            </w:r>
            <w:r>
              <w:rPr>
                <w:noProof/>
                <w:webHidden/>
              </w:rPr>
              <w:tab/>
            </w:r>
            <w:r>
              <w:rPr>
                <w:noProof/>
                <w:webHidden/>
              </w:rPr>
              <w:fldChar w:fldCharType="begin"/>
            </w:r>
            <w:r>
              <w:rPr>
                <w:noProof/>
                <w:webHidden/>
              </w:rPr>
              <w:instrText xml:space="preserve"> PAGEREF _Toc235887959 \h </w:instrText>
            </w:r>
            <w:r>
              <w:rPr>
                <w:noProof/>
                <w:webHidden/>
              </w:rPr>
            </w:r>
            <w:r>
              <w:rPr>
                <w:noProof/>
                <w:webHidden/>
              </w:rPr>
              <w:fldChar w:fldCharType="separate"/>
            </w:r>
            <w:r>
              <w:rPr>
                <w:noProof/>
                <w:webHidden/>
              </w:rPr>
              <w:t>6</w:t>
            </w:r>
            <w:r>
              <w:rPr>
                <w:noProof/>
                <w:webHidden/>
              </w:rPr>
              <w:fldChar w:fldCharType="end"/>
            </w:r>
          </w:hyperlink>
        </w:p>
        <w:p w14:paraId="5910A76A" w14:textId="253DECE4" w:rsidR="00C51A77" w:rsidRDefault="00C51A77">
          <w:pPr>
            <w:pStyle w:val="TOC1"/>
            <w:rPr>
              <w:rFonts w:asciiTheme="minorHAnsi" w:eastAsiaTheme="minorEastAsia" w:hAnsiTheme="minorHAnsi"/>
              <w:noProof/>
              <w:kern w:val="2"/>
              <w:szCs w:val="24"/>
              <w:lang w:eastAsia="en-GB"/>
              <w14:ligatures w14:val="standardContextual"/>
            </w:rPr>
          </w:pPr>
          <w:hyperlink w:anchor="_Toc235887960" w:history="1">
            <w:r w:rsidRPr="00B05057">
              <w:rPr>
                <w:rStyle w:val="Hyperlink"/>
                <w:rFonts w:ascii="Arial" w:hAnsi="Arial" w:cs="Arial"/>
                <w:noProof/>
              </w:rPr>
              <w:t>4. How Irritants Cause Inflammation and Affect Breathing</w:t>
            </w:r>
            <w:r>
              <w:rPr>
                <w:noProof/>
                <w:webHidden/>
              </w:rPr>
              <w:tab/>
            </w:r>
            <w:r>
              <w:rPr>
                <w:noProof/>
                <w:webHidden/>
              </w:rPr>
              <w:fldChar w:fldCharType="begin"/>
            </w:r>
            <w:r>
              <w:rPr>
                <w:noProof/>
                <w:webHidden/>
              </w:rPr>
              <w:instrText xml:space="preserve"> PAGEREF _Toc235887960 \h </w:instrText>
            </w:r>
            <w:r>
              <w:rPr>
                <w:noProof/>
                <w:webHidden/>
              </w:rPr>
            </w:r>
            <w:r>
              <w:rPr>
                <w:noProof/>
                <w:webHidden/>
              </w:rPr>
              <w:fldChar w:fldCharType="separate"/>
            </w:r>
            <w:r>
              <w:rPr>
                <w:noProof/>
                <w:webHidden/>
              </w:rPr>
              <w:t>7</w:t>
            </w:r>
            <w:r>
              <w:rPr>
                <w:noProof/>
                <w:webHidden/>
              </w:rPr>
              <w:fldChar w:fldCharType="end"/>
            </w:r>
          </w:hyperlink>
        </w:p>
        <w:p w14:paraId="6EF3616D" w14:textId="7E2EC2FB" w:rsidR="00C51A77" w:rsidRDefault="00C51A77">
          <w:pPr>
            <w:pStyle w:val="TOC1"/>
            <w:rPr>
              <w:rFonts w:asciiTheme="minorHAnsi" w:eastAsiaTheme="minorEastAsia" w:hAnsiTheme="minorHAnsi"/>
              <w:noProof/>
              <w:kern w:val="2"/>
              <w:szCs w:val="24"/>
              <w:lang w:eastAsia="en-GB"/>
              <w14:ligatures w14:val="standardContextual"/>
            </w:rPr>
          </w:pPr>
          <w:hyperlink w:anchor="_Toc235887961" w:history="1">
            <w:r w:rsidRPr="00B05057">
              <w:rPr>
                <w:rStyle w:val="Hyperlink"/>
                <w:rFonts w:ascii="Arial" w:hAnsi="Arial" w:cs="Arial"/>
                <w:noProof/>
              </w:rPr>
              <w:t>5. Recording and Tracking Respiratory Function</w:t>
            </w:r>
            <w:r>
              <w:rPr>
                <w:noProof/>
                <w:webHidden/>
              </w:rPr>
              <w:tab/>
            </w:r>
            <w:r>
              <w:rPr>
                <w:noProof/>
                <w:webHidden/>
              </w:rPr>
              <w:fldChar w:fldCharType="begin"/>
            </w:r>
            <w:r>
              <w:rPr>
                <w:noProof/>
                <w:webHidden/>
              </w:rPr>
              <w:instrText xml:space="preserve"> PAGEREF _Toc235887961 \h </w:instrText>
            </w:r>
            <w:r>
              <w:rPr>
                <w:noProof/>
                <w:webHidden/>
              </w:rPr>
            </w:r>
            <w:r>
              <w:rPr>
                <w:noProof/>
                <w:webHidden/>
              </w:rPr>
              <w:fldChar w:fldCharType="separate"/>
            </w:r>
            <w:r>
              <w:rPr>
                <w:noProof/>
                <w:webHidden/>
              </w:rPr>
              <w:t>8</w:t>
            </w:r>
            <w:r>
              <w:rPr>
                <w:noProof/>
                <w:webHidden/>
              </w:rPr>
              <w:fldChar w:fldCharType="end"/>
            </w:r>
          </w:hyperlink>
        </w:p>
        <w:p w14:paraId="09ED7D39" w14:textId="5649DC4C" w:rsidR="00C51A77" w:rsidRDefault="00C51A77">
          <w:pPr>
            <w:pStyle w:val="TOC1"/>
            <w:rPr>
              <w:rFonts w:asciiTheme="minorHAnsi" w:eastAsiaTheme="minorEastAsia" w:hAnsiTheme="minorHAnsi"/>
              <w:noProof/>
              <w:kern w:val="2"/>
              <w:szCs w:val="24"/>
              <w:lang w:eastAsia="en-GB"/>
              <w14:ligatures w14:val="standardContextual"/>
            </w:rPr>
          </w:pPr>
          <w:hyperlink w:anchor="_Toc235887962" w:history="1">
            <w:r w:rsidRPr="00B05057">
              <w:rPr>
                <w:rStyle w:val="Hyperlink"/>
                <w:rFonts w:ascii="Arial" w:hAnsi="Arial" w:cs="Arial"/>
                <w:noProof/>
              </w:rPr>
              <w:t>6. Evidence-Based Lifestyle Recommendations</w:t>
            </w:r>
            <w:r>
              <w:rPr>
                <w:noProof/>
                <w:webHidden/>
              </w:rPr>
              <w:tab/>
            </w:r>
            <w:r>
              <w:rPr>
                <w:noProof/>
                <w:webHidden/>
              </w:rPr>
              <w:fldChar w:fldCharType="begin"/>
            </w:r>
            <w:r>
              <w:rPr>
                <w:noProof/>
                <w:webHidden/>
              </w:rPr>
              <w:instrText xml:space="preserve"> PAGEREF _Toc235887962 \h </w:instrText>
            </w:r>
            <w:r>
              <w:rPr>
                <w:noProof/>
                <w:webHidden/>
              </w:rPr>
            </w:r>
            <w:r>
              <w:rPr>
                <w:noProof/>
                <w:webHidden/>
              </w:rPr>
              <w:fldChar w:fldCharType="separate"/>
            </w:r>
            <w:r>
              <w:rPr>
                <w:noProof/>
                <w:webHidden/>
              </w:rPr>
              <w:t>9</w:t>
            </w:r>
            <w:r>
              <w:rPr>
                <w:noProof/>
                <w:webHidden/>
              </w:rPr>
              <w:fldChar w:fldCharType="end"/>
            </w:r>
          </w:hyperlink>
        </w:p>
        <w:p w14:paraId="76E9B976" w14:textId="7B8E6277" w:rsidR="00C51A77" w:rsidRDefault="00C51A77">
          <w:pPr>
            <w:pStyle w:val="TOC1"/>
            <w:rPr>
              <w:rFonts w:asciiTheme="minorHAnsi" w:eastAsiaTheme="minorEastAsia" w:hAnsiTheme="minorHAnsi"/>
              <w:noProof/>
              <w:kern w:val="2"/>
              <w:szCs w:val="24"/>
              <w:lang w:eastAsia="en-GB"/>
              <w14:ligatures w14:val="standardContextual"/>
            </w:rPr>
          </w:pPr>
          <w:hyperlink w:anchor="_Toc235887963" w:history="1">
            <w:r w:rsidRPr="00B05057">
              <w:rPr>
                <w:rStyle w:val="Hyperlink"/>
                <w:rFonts w:ascii="Arial" w:hAnsi="Arial" w:cs="Arial"/>
                <w:noProof/>
              </w:rPr>
              <w:t>7. Conclusion</w:t>
            </w:r>
            <w:r>
              <w:rPr>
                <w:noProof/>
                <w:webHidden/>
              </w:rPr>
              <w:tab/>
            </w:r>
            <w:r>
              <w:rPr>
                <w:noProof/>
                <w:webHidden/>
              </w:rPr>
              <w:fldChar w:fldCharType="begin"/>
            </w:r>
            <w:r>
              <w:rPr>
                <w:noProof/>
                <w:webHidden/>
              </w:rPr>
              <w:instrText xml:space="preserve"> PAGEREF _Toc235887963 \h </w:instrText>
            </w:r>
            <w:r>
              <w:rPr>
                <w:noProof/>
                <w:webHidden/>
              </w:rPr>
            </w:r>
            <w:r>
              <w:rPr>
                <w:noProof/>
                <w:webHidden/>
              </w:rPr>
              <w:fldChar w:fldCharType="separate"/>
            </w:r>
            <w:r>
              <w:rPr>
                <w:noProof/>
                <w:webHidden/>
              </w:rPr>
              <w:t>10</w:t>
            </w:r>
            <w:r>
              <w:rPr>
                <w:noProof/>
                <w:webHidden/>
              </w:rPr>
              <w:fldChar w:fldCharType="end"/>
            </w:r>
          </w:hyperlink>
        </w:p>
        <w:p w14:paraId="7F7CE830" w14:textId="48DA1E13" w:rsidR="00C51A77" w:rsidRDefault="00C51A77">
          <w:pPr>
            <w:pStyle w:val="TOC1"/>
            <w:rPr>
              <w:rFonts w:asciiTheme="minorHAnsi" w:eastAsiaTheme="minorEastAsia" w:hAnsiTheme="minorHAnsi"/>
              <w:noProof/>
              <w:kern w:val="2"/>
              <w:szCs w:val="24"/>
              <w:lang w:eastAsia="en-GB"/>
              <w14:ligatures w14:val="standardContextual"/>
            </w:rPr>
          </w:pPr>
          <w:hyperlink w:anchor="_Toc235887964" w:history="1">
            <w:r w:rsidRPr="00B05057">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_Toc235887964 \h </w:instrText>
            </w:r>
            <w:r>
              <w:rPr>
                <w:noProof/>
                <w:webHidden/>
              </w:rPr>
            </w:r>
            <w:r>
              <w:rPr>
                <w:noProof/>
                <w:webHidden/>
              </w:rPr>
              <w:fldChar w:fldCharType="separate"/>
            </w:r>
            <w:r>
              <w:rPr>
                <w:noProof/>
                <w:webHidden/>
              </w:rPr>
              <w:t>11</w:t>
            </w:r>
            <w:r>
              <w:rPr>
                <w:noProof/>
                <w:webHidden/>
              </w:rPr>
              <w:fldChar w:fldCharType="end"/>
            </w:r>
          </w:hyperlink>
        </w:p>
        <w:p w14:paraId="199D9D95" w14:textId="75E4713F" w:rsidR="00041CC3" w:rsidRDefault="00041CC3" w:rsidP="00A518D3">
          <w:pPr>
            <w:spacing w:line="360" w:lineRule="auto"/>
          </w:pPr>
          <w:r w:rsidRPr="00A518D3">
            <w:rPr>
              <w:rFonts w:ascii="Arial" w:hAnsi="Arial" w:cs="Arial"/>
            </w:rPr>
            <w:fldChar w:fldCharType="end"/>
          </w:r>
        </w:p>
      </w:sdtContent>
    </w:sdt>
    <w:p w14:paraId="43954B4A" w14:textId="2707F4C9" w:rsidR="00A518D3" w:rsidRDefault="00A518D3">
      <w:pPr>
        <w:rPr>
          <w:rFonts w:ascii="Arial" w:hAnsi="Arial" w:cs="Arial"/>
          <w:b/>
          <w:bCs/>
        </w:rPr>
      </w:pPr>
      <w:r>
        <w:rPr>
          <w:rFonts w:ascii="Arial" w:hAnsi="Arial" w:cs="Arial"/>
          <w:b/>
          <w:bCs/>
        </w:rPr>
        <w:br w:type="page"/>
      </w:r>
    </w:p>
    <w:p w14:paraId="119D304E" w14:textId="2707F4C9" w:rsidR="000545D1" w:rsidRPr="00B9125F" w:rsidRDefault="000545D1" w:rsidP="00041CC3">
      <w:pPr>
        <w:pStyle w:val="Heading1"/>
        <w:rPr>
          <w:rFonts w:ascii="Arial" w:hAnsi="Arial" w:cs="Arial"/>
          <w:sz w:val="24"/>
          <w:szCs w:val="24"/>
        </w:rPr>
      </w:pPr>
      <w:bookmarkStart w:id="0" w:name="_Toc235887957"/>
      <w:r w:rsidRPr="00B9125F">
        <w:rPr>
          <w:rFonts w:ascii="Arial" w:hAnsi="Arial" w:cs="Arial"/>
          <w:sz w:val="24"/>
          <w:szCs w:val="24"/>
        </w:rPr>
        <w:lastRenderedPageBreak/>
        <w:t>1. Introduction</w:t>
      </w:r>
      <w:bookmarkEnd w:id="0"/>
    </w:p>
    <w:p w14:paraId="3F7FE632" w14:textId="1DAA2179" w:rsidR="00892AB5" w:rsidRPr="00B9125F" w:rsidRDefault="00892AB5" w:rsidP="00B12B57">
      <w:pPr>
        <w:rPr>
          <w:rFonts w:ascii="Arial" w:hAnsi="Arial" w:cs="Arial"/>
          <w:color w:val="FFC000"/>
        </w:rPr>
      </w:pPr>
      <w:r w:rsidRPr="00B9125F">
        <w:rPr>
          <w:rFonts w:ascii="Arial" w:hAnsi="Arial" w:cs="Arial"/>
        </w:rPr>
        <w:t xml:space="preserve">This report examines a case study in which a practice nurse has been assigned to work in a GP surgery experiencing an increase in adolescents </w:t>
      </w:r>
      <w:r w:rsidR="001D3726" w:rsidRPr="00B9125F">
        <w:rPr>
          <w:rFonts w:ascii="Arial" w:hAnsi="Arial" w:cs="Arial"/>
        </w:rPr>
        <w:t xml:space="preserve">and teenagers </w:t>
      </w:r>
      <w:r w:rsidRPr="00B9125F">
        <w:rPr>
          <w:rFonts w:ascii="Arial" w:hAnsi="Arial" w:cs="Arial"/>
        </w:rPr>
        <w:t xml:space="preserve">attending asthma clinics because of frequent and severe asthma </w:t>
      </w:r>
      <w:r w:rsidR="001D3726" w:rsidRPr="00B9125F">
        <w:rPr>
          <w:rFonts w:ascii="Arial" w:hAnsi="Arial" w:cs="Arial"/>
        </w:rPr>
        <w:t>related issues</w:t>
      </w:r>
      <w:r w:rsidRPr="00B9125F">
        <w:rPr>
          <w:rFonts w:ascii="Arial" w:hAnsi="Arial" w:cs="Arial"/>
        </w:rPr>
        <w:t>. Many of these young people have started smoking or vaping, while increased exposure to respiratory irritants in social settings may be worsening their symptoms. The report explains how asthma affects the respiratory system, identifies the main risk factors for developing the condition, and discusses the importance of education and self-management for adolescents.</w:t>
      </w:r>
    </w:p>
    <w:p w14:paraId="60EEAD6C" w14:textId="3574476D" w:rsidR="00892AB5" w:rsidRPr="00B9125F" w:rsidRDefault="00892AB5" w:rsidP="00B12B57">
      <w:pPr>
        <w:spacing w:before="80" w:after="80"/>
        <w:rPr>
          <w:rFonts w:ascii="Arial" w:eastAsia="Arial" w:hAnsi="Arial" w:cs="Arial"/>
          <w:b/>
          <w:bCs/>
          <w:color w:val="555555"/>
        </w:rPr>
      </w:pPr>
      <w:r w:rsidRPr="00B9125F">
        <w:rPr>
          <w:rFonts w:ascii="Arial" w:eastAsia="Arial" w:hAnsi="Arial" w:cs="Arial"/>
          <w:b/>
          <w:bCs/>
        </w:rPr>
        <w:t xml:space="preserve">1a. </w:t>
      </w:r>
      <w:r w:rsidR="00A93A1C" w:rsidRPr="00B9125F">
        <w:rPr>
          <w:rFonts w:ascii="Arial" w:hAnsi="Arial" w:cs="Arial"/>
          <w:b/>
          <w:bCs/>
        </w:rPr>
        <w:t>Definition and pathophysiology of asthma</w:t>
      </w:r>
    </w:p>
    <w:p w14:paraId="72FACA97" w14:textId="22D2F08E" w:rsidR="00B61402" w:rsidRPr="00B9125F" w:rsidRDefault="00892AB5" w:rsidP="000545D1">
      <w:pPr>
        <w:rPr>
          <w:rFonts w:ascii="Arial" w:hAnsi="Arial" w:cs="Arial"/>
          <w:color w:val="FFC000"/>
        </w:rPr>
      </w:pPr>
      <w:r w:rsidRPr="00B9125F">
        <w:rPr>
          <w:rFonts w:ascii="Arial" w:hAnsi="Arial" w:cs="Arial"/>
        </w:rPr>
        <w:t>Asthma is a chronic inflammatory condition that affects the airways, causing narrowing that makes it more difficult for air to move into and out of the lungs. Common symptoms include wheezing, coughing, chest tightness and shortness of breath (NICE, 2023). During an asthma exacerbation, the airway lining becomes inflamed and swollen, the surrounding muscles tighten, causing bronchoconstriction, and excess mucus is produced. Together, these changes narrow the airways and restrict airflow, making breathing, particularly exhalation, more difficult (Asthma + Lung UK, 2024).</w:t>
      </w:r>
      <w:r w:rsidR="00B61402" w:rsidRPr="00B9125F">
        <w:rPr>
          <w:rFonts w:ascii="Arial" w:hAnsi="Arial" w:cs="Arial"/>
          <w:noProof/>
        </w:rPr>
        <w:drawing>
          <wp:inline distT="0" distB="0" distL="0" distR="0" wp14:anchorId="067C9186" wp14:editId="51BF8D59">
            <wp:extent cx="5374522" cy="3581400"/>
            <wp:effectExtent l="0" t="0" r="0" b="0"/>
            <wp:docPr id="1997278798" name="Picture 2" descr="Normal versus asthmatic bronchiole: MedlinePlus Medical Encyclopedia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rmal versus asthmatic bronchiole: MedlinePlus Medical Encyclopedia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01782" cy="3599565"/>
                    </a:xfrm>
                    <a:prstGeom prst="rect">
                      <a:avLst/>
                    </a:prstGeom>
                    <a:noFill/>
                    <a:ln>
                      <a:noFill/>
                    </a:ln>
                  </pic:spPr>
                </pic:pic>
              </a:graphicData>
            </a:graphic>
          </wp:inline>
        </w:drawing>
      </w:r>
    </w:p>
    <w:p w14:paraId="4A08CC90" w14:textId="2BDBBDC0" w:rsidR="00892AB5" w:rsidRPr="00B9125F" w:rsidRDefault="00892AB5" w:rsidP="00892AB5">
      <w:pPr>
        <w:pStyle w:val="pdq2pgselectionanchorcontainer"/>
        <w:rPr>
          <w:rFonts w:ascii="Arial" w:hAnsi="Arial" w:cs="Arial"/>
        </w:rPr>
      </w:pPr>
      <w:r w:rsidRPr="00B9125F">
        <w:rPr>
          <w:rStyle w:val="Strong"/>
          <w:rFonts w:ascii="Arial" w:hAnsi="Arial" w:cs="Arial"/>
          <w:b w:val="0"/>
          <w:bCs w:val="0"/>
          <w:i/>
          <w:iCs/>
        </w:rPr>
        <w:t>Figure 1: Comparison of a healthy airway and an airway affected by asthma during an exacerbation.</w:t>
      </w:r>
      <w:r w:rsidR="00041CC3" w:rsidRPr="00B9125F">
        <w:rPr>
          <w:rFonts w:ascii="Arial" w:hAnsi="Arial" w:cs="Arial"/>
        </w:rPr>
        <w:t xml:space="preserve"> </w:t>
      </w:r>
      <w:r w:rsidRPr="00B9125F">
        <w:rPr>
          <w:rStyle w:val="Emphasis"/>
          <w:rFonts w:ascii="Arial" w:hAnsi="Arial" w:cs="Arial"/>
        </w:rPr>
        <w:t>Source: MedlinePlus (2026).</w:t>
      </w:r>
    </w:p>
    <w:p w14:paraId="10FEF6C9" w14:textId="11634A03" w:rsidR="00892AB5" w:rsidRPr="00B9125F" w:rsidRDefault="00892AB5" w:rsidP="001D3726">
      <w:pPr>
        <w:pStyle w:val="NormalWeb"/>
        <w:rPr>
          <w:rFonts w:ascii="Arial" w:hAnsi="Arial" w:cs="Arial"/>
        </w:rPr>
      </w:pPr>
      <w:r w:rsidRPr="00B9125F">
        <w:rPr>
          <w:rFonts w:ascii="Arial" w:hAnsi="Arial" w:cs="Arial"/>
        </w:rPr>
        <w:t>Figure 1 illustrates how inflammation, bronchoconstriction and excess mucus reduce the space available for airflow.</w:t>
      </w:r>
    </w:p>
    <w:p w14:paraId="73DADBF8" w14:textId="6D8897DE" w:rsidR="00892AB5" w:rsidRPr="00B9125F" w:rsidRDefault="00892AB5" w:rsidP="00A93A1C">
      <w:pPr>
        <w:spacing w:before="80" w:after="80"/>
        <w:rPr>
          <w:rFonts w:ascii="Arial" w:hAnsi="Arial" w:cs="Arial"/>
          <w:b/>
          <w:bCs/>
          <w:color w:val="92D050"/>
        </w:rPr>
      </w:pPr>
      <w:r w:rsidRPr="00B9125F">
        <w:rPr>
          <w:rFonts w:ascii="Arial" w:eastAsia="Arial" w:hAnsi="Arial" w:cs="Arial"/>
          <w:b/>
          <w:bCs/>
        </w:rPr>
        <w:lastRenderedPageBreak/>
        <w:t xml:space="preserve">1b. </w:t>
      </w:r>
      <w:r w:rsidR="00A93A1C" w:rsidRPr="00B9125F">
        <w:rPr>
          <w:rFonts w:ascii="Arial" w:hAnsi="Arial" w:cs="Arial"/>
          <w:b/>
          <w:bCs/>
        </w:rPr>
        <w:t>Risk factors for developing asthma</w:t>
      </w:r>
    </w:p>
    <w:p w14:paraId="50A88F48" w14:textId="774882DD" w:rsidR="00892AB5" w:rsidRPr="00B9125F" w:rsidRDefault="00892AB5" w:rsidP="000545D1">
      <w:pPr>
        <w:rPr>
          <w:rFonts w:ascii="Arial" w:hAnsi="Arial" w:cs="Arial"/>
          <w:color w:val="92D050"/>
        </w:rPr>
      </w:pPr>
      <w:r w:rsidRPr="00B9125F">
        <w:rPr>
          <w:rFonts w:ascii="Arial" w:hAnsi="Arial" w:cs="Arial"/>
        </w:rPr>
        <w:t>Several factors can increase the likelihood of developing asthma. These include a genetic predisposition or family history of the condition and atopy, which refers to a tendency to develop allergic conditions such as eczema or hay fever. Exposure to cigarette smoke or vaping aerosols, particularly during childhood, may also increase the risk. Other recognised factors include air pollution, childhood respiratory infections and occupational exposure to substances such as dust, chemicals or fumes (NICE, 2023; Asthma + Lung UK, 2024).</w:t>
      </w:r>
    </w:p>
    <w:p w14:paraId="6BCF8757" w14:textId="4C470B90" w:rsidR="00892AB5" w:rsidRPr="00B9125F" w:rsidRDefault="00892AB5" w:rsidP="00A93A1C">
      <w:pPr>
        <w:spacing w:before="80" w:after="80"/>
        <w:rPr>
          <w:rFonts w:ascii="Arial" w:hAnsi="Arial" w:cs="Arial"/>
          <w:b/>
          <w:bCs/>
          <w:color w:val="92D050"/>
        </w:rPr>
      </w:pPr>
      <w:r w:rsidRPr="00B9125F">
        <w:rPr>
          <w:rFonts w:ascii="Arial" w:eastAsia="Arial" w:hAnsi="Arial" w:cs="Arial"/>
          <w:b/>
          <w:bCs/>
        </w:rPr>
        <w:t xml:space="preserve">1c. </w:t>
      </w:r>
      <w:r w:rsidR="00A93A1C" w:rsidRPr="00B9125F">
        <w:rPr>
          <w:rFonts w:ascii="Arial" w:hAnsi="Arial" w:cs="Arial"/>
          <w:b/>
          <w:bCs/>
        </w:rPr>
        <w:t>Education and self-management in adolescents</w:t>
      </w:r>
    </w:p>
    <w:p w14:paraId="6D672DBE" w14:textId="7549F0CB" w:rsidR="000545D1" w:rsidRPr="00B9125F" w:rsidRDefault="00892AB5" w:rsidP="000545D1">
      <w:pPr>
        <w:rPr>
          <w:rFonts w:ascii="Arial" w:hAnsi="Arial" w:cs="Arial"/>
          <w:u w:val="single"/>
        </w:rPr>
      </w:pPr>
      <w:r w:rsidRPr="00B9125F">
        <w:rPr>
          <w:rFonts w:ascii="Arial" w:hAnsi="Arial" w:cs="Arial"/>
        </w:rPr>
        <w:t xml:space="preserve">Education and self-management are </w:t>
      </w:r>
      <w:r w:rsidR="001D3726" w:rsidRPr="00B9125F">
        <w:rPr>
          <w:rFonts w:ascii="Arial" w:hAnsi="Arial" w:cs="Arial"/>
        </w:rPr>
        <w:t>especially</w:t>
      </w:r>
      <w:r w:rsidRPr="00B9125F">
        <w:rPr>
          <w:rFonts w:ascii="Arial" w:hAnsi="Arial" w:cs="Arial"/>
        </w:rPr>
        <w:t xml:space="preserve"> important for </w:t>
      </w:r>
      <w:r w:rsidR="001D3726" w:rsidRPr="00B9125F">
        <w:rPr>
          <w:rFonts w:ascii="Arial" w:hAnsi="Arial" w:cs="Arial"/>
        </w:rPr>
        <w:t xml:space="preserve">teenagers and </w:t>
      </w:r>
      <w:r w:rsidRPr="00B9125F">
        <w:rPr>
          <w:rFonts w:ascii="Arial" w:hAnsi="Arial" w:cs="Arial"/>
        </w:rPr>
        <w:t xml:space="preserve">adolescents because they may use their inhalers incorrectly or inconsistently </w:t>
      </w:r>
      <w:r w:rsidR="001D3726" w:rsidRPr="00B9125F">
        <w:rPr>
          <w:rFonts w:ascii="Arial" w:hAnsi="Arial" w:cs="Arial"/>
        </w:rPr>
        <w:t>as well as failing</w:t>
      </w:r>
      <w:r w:rsidRPr="00B9125F">
        <w:rPr>
          <w:rFonts w:ascii="Arial" w:hAnsi="Arial" w:cs="Arial"/>
        </w:rPr>
        <w:t xml:space="preserve"> to recognise early signs of </w:t>
      </w:r>
      <w:r w:rsidR="001D3726" w:rsidRPr="00B9125F">
        <w:rPr>
          <w:rFonts w:ascii="Arial" w:hAnsi="Arial" w:cs="Arial"/>
        </w:rPr>
        <w:t>their</w:t>
      </w:r>
      <w:r w:rsidRPr="00B9125F">
        <w:rPr>
          <w:rFonts w:ascii="Arial" w:hAnsi="Arial" w:cs="Arial"/>
        </w:rPr>
        <w:t xml:space="preserve"> asthma</w:t>
      </w:r>
      <w:r w:rsidR="001D3726" w:rsidRPr="00B9125F">
        <w:rPr>
          <w:rFonts w:ascii="Arial" w:hAnsi="Arial" w:cs="Arial"/>
        </w:rPr>
        <w:t xml:space="preserve"> becoming worse</w:t>
      </w:r>
      <w:r w:rsidRPr="00B9125F">
        <w:rPr>
          <w:rFonts w:ascii="Arial" w:hAnsi="Arial" w:cs="Arial"/>
        </w:rPr>
        <w:t>. In the case study, smoking, vaping and exposure to respiratory irritants in social settings may be contributing to more frequent and severe exacerbations. Supporting adolescents</w:t>
      </w:r>
      <w:r w:rsidR="001D3726" w:rsidRPr="00B9125F">
        <w:rPr>
          <w:rFonts w:ascii="Arial" w:hAnsi="Arial" w:cs="Arial"/>
        </w:rPr>
        <w:t xml:space="preserve"> </w:t>
      </w:r>
      <w:r w:rsidRPr="00B9125F">
        <w:rPr>
          <w:rFonts w:ascii="Arial" w:hAnsi="Arial" w:cs="Arial"/>
        </w:rPr>
        <w:t>to understand these risks, use their inhalers correctly, follow a personalised asthma action plan and avoid known triggers can improve engagement with treatment, reduce exacerbations and support long-term asthma control (Asthma + Lung UK, 2024).</w:t>
      </w:r>
    </w:p>
    <w:p w14:paraId="2A52CD35" w14:textId="666666E8" w:rsidR="000545D1" w:rsidRPr="00B9125F" w:rsidRDefault="000545D1" w:rsidP="00041CC3">
      <w:pPr>
        <w:pStyle w:val="Heading1"/>
        <w:rPr>
          <w:rFonts w:ascii="Arial" w:hAnsi="Arial" w:cs="Arial"/>
          <w:sz w:val="24"/>
          <w:szCs w:val="24"/>
        </w:rPr>
      </w:pPr>
      <w:bookmarkStart w:id="1" w:name="_Toc235887958"/>
      <w:r w:rsidRPr="00B9125F">
        <w:rPr>
          <w:rFonts w:ascii="Arial" w:hAnsi="Arial" w:cs="Arial"/>
          <w:sz w:val="24"/>
          <w:szCs w:val="24"/>
        </w:rPr>
        <w:t>2. The Structure of the Respiratory System and Mechanical Respiration</w:t>
      </w:r>
      <w:bookmarkEnd w:id="1"/>
    </w:p>
    <w:p w14:paraId="45973568" w14:textId="0E64BF7B" w:rsidR="000545D1" w:rsidRPr="00B9125F" w:rsidRDefault="000545D1" w:rsidP="000545D1">
      <w:pPr>
        <w:rPr>
          <w:rFonts w:ascii="Arial" w:hAnsi="Arial" w:cs="Arial"/>
          <w:b/>
          <w:bCs/>
        </w:rPr>
      </w:pPr>
      <w:r w:rsidRPr="00B9125F">
        <w:rPr>
          <w:rFonts w:ascii="Arial" w:hAnsi="Arial" w:cs="Arial"/>
          <w:b/>
          <w:bCs/>
        </w:rPr>
        <w:t>2a: Structure of the respiratory system</w:t>
      </w:r>
    </w:p>
    <w:p w14:paraId="7FC68BD7" w14:textId="3A07BF17" w:rsidR="00892AB5" w:rsidRPr="00B9125F" w:rsidRDefault="00892AB5" w:rsidP="00892AB5">
      <w:pPr>
        <w:pStyle w:val="pdq2pgselectionanchorcontainer"/>
        <w:rPr>
          <w:rFonts w:ascii="Arial" w:hAnsi="Arial" w:cs="Arial"/>
        </w:rPr>
      </w:pPr>
      <w:r w:rsidRPr="00B9125F">
        <w:rPr>
          <w:rFonts w:ascii="Arial" w:hAnsi="Arial" w:cs="Arial"/>
        </w:rPr>
        <w:t>The respiratory system consists of the upper and lower respiratory tracts, which work together to move air into and out of the lungs, supply oxygen to the body and remove carbon dioxide from the blood. Air enters through either the nose or mouth. When entering through the nose, it passes through the nasal cavity, where it is filtered, warmed and humidified. The nasal and oral passages meet at the pharynx, which is a shared passageway for air and food. Air then passes through the larynx, which contains the vocal cords, while the epiglottis helps prevent food from entering the trachea during swallowing (Waugh and Grant, 2022).</w:t>
      </w:r>
    </w:p>
    <w:p w14:paraId="7EEFB249" w14:textId="18CFBA2C" w:rsidR="00892AB5" w:rsidRPr="00B9125F" w:rsidRDefault="00892AB5" w:rsidP="00892AB5">
      <w:pPr>
        <w:pStyle w:val="NormalWeb"/>
        <w:rPr>
          <w:rFonts w:ascii="Arial" w:hAnsi="Arial" w:cs="Arial"/>
        </w:rPr>
      </w:pPr>
      <w:r w:rsidRPr="00B9125F">
        <w:rPr>
          <w:rFonts w:ascii="Arial" w:hAnsi="Arial" w:cs="Arial"/>
        </w:rPr>
        <w:t>The trachea is supported by C-shaped cartilage rings that prevent it from collapsing. It divides into the right and left primary bronchi, which enter the lungs and branch into smaller bronchi and bronchioles. The bronchioles terminate in microscopic air sacs called alveoli, where gas exchange occurs with the surrounding capillaries (Tortora and Derrickson, 2021).</w:t>
      </w:r>
    </w:p>
    <w:p w14:paraId="0913A9F9" w14:textId="065A2428" w:rsidR="000545D1" w:rsidRPr="00B9125F" w:rsidRDefault="00041CC3" w:rsidP="000545D1">
      <w:pPr>
        <w:rPr>
          <w:rFonts w:ascii="Arial" w:hAnsi="Arial" w:cs="Arial"/>
        </w:rPr>
      </w:pPr>
      <w:r w:rsidRPr="00B9125F">
        <w:rPr>
          <w:rFonts w:ascii="Arial" w:hAnsi="Arial" w:cs="Arial"/>
          <w:b/>
          <w:bCs/>
          <w:noProof/>
        </w:rPr>
        <w:lastRenderedPageBreak/>
        <w:drawing>
          <wp:anchor distT="0" distB="0" distL="114300" distR="114300" simplePos="0" relativeHeight="251659264" behindDoc="1" locked="0" layoutInCell="1" allowOverlap="1" wp14:anchorId="24608CE3" wp14:editId="08960B42">
            <wp:simplePos x="0" y="0"/>
            <wp:positionH relativeFrom="margin">
              <wp:posOffset>141605</wp:posOffset>
            </wp:positionH>
            <wp:positionV relativeFrom="paragraph">
              <wp:posOffset>31115</wp:posOffset>
            </wp:positionV>
            <wp:extent cx="4665980" cy="3152775"/>
            <wp:effectExtent l="0" t="0" r="1270" b="9525"/>
            <wp:wrapTight wrapText="bothSides">
              <wp:wrapPolygon edited="0">
                <wp:start x="0" y="0"/>
                <wp:lineTo x="0" y="21535"/>
                <wp:lineTo x="21518" y="21535"/>
                <wp:lineTo x="21518" y="0"/>
                <wp:lineTo x="0" y="0"/>
              </wp:wrapPolygon>
            </wp:wrapTight>
            <wp:docPr id="1148639084" name="Picture 3" descr="A diagram of a person's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639084" name="Picture 3" descr="A diagram of a person's body&#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65980" cy="3152775"/>
                    </a:xfrm>
                    <a:prstGeom prst="rect">
                      <a:avLst/>
                    </a:prstGeom>
                  </pic:spPr>
                </pic:pic>
              </a:graphicData>
            </a:graphic>
            <wp14:sizeRelH relativeFrom="margin">
              <wp14:pctWidth>0</wp14:pctWidth>
            </wp14:sizeRelH>
            <wp14:sizeRelV relativeFrom="margin">
              <wp14:pctHeight>0</wp14:pctHeight>
            </wp14:sizeRelV>
          </wp:anchor>
        </w:drawing>
      </w:r>
    </w:p>
    <w:p w14:paraId="526C658F" w14:textId="2A6F2E90" w:rsidR="001206AC" w:rsidRPr="00B9125F" w:rsidRDefault="001206AC" w:rsidP="000545D1">
      <w:pPr>
        <w:rPr>
          <w:rFonts w:ascii="Arial" w:hAnsi="Arial" w:cs="Arial"/>
        </w:rPr>
      </w:pPr>
    </w:p>
    <w:p w14:paraId="5B3F9847" w14:textId="3C6DB943" w:rsidR="00892AB5" w:rsidRPr="00B9125F" w:rsidRDefault="00892AB5" w:rsidP="00041CC3">
      <w:pPr>
        <w:pStyle w:val="pdq2pgselectionanchorcontainer"/>
        <w:rPr>
          <w:rFonts w:ascii="Arial" w:hAnsi="Arial" w:cs="Arial"/>
        </w:rPr>
      </w:pPr>
      <w:r w:rsidRPr="00B9125F">
        <w:rPr>
          <w:rStyle w:val="Strong"/>
          <w:rFonts w:ascii="Arial" w:hAnsi="Arial" w:cs="Arial"/>
          <w:b w:val="0"/>
          <w:bCs w:val="0"/>
          <w:i/>
          <w:iCs/>
        </w:rPr>
        <w:t>Figure 2: Structure of the human respiratory system displaying the main airways and lungs.</w:t>
      </w:r>
      <w:r w:rsidR="005E0E2E" w:rsidRPr="00B9125F">
        <w:rPr>
          <w:rFonts w:ascii="Arial" w:hAnsi="Arial" w:cs="Arial"/>
        </w:rPr>
        <w:t xml:space="preserve"> </w:t>
      </w:r>
      <w:r w:rsidRPr="00B9125F">
        <w:rPr>
          <w:rStyle w:val="Emphasis"/>
          <w:rFonts w:ascii="Arial" w:hAnsi="Arial" w:cs="Arial"/>
        </w:rPr>
        <w:t>Source: Betts et al. (2022).</w:t>
      </w:r>
    </w:p>
    <w:p w14:paraId="070F21C8" w14:textId="77777777" w:rsidR="00041CC3" w:rsidRPr="00B9125F" w:rsidRDefault="00041CC3" w:rsidP="00892AB5">
      <w:pPr>
        <w:pStyle w:val="NormalWeb"/>
        <w:rPr>
          <w:rFonts w:ascii="Arial" w:hAnsi="Arial" w:cs="Arial"/>
        </w:rPr>
      </w:pPr>
    </w:p>
    <w:p w14:paraId="31C1CD16" w14:textId="7F3A9FBD" w:rsidR="00892AB5" w:rsidRPr="00B9125F" w:rsidRDefault="00892AB5" w:rsidP="00892AB5">
      <w:pPr>
        <w:pStyle w:val="NormalWeb"/>
        <w:rPr>
          <w:rFonts w:ascii="Arial" w:hAnsi="Arial" w:cs="Arial"/>
        </w:rPr>
      </w:pPr>
      <w:r w:rsidRPr="00B9125F">
        <w:rPr>
          <w:rFonts w:ascii="Arial" w:hAnsi="Arial" w:cs="Arial"/>
        </w:rPr>
        <w:t>Figure 2 illustrates the anatomical pathway followed by air from the nasal cavity to the alveoli.</w:t>
      </w:r>
    </w:p>
    <w:p w14:paraId="6795965E" w14:textId="77777777" w:rsidR="000545D1" w:rsidRPr="00B9125F" w:rsidRDefault="000545D1" w:rsidP="000545D1">
      <w:pPr>
        <w:rPr>
          <w:rFonts w:ascii="Arial" w:hAnsi="Arial" w:cs="Arial"/>
          <w:b/>
          <w:bCs/>
        </w:rPr>
      </w:pPr>
      <w:r w:rsidRPr="00B9125F">
        <w:rPr>
          <w:rFonts w:ascii="Arial" w:hAnsi="Arial" w:cs="Arial"/>
          <w:b/>
          <w:bCs/>
        </w:rPr>
        <w:t>2b: Mechanical respiration (Breathing In)</w:t>
      </w:r>
    </w:p>
    <w:p w14:paraId="220AF00F" w14:textId="743A393F" w:rsidR="000545D1" w:rsidRPr="00B9125F" w:rsidRDefault="00892AB5" w:rsidP="000545D1">
      <w:pPr>
        <w:rPr>
          <w:rFonts w:ascii="Arial" w:hAnsi="Arial" w:cs="Arial"/>
          <w:b/>
          <w:bCs/>
        </w:rPr>
      </w:pPr>
      <w:r w:rsidRPr="00B9125F">
        <w:rPr>
          <w:rFonts w:ascii="Arial" w:hAnsi="Arial" w:cs="Arial"/>
        </w:rPr>
        <w:t>During inhalation, the diaphragm contracts and flattens, moving downward, while the external intercostal muscles contract and lift the ribcage upward and outward.</w:t>
      </w:r>
      <w:r w:rsidR="00197013" w:rsidRPr="00B9125F">
        <w:rPr>
          <w:rFonts w:ascii="Arial" w:hAnsi="Arial" w:cs="Arial"/>
        </w:rPr>
        <w:t xml:space="preserve"> Intercostal muscles are groups of muscles situated in the area between the ribs.</w:t>
      </w:r>
      <w:r w:rsidRPr="00B9125F">
        <w:rPr>
          <w:rFonts w:ascii="Arial" w:hAnsi="Arial" w:cs="Arial"/>
        </w:rPr>
        <w:t xml:space="preserve"> These coordinated actions increase the volume of the thoracic cavity, causing intrapulmonary pressure to fall below atmospheric pressure. Air then moves down the pressure gradient and into the lungs (Waugh and Grant, 2022).</w:t>
      </w:r>
    </w:p>
    <w:p w14:paraId="18A82BC5" w14:textId="77777777" w:rsidR="000545D1" w:rsidRPr="00B9125F" w:rsidRDefault="000545D1" w:rsidP="000545D1">
      <w:pPr>
        <w:rPr>
          <w:rFonts w:ascii="Arial" w:hAnsi="Arial" w:cs="Arial"/>
          <w:b/>
          <w:bCs/>
        </w:rPr>
      </w:pPr>
      <w:r w:rsidRPr="00B9125F">
        <w:rPr>
          <w:rFonts w:ascii="Arial" w:hAnsi="Arial" w:cs="Arial"/>
          <w:b/>
          <w:bCs/>
        </w:rPr>
        <w:t>2c: Exhalation (Breathing Out)</w:t>
      </w:r>
    </w:p>
    <w:p w14:paraId="317FF0D3" w14:textId="52DD8F18" w:rsidR="00197013" w:rsidRPr="00B9125F" w:rsidRDefault="00892AB5" w:rsidP="00892AB5">
      <w:pPr>
        <w:pStyle w:val="pdq2pgselectionanchorcontainer"/>
        <w:rPr>
          <w:rFonts w:ascii="Arial" w:hAnsi="Arial" w:cs="Arial"/>
        </w:rPr>
      </w:pPr>
      <w:r w:rsidRPr="00B9125F">
        <w:rPr>
          <w:rFonts w:ascii="Arial" w:hAnsi="Arial" w:cs="Arial"/>
        </w:rPr>
        <w:t xml:space="preserve">Normal exhalation occurs when the diaphragm and external intercostal muscles relax. The diaphragm returns to its dome-shaped position, while the ribcage moves downward and inward. Elastic recoil of the lungs and chest wall reduces the volume of the thoracic cavity, causing intrapulmonary pressure to rise above atmospheric pressure and air to flow out of the lungs. </w:t>
      </w:r>
      <w:r w:rsidR="00197013" w:rsidRPr="00B9125F">
        <w:rPr>
          <w:rFonts w:ascii="Arial" w:hAnsi="Arial" w:cs="Arial"/>
        </w:rPr>
        <w:t>Intrapulmonary pressure (also called alveolar pressure) is the pressure of the air inside the alveoli (air sacs) of the lungs. It changes during the breathing cycle, rising and falling to help move air in and out of the body.</w:t>
      </w:r>
    </w:p>
    <w:p w14:paraId="17FF1FB8" w14:textId="46974639" w:rsidR="00892AB5" w:rsidRPr="00B9125F" w:rsidRDefault="00892AB5" w:rsidP="00892AB5">
      <w:pPr>
        <w:pStyle w:val="pdq2pgselectionanchorcontainer"/>
        <w:rPr>
          <w:rFonts w:ascii="Arial" w:hAnsi="Arial" w:cs="Arial"/>
        </w:rPr>
      </w:pPr>
      <w:r w:rsidRPr="00B9125F">
        <w:rPr>
          <w:rFonts w:ascii="Arial" w:hAnsi="Arial" w:cs="Arial"/>
        </w:rPr>
        <w:t>As no active muscle contraction is normally required, quiet exhalation is considered a passive process (Tortora and Derrickson, 2021).</w:t>
      </w:r>
    </w:p>
    <w:p w14:paraId="31708D84" w14:textId="77777777" w:rsidR="00892AB5" w:rsidRPr="00B9125F" w:rsidRDefault="00892AB5" w:rsidP="00892AB5">
      <w:pPr>
        <w:pStyle w:val="NormalWeb"/>
        <w:rPr>
          <w:rFonts w:ascii="Arial" w:hAnsi="Arial" w:cs="Arial"/>
        </w:rPr>
      </w:pPr>
      <w:r w:rsidRPr="00B9125F">
        <w:rPr>
          <w:rFonts w:ascii="Arial" w:hAnsi="Arial" w:cs="Arial"/>
        </w:rPr>
        <w:t>During forced exhalation, such as during vigorous exercise or an asthma exacerbation, the internal intercostal and abdominal muscles contract. This further reduces thoracic volume, increases pressure and forces air out more rapidly (Waugh and Grant, 2022).</w:t>
      </w:r>
    </w:p>
    <w:p w14:paraId="45F1D938" w14:textId="77777777" w:rsidR="00892AB5" w:rsidRPr="00B9125F" w:rsidRDefault="00892AB5" w:rsidP="00892AB5">
      <w:pPr>
        <w:pStyle w:val="NormalWeb"/>
        <w:rPr>
          <w:rFonts w:ascii="Arial" w:hAnsi="Arial" w:cs="Arial"/>
        </w:rPr>
      </w:pPr>
      <w:r w:rsidRPr="00B9125F">
        <w:rPr>
          <w:rFonts w:ascii="Arial" w:hAnsi="Arial" w:cs="Arial"/>
        </w:rPr>
        <w:lastRenderedPageBreak/>
        <w:t>In asthma, inflammation, bronchoconstriction and excess mucus narrow the bronchioles and increase resistance to airflow. This makes exhalation more difficult and can trap air within the lungs, contributing to wheezing, breathlessness and chest tightness.</w:t>
      </w:r>
    </w:p>
    <w:p w14:paraId="6D50939E" w14:textId="77777777" w:rsidR="000545D1" w:rsidRPr="00B9125F" w:rsidRDefault="000545D1" w:rsidP="00041CC3">
      <w:pPr>
        <w:pStyle w:val="Heading1"/>
        <w:rPr>
          <w:rFonts w:ascii="Arial" w:hAnsi="Arial" w:cs="Arial"/>
          <w:sz w:val="24"/>
          <w:szCs w:val="24"/>
        </w:rPr>
      </w:pPr>
      <w:bookmarkStart w:id="2" w:name="_Toc235887959"/>
      <w:r w:rsidRPr="00B9125F">
        <w:rPr>
          <w:rFonts w:ascii="Arial" w:hAnsi="Arial" w:cs="Arial"/>
          <w:sz w:val="24"/>
          <w:szCs w:val="24"/>
        </w:rPr>
        <w:t>3. Gas Exchange in the Lungs</w:t>
      </w:r>
      <w:bookmarkEnd w:id="2"/>
    </w:p>
    <w:p w14:paraId="473BF9C7" w14:textId="77777777" w:rsidR="000545D1" w:rsidRPr="00B9125F" w:rsidRDefault="000545D1" w:rsidP="000545D1">
      <w:pPr>
        <w:rPr>
          <w:rFonts w:ascii="Arial" w:hAnsi="Arial" w:cs="Arial"/>
          <w:b/>
          <w:bCs/>
        </w:rPr>
      </w:pPr>
      <w:r w:rsidRPr="00B9125F">
        <w:rPr>
          <w:rFonts w:ascii="Arial" w:hAnsi="Arial" w:cs="Arial"/>
          <w:b/>
          <w:bCs/>
        </w:rPr>
        <w:t>3a: What is gas exchange and where does it occur?</w:t>
      </w:r>
    </w:p>
    <w:p w14:paraId="6A915BAB" w14:textId="77777777" w:rsidR="00C474E7" w:rsidRPr="00B9125F" w:rsidRDefault="00C474E7" w:rsidP="00C474E7">
      <w:pPr>
        <w:pStyle w:val="pdq2pgselectionanchorcontainer"/>
        <w:rPr>
          <w:rFonts w:ascii="Arial" w:hAnsi="Arial" w:cs="Arial"/>
        </w:rPr>
      </w:pPr>
      <w:r w:rsidRPr="00B9125F">
        <w:rPr>
          <w:rFonts w:ascii="Arial" w:hAnsi="Arial" w:cs="Arial"/>
        </w:rPr>
        <w:t>Gas exchange is the process by which oxygen moves from the air in the lungs into the bloodstream, while carbon dioxide moves from the blood into the lungs to be exhaled. It occurs in the alveoli, which are microscopic air sacs located at the ends of the bronchioles. The alveoli are well adapted for gas exchange because they have thin, moist walls, a large surface area and an extensive capillary network that provides a good blood supply (Waugh and Grant, 2022).</w:t>
      </w:r>
    </w:p>
    <w:p w14:paraId="49A736CD" w14:textId="77777777" w:rsidR="000545D1" w:rsidRPr="00B9125F" w:rsidRDefault="000545D1" w:rsidP="000545D1">
      <w:pPr>
        <w:rPr>
          <w:rFonts w:ascii="Arial" w:hAnsi="Arial" w:cs="Arial"/>
          <w:b/>
          <w:bCs/>
        </w:rPr>
      </w:pPr>
      <w:r w:rsidRPr="00B9125F">
        <w:rPr>
          <w:rFonts w:ascii="Arial" w:hAnsi="Arial" w:cs="Arial"/>
          <w:b/>
          <w:bCs/>
        </w:rPr>
        <w:t>3b: How does oxygen move into the bloodstream?</w:t>
      </w:r>
    </w:p>
    <w:p w14:paraId="034A3888" w14:textId="60EBB22B" w:rsidR="00D50B23" w:rsidRPr="00B9125F" w:rsidRDefault="00C474E7" w:rsidP="000545D1">
      <w:pPr>
        <w:rPr>
          <w:rFonts w:ascii="Arial" w:hAnsi="Arial" w:cs="Arial"/>
          <w:color w:val="E97132" w:themeColor="accent2"/>
        </w:rPr>
      </w:pPr>
      <w:r w:rsidRPr="00B9125F">
        <w:rPr>
          <w:rFonts w:ascii="Arial" w:hAnsi="Arial" w:cs="Arial"/>
        </w:rPr>
        <w:t>Oxygen enters the bloodstream by diffusion. Following inhalation, the concentration of oxygen in the alveoli is higher than in the deoxygenated blood flowing through the surrounding capillaries. Oxygen therefore diffuses across the thin alveolar-capillary membrane into the blood, where it binds to haemoglobin in red blood cells to form oxyhaemoglobin. The oxygenated blood is then transported around the body, supplying cells with the oxygen required for cellular respiration (Marieb and Hoehn, 2023).</w:t>
      </w:r>
    </w:p>
    <w:p w14:paraId="51676670" w14:textId="69C2CB19" w:rsidR="00D50B23" w:rsidRPr="00B9125F" w:rsidRDefault="00041CC3" w:rsidP="000545D1">
      <w:pPr>
        <w:rPr>
          <w:rFonts w:ascii="Arial" w:hAnsi="Arial" w:cs="Arial"/>
          <w:color w:val="E97132" w:themeColor="accent2"/>
        </w:rPr>
      </w:pPr>
      <w:r w:rsidRPr="00B9125F">
        <w:rPr>
          <w:rFonts w:ascii="Arial" w:hAnsi="Arial" w:cs="Arial"/>
          <w:noProof/>
        </w:rPr>
        <w:drawing>
          <wp:anchor distT="0" distB="0" distL="114300" distR="114300" simplePos="0" relativeHeight="251661312" behindDoc="1" locked="0" layoutInCell="1" allowOverlap="1" wp14:anchorId="08A7B970" wp14:editId="0A4DB08C">
            <wp:simplePos x="0" y="0"/>
            <wp:positionH relativeFrom="page">
              <wp:posOffset>762000</wp:posOffset>
            </wp:positionH>
            <wp:positionV relativeFrom="paragraph">
              <wp:posOffset>199390</wp:posOffset>
            </wp:positionV>
            <wp:extent cx="4819650" cy="3373120"/>
            <wp:effectExtent l="0" t="0" r="0" b="0"/>
            <wp:wrapTight wrapText="bothSides">
              <wp:wrapPolygon edited="0">
                <wp:start x="0" y="0"/>
                <wp:lineTo x="0" y="21470"/>
                <wp:lineTo x="21515" y="21470"/>
                <wp:lineTo x="21515" y="0"/>
                <wp:lineTo x="0" y="0"/>
              </wp:wrapPolygon>
            </wp:wrapTight>
            <wp:docPr id="1095103730" name="Picture 2" descr="Diffusing Capacity Tests - Clinical GateClinical G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ffusing Capacity Tests - Clinical GateClinical Gat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19650" cy="33731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D1B6E7" w14:textId="2EDCDEE1" w:rsidR="00D50B23" w:rsidRPr="00B9125F" w:rsidRDefault="00D50B23" w:rsidP="000545D1">
      <w:pPr>
        <w:rPr>
          <w:rFonts w:ascii="Arial" w:hAnsi="Arial" w:cs="Arial"/>
          <w:color w:val="E97132" w:themeColor="accent2"/>
        </w:rPr>
      </w:pPr>
    </w:p>
    <w:p w14:paraId="4BF588BE" w14:textId="3750BDAB" w:rsidR="000545D1" w:rsidRPr="00B9125F" w:rsidRDefault="000545D1" w:rsidP="005E0E2E">
      <w:pPr>
        <w:rPr>
          <w:rFonts w:ascii="Arial" w:hAnsi="Arial" w:cs="Arial"/>
          <w:i/>
          <w:iCs/>
        </w:rPr>
      </w:pPr>
      <w:r w:rsidRPr="00B9125F">
        <w:rPr>
          <w:rFonts w:ascii="Arial" w:hAnsi="Arial" w:cs="Arial"/>
          <w:i/>
          <w:iCs/>
        </w:rPr>
        <w:t xml:space="preserve">Figure 3: Gas exchange at the alveolar-capillary membrane. Source: Betts et al. </w:t>
      </w:r>
      <w:r w:rsidR="005E0E2E" w:rsidRPr="00B9125F">
        <w:rPr>
          <w:rFonts w:ascii="Arial" w:hAnsi="Arial" w:cs="Arial"/>
          <w:i/>
          <w:iCs/>
        </w:rPr>
        <w:t>(2022</w:t>
      </w:r>
      <w:r w:rsidRPr="00B9125F">
        <w:rPr>
          <w:rFonts w:ascii="Arial" w:hAnsi="Arial" w:cs="Arial"/>
          <w:i/>
          <w:iCs/>
        </w:rPr>
        <w:t>).</w:t>
      </w:r>
    </w:p>
    <w:p w14:paraId="258BAD87" w14:textId="77777777" w:rsidR="00D50B23" w:rsidRPr="00B9125F" w:rsidRDefault="00D50B23" w:rsidP="000545D1">
      <w:pPr>
        <w:rPr>
          <w:rFonts w:ascii="Arial" w:hAnsi="Arial" w:cs="Arial"/>
        </w:rPr>
      </w:pPr>
    </w:p>
    <w:p w14:paraId="43A228E7" w14:textId="77777777" w:rsidR="005E0E2E" w:rsidRPr="00B9125F" w:rsidRDefault="005E0E2E" w:rsidP="000545D1">
      <w:pPr>
        <w:rPr>
          <w:rFonts w:ascii="Arial" w:hAnsi="Arial" w:cs="Arial"/>
        </w:rPr>
      </w:pPr>
    </w:p>
    <w:p w14:paraId="3AF00CD9" w14:textId="77777777" w:rsidR="00041CC3" w:rsidRPr="00B9125F" w:rsidRDefault="00041CC3" w:rsidP="000545D1">
      <w:pPr>
        <w:rPr>
          <w:rFonts w:ascii="Arial" w:hAnsi="Arial" w:cs="Arial"/>
        </w:rPr>
      </w:pPr>
    </w:p>
    <w:p w14:paraId="60AF7932" w14:textId="77777777" w:rsidR="00041CC3" w:rsidRPr="00B9125F" w:rsidRDefault="00041CC3" w:rsidP="000545D1">
      <w:pPr>
        <w:rPr>
          <w:rFonts w:ascii="Arial" w:hAnsi="Arial" w:cs="Arial"/>
        </w:rPr>
      </w:pPr>
    </w:p>
    <w:p w14:paraId="357C06E7" w14:textId="77777777" w:rsidR="00041CC3" w:rsidRPr="00B9125F" w:rsidRDefault="00041CC3" w:rsidP="000545D1">
      <w:pPr>
        <w:rPr>
          <w:rFonts w:ascii="Arial" w:hAnsi="Arial" w:cs="Arial"/>
        </w:rPr>
      </w:pPr>
    </w:p>
    <w:p w14:paraId="7A8CD8F9" w14:textId="72219F9C" w:rsidR="000545D1" w:rsidRPr="00B9125F" w:rsidRDefault="000545D1" w:rsidP="000545D1">
      <w:pPr>
        <w:rPr>
          <w:rFonts w:ascii="Arial" w:hAnsi="Arial" w:cs="Arial"/>
        </w:rPr>
      </w:pPr>
      <w:r w:rsidRPr="00B9125F">
        <w:rPr>
          <w:rFonts w:ascii="Arial" w:hAnsi="Arial" w:cs="Arial"/>
        </w:rPr>
        <w:t>Figure 3 illustrates how oxygen diffusing from the alveoli into the surrounding capillaries, while carbon dioxide diffuses from the blood into the alveoli before being removed during exhalation.</w:t>
      </w:r>
    </w:p>
    <w:p w14:paraId="50FBC5E6" w14:textId="77777777" w:rsidR="000545D1" w:rsidRPr="00B9125F" w:rsidRDefault="000545D1" w:rsidP="000545D1">
      <w:pPr>
        <w:rPr>
          <w:rFonts w:ascii="Arial" w:hAnsi="Arial" w:cs="Arial"/>
          <w:b/>
          <w:bCs/>
        </w:rPr>
      </w:pPr>
      <w:r w:rsidRPr="00B9125F">
        <w:rPr>
          <w:rFonts w:ascii="Arial" w:hAnsi="Arial" w:cs="Arial"/>
          <w:b/>
          <w:bCs/>
        </w:rPr>
        <w:lastRenderedPageBreak/>
        <w:t>3c: How does carbon dioxide move into the alveoli?</w:t>
      </w:r>
    </w:p>
    <w:p w14:paraId="0DD7FDF8" w14:textId="77777777" w:rsidR="00C474E7" w:rsidRPr="00B9125F" w:rsidRDefault="00C474E7" w:rsidP="00C474E7">
      <w:pPr>
        <w:pStyle w:val="pdq2pgselectionanchorcontainer"/>
        <w:rPr>
          <w:rFonts w:ascii="Arial" w:hAnsi="Arial" w:cs="Arial"/>
        </w:rPr>
      </w:pPr>
      <w:r w:rsidRPr="00B9125F">
        <w:rPr>
          <w:rFonts w:ascii="Arial" w:hAnsi="Arial" w:cs="Arial"/>
        </w:rPr>
        <w:t>Carbon dioxide is produced by cells as a waste product of cellular respiration and is transported in the blood to the lungs. Its concentration is higher in the blood flowing through the pulmonary capillaries than in the alveolar air. Carbon dioxide therefore diffuses across the alveolar-capillary membrane into the alveoli before being removed during exhalation (Waugh and Grant, 2022).</w:t>
      </w:r>
    </w:p>
    <w:p w14:paraId="3236D1F3" w14:textId="77777777" w:rsidR="00C474E7" w:rsidRPr="00B9125F" w:rsidRDefault="00C474E7" w:rsidP="00C474E7">
      <w:pPr>
        <w:pStyle w:val="NormalWeb"/>
        <w:rPr>
          <w:rFonts w:ascii="Arial" w:hAnsi="Arial" w:cs="Arial"/>
        </w:rPr>
      </w:pPr>
      <w:r w:rsidRPr="00B9125F">
        <w:rPr>
          <w:rFonts w:ascii="Arial" w:hAnsi="Arial" w:cs="Arial"/>
        </w:rPr>
        <w:t>In asthma, inflammation, bronchoconstriction and excess mucus narrow the airways and reduce airflow to and from the alveoli. This can make ventilation less efficient and disrupt gas exchange. During a severe exacerbation, reduced alveolar ventilation may lower oxygen levels in the blood and impair the removal of carbon dioxide, contributing to severe breathlessness and respiratory distress.</w:t>
      </w:r>
    </w:p>
    <w:p w14:paraId="364B4F98" w14:textId="77777777" w:rsidR="000545D1" w:rsidRPr="00B9125F" w:rsidRDefault="000545D1" w:rsidP="00041CC3">
      <w:pPr>
        <w:pStyle w:val="Heading1"/>
        <w:rPr>
          <w:rFonts w:ascii="Arial" w:hAnsi="Arial" w:cs="Arial"/>
          <w:sz w:val="24"/>
          <w:szCs w:val="24"/>
        </w:rPr>
      </w:pPr>
      <w:bookmarkStart w:id="3" w:name="_Toc235887960"/>
      <w:r w:rsidRPr="00B9125F">
        <w:rPr>
          <w:rFonts w:ascii="Arial" w:hAnsi="Arial" w:cs="Arial"/>
          <w:sz w:val="24"/>
          <w:szCs w:val="24"/>
        </w:rPr>
        <w:t>4. How Irritants Cause Inflammation and Affect Breathing</w:t>
      </w:r>
      <w:bookmarkEnd w:id="3"/>
    </w:p>
    <w:p w14:paraId="02393C62" w14:textId="77777777" w:rsidR="000545D1" w:rsidRPr="00B9125F" w:rsidRDefault="000545D1" w:rsidP="000545D1">
      <w:pPr>
        <w:rPr>
          <w:rFonts w:ascii="Arial" w:hAnsi="Arial" w:cs="Arial"/>
          <w:b/>
          <w:bCs/>
        </w:rPr>
      </w:pPr>
      <w:r w:rsidRPr="00B9125F">
        <w:rPr>
          <w:rFonts w:ascii="Arial" w:hAnsi="Arial" w:cs="Arial"/>
          <w:b/>
          <w:bCs/>
        </w:rPr>
        <w:t>4a: How do cigarette smoke and vaping trigger inflammation in the airways?</w:t>
      </w:r>
    </w:p>
    <w:p w14:paraId="006BFA67" w14:textId="77777777" w:rsidR="00C474E7" w:rsidRPr="00B9125F" w:rsidRDefault="00C474E7" w:rsidP="000545D1">
      <w:pPr>
        <w:rPr>
          <w:rFonts w:ascii="Arial" w:hAnsi="Arial" w:cs="Arial"/>
        </w:rPr>
      </w:pPr>
      <w:r w:rsidRPr="00B9125F">
        <w:rPr>
          <w:rFonts w:ascii="Arial" w:hAnsi="Arial" w:cs="Arial"/>
        </w:rPr>
        <w:t>When cigarette smoke or vaping aerosols are inhaled, their chemical components irritate the airway lining and activate immune cells, including mast cells. These cells release inflammatory mediators such as histamine and cytokines, which increase vascular permeability and cause fluid to enter the airway tissues, producing inflammation and swelling. At the same time, the smooth muscles surrounding the bronchi contract, causing bronchoconstriction, while mucus production increases (Tortora and Derrickson, 2021). Together, airway swelling, muscle tightening and excess mucus narrow the airway lumen, increase resistance to airflow and make breathing more difficult (Waugh and Grant, 2022).</w:t>
      </w:r>
    </w:p>
    <w:p w14:paraId="353F962F" w14:textId="77777777" w:rsidR="00C474E7" w:rsidRPr="00B9125F" w:rsidRDefault="00C474E7" w:rsidP="000545D1">
      <w:pPr>
        <w:rPr>
          <w:rFonts w:ascii="Arial" w:hAnsi="Arial" w:cs="Arial"/>
        </w:rPr>
      </w:pPr>
    </w:p>
    <w:p w14:paraId="579230E3" w14:textId="4971FE8F" w:rsidR="000545D1" w:rsidRPr="00B9125F" w:rsidRDefault="000545D1" w:rsidP="000545D1">
      <w:pPr>
        <w:rPr>
          <w:rFonts w:ascii="Arial" w:hAnsi="Arial" w:cs="Arial"/>
          <w:b/>
          <w:bCs/>
        </w:rPr>
      </w:pPr>
      <w:r w:rsidRPr="00B9125F">
        <w:rPr>
          <w:rFonts w:ascii="Arial" w:hAnsi="Arial" w:cs="Arial"/>
          <w:b/>
          <w:bCs/>
        </w:rPr>
        <w:t>4b: What is the impact of smoking and vaping on asthma?</w:t>
      </w:r>
    </w:p>
    <w:p w14:paraId="4AB04D78" w14:textId="77777777" w:rsidR="00C474E7" w:rsidRPr="00B9125F" w:rsidRDefault="00C474E7" w:rsidP="00C474E7">
      <w:pPr>
        <w:pStyle w:val="pdq2pgselectionanchorcontainer"/>
        <w:rPr>
          <w:rFonts w:ascii="Arial" w:hAnsi="Arial" w:cs="Arial"/>
        </w:rPr>
      </w:pPr>
      <w:r w:rsidRPr="00B9125F">
        <w:rPr>
          <w:rFonts w:ascii="Arial" w:hAnsi="Arial" w:cs="Arial"/>
        </w:rPr>
        <w:t>Cigarette smoke and vaping aerosols contain substances that irritate the airway lining and worsen existing inflammation. Cigarette smoke can damage cilia, while vaping aerosols may impair their function. Cilia normally move mucus and trapped particles towards the throat so that they can be removed from the respiratory tract. When this clearance mechanism is impaired, mucus, pollutants and microorganisms can accumulate within the airways (Marieb and Hoehn, 2023).</w:t>
      </w:r>
    </w:p>
    <w:p w14:paraId="6898DA0B" w14:textId="77777777" w:rsidR="00C474E7" w:rsidRPr="00B9125F" w:rsidRDefault="00C474E7" w:rsidP="00C474E7">
      <w:pPr>
        <w:pStyle w:val="NormalWeb"/>
        <w:rPr>
          <w:rFonts w:ascii="Arial" w:hAnsi="Arial" w:cs="Arial"/>
        </w:rPr>
      </w:pPr>
      <w:r w:rsidRPr="00B9125F">
        <w:rPr>
          <w:rFonts w:ascii="Arial" w:hAnsi="Arial" w:cs="Arial"/>
        </w:rPr>
        <w:t>Smoking and vaping may also increase the production of thick mucus and expose the airways to further chemical irritation, increasing airflow obstruction and making asthma more difficult to control. In the case study, adolescents who begin smoking or vaping may therefore experience worsening symptoms and more frequent or severe asthma exacerbations.</w:t>
      </w:r>
    </w:p>
    <w:p w14:paraId="00193A12" w14:textId="77777777" w:rsidR="000545D1" w:rsidRPr="00B9125F" w:rsidRDefault="000545D1" w:rsidP="000545D1">
      <w:pPr>
        <w:rPr>
          <w:rFonts w:ascii="Arial" w:hAnsi="Arial" w:cs="Arial"/>
          <w:b/>
          <w:bCs/>
        </w:rPr>
      </w:pPr>
      <w:r w:rsidRPr="00B9125F">
        <w:rPr>
          <w:rFonts w:ascii="Arial" w:hAnsi="Arial" w:cs="Arial"/>
          <w:b/>
          <w:bCs/>
        </w:rPr>
        <w:t>4c: How do respiratory infections worsen asthma?</w:t>
      </w:r>
    </w:p>
    <w:p w14:paraId="05F3636A" w14:textId="0C7A6C04" w:rsidR="00C474E7" w:rsidRPr="00B9125F" w:rsidRDefault="00C474E7" w:rsidP="00C474E7">
      <w:pPr>
        <w:pStyle w:val="pdq2pgselectionanchorcontainer"/>
        <w:rPr>
          <w:rFonts w:ascii="Arial" w:hAnsi="Arial" w:cs="Arial"/>
        </w:rPr>
      </w:pPr>
      <w:r w:rsidRPr="00B9125F">
        <w:rPr>
          <w:rFonts w:ascii="Arial" w:hAnsi="Arial" w:cs="Arial"/>
        </w:rPr>
        <w:t xml:space="preserve">Respiratory infections, including the common cold and influenza, are recognised triggers of asthma exacerbations. These infections can disrupt the airway epithelium </w:t>
      </w:r>
      <w:r w:rsidRPr="00B9125F">
        <w:rPr>
          <w:rFonts w:ascii="Arial" w:hAnsi="Arial" w:cs="Arial"/>
        </w:rPr>
        <w:lastRenderedPageBreak/>
        <w:t xml:space="preserve">and increase inflammatory signalling, causing further swelling, mucus production and bronchial hyperresponsiveness. Because individuals with asthma already have inflamed and highly reactive airways, even a relatively mild infection may produce substantial airway narrowing and trigger a severe exacerbation </w:t>
      </w:r>
      <w:r w:rsidR="002A5D8D" w:rsidRPr="00B9125F">
        <w:rPr>
          <w:rFonts w:ascii="Arial" w:hAnsi="Arial" w:cs="Arial"/>
        </w:rPr>
        <w:t>(Busse, Lemanske and Gern, 2010; Kim, 2022).</w:t>
      </w:r>
    </w:p>
    <w:p w14:paraId="65399021" w14:textId="77777777" w:rsidR="00C474E7" w:rsidRPr="00B9125F" w:rsidRDefault="00C474E7" w:rsidP="00C474E7">
      <w:pPr>
        <w:pStyle w:val="NormalWeb"/>
        <w:rPr>
          <w:rFonts w:ascii="Arial" w:hAnsi="Arial" w:cs="Arial"/>
        </w:rPr>
      </w:pPr>
      <w:r w:rsidRPr="00B9125F">
        <w:rPr>
          <w:rFonts w:ascii="Arial" w:hAnsi="Arial" w:cs="Arial"/>
        </w:rPr>
        <w:t>In the case study, adolescents who regularly attend crowded settings such as bars and clubs may have greater exposure to respiratory infections. This may contribute to more frequent exacerbations and an increased need for GP assessment or hospital treatment.</w:t>
      </w:r>
    </w:p>
    <w:p w14:paraId="76874B99" w14:textId="77777777" w:rsidR="000545D1" w:rsidRPr="00B9125F" w:rsidRDefault="000545D1" w:rsidP="00041CC3">
      <w:pPr>
        <w:pStyle w:val="Heading1"/>
        <w:rPr>
          <w:rFonts w:ascii="Arial" w:hAnsi="Arial" w:cs="Arial"/>
          <w:sz w:val="24"/>
          <w:szCs w:val="24"/>
        </w:rPr>
      </w:pPr>
      <w:bookmarkStart w:id="4" w:name="_Toc235887961"/>
      <w:r w:rsidRPr="00B9125F">
        <w:rPr>
          <w:rFonts w:ascii="Arial" w:hAnsi="Arial" w:cs="Arial"/>
          <w:sz w:val="24"/>
          <w:szCs w:val="24"/>
        </w:rPr>
        <w:t>5. Recording and Tracking Respiratory Function</w:t>
      </w:r>
      <w:bookmarkEnd w:id="4"/>
    </w:p>
    <w:p w14:paraId="3F6C13E9" w14:textId="77777777" w:rsidR="000545D1" w:rsidRPr="00B9125F" w:rsidRDefault="000545D1" w:rsidP="000545D1">
      <w:pPr>
        <w:rPr>
          <w:rFonts w:ascii="Arial" w:hAnsi="Arial" w:cs="Arial"/>
          <w:b/>
          <w:bCs/>
        </w:rPr>
      </w:pPr>
      <w:r w:rsidRPr="00B9125F">
        <w:rPr>
          <w:rFonts w:ascii="Arial" w:hAnsi="Arial" w:cs="Arial"/>
          <w:b/>
          <w:bCs/>
        </w:rPr>
        <w:t>5a: Recording peak expiratory flow rate (PEFR)</w:t>
      </w:r>
    </w:p>
    <w:p w14:paraId="6E6A9D67" w14:textId="77777777" w:rsidR="00C474E7" w:rsidRPr="00B9125F" w:rsidRDefault="00C474E7" w:rsidP="00C474E7">
      <w:pPr>
        <w:pStyle w:val="pdq2pgselectionanchorcontainer"/>
        <w:rPr>
          <w:rFonts w:ascii="Arial" w:hAnsi="Arial" w:cs="Arial"/>
        </w:rPr>
      </w:pPr>
      <w:r w:rsidRPr="00B9125F">
        <w:rPr>
          <w:rFonts w:ascii="Arial" w:hAnsi="Arial" w:cs="Arial"/>
        </w:rPr>
        <w:t>Peak expiratory flow rate (PEFR) is the maximum speed at which a person can forcibly exhale after taking a full breath and is measured in litres per minute. It is assessed using a small portable peak flow meter and can indicate changes in airway narrowing (NICE, 2023). To obtain a reading, the individual should sit or stand upright, inhale fully, seal their lips around the mouthpiece and exhale as hard and quickly as possible. The procedure is repeated three times, and the highest reading is recorded.</w:t>
      </w:r>
    </w:p>
    <w:p w14:paraId="0B2561D8" w14:textId="77777777" w:rsidR="00C474E7" w:rsidRPr="00B9125F" w:rsidRDefault="00C474E7" w:rsidP="00C474E7">
      <w:pPr>
        <w:pStyle w:val="NormalWeb"/>
        <w:rPr>
          <w:rFonts w:ascii="Arial" w:hAnsi="Arial" w:cs="Arial"/>
        </w:rPr>
      </w:pPr>
      <w:r w:rsidRPr="00B9125F">
        <w:rPr>
          <w:rFonts w:ascii="Arial" w:hAnsi="Arial" w:cs="Arial"/>
        </w:rPr>
        <w:t>Regular measurements are more useful than a single reading because they allow results to be compared over time and against the individual’s personal best. A downward trend may provide an early warning of worsening asthma before severe symptoms develop, allowing the adolescent to follow the appropriate steps in their asthma action plan.</w:t>
      </w:r>
    </w:p>
    <w:p w14:paraId="13408A1A" w14:textId="77777777" w:rsidR="000545D1" w:rsidRPr="00B9125F" w:rsidRDefault="000545D1" w:rsidP="000545D1">
      <w:pPr>
        <w:rPr>
          <w:rFonts w:ascii="Arial" w:hAnsi="Arial" w:cs="Arial"/>
          <w:b/>
          <w:bCs/>
        </w:rPr>
      </w:pPr>
      <w:r w:rsidRPr="00B9125F">
        <w:rPr>
          <w:rFonts w:ascii="Arial" w:hAnsi="Arial" w:cs="Arial"/>
          <w:b/>
          <w:bCs/>
        </w:rPr>
        <w:t>5b: Importance of monitoring respiratory function</w:t>
      </w:r>
    </w:p>
    <w:p w14:paraId="2755233B" w14:textId="77777777" w:rsidR="00C474E7" w:rsidRPr="00B9125F" w:rsidRDefault="00C474E7" w:rsidP="00C474E7">
      <w:pPr>
        <w:pStyle w:val="pdq2pgselectionanchorcontainer"/>
        <w:rPr>
          <w:rFonts w:ascii="Arial" w:hAnsi="Arial" w:cs="Arial"/>
        </w:rPr>
      </w:pPr>
      <w:r w:rsidRPr="00B9125F">
        <w:rPr>
          <w:rFonts w:ascii="Arial" w:hAnsi="Arial" w:cs="Arial"/>
        </w:rPr>
        <w:t>Recording PEFR alongside symptoms, medication use and exposure to possible triggers enables adolescents and their healthcare team to identify changes over time. Regular monitoring can establish the individual’s personal-best reading and reveal a gradual decline in respiratory function before severe symptoms appear. Patterns may also connect reduced readings with exercise, respiratory infections, tobacco smoke, vaping, cold weather or environmental allergens.</w:t>
      </w:r>
    </w:p>
    <w:p w14:paraId="32532EE1" w14:textId="41F156DD" w:rsidR="000545D1" w:rsidRPr="00B9125F" w:rsidRDefault="00C474E7" w:rsidP="00B9125F">
      <w:pPr>
        <w:pStyle w:val="NormalWeb"/>
        <w:rPr>
          <w:rFonts w:ascii="Arial" w:hAnsi="Arial" w:cs="Arial"/>
        </w:rPr>
      </w:pPr>
      <w:r w:rsidRPr="00B9125F">
        <w:rPr>
          <w:rFonts w:ascii="Arial" w:hAnsi="Arial" w:cs="Arial"/>
        </w:rPr>
        <w:t xml:space="preserve">These records provide objective evidence that can support clinical decisions, including reviewing inhaler technique, adherence and the effectiveness of prescribed treatment. Many personalised asthma action plans use green, amber and red zones to indicate good control, deterioration or the need for urgent medical assistance. Any medication changes should be made according to the written action plan or professional advice. For the adolescents in the case study, tracking PEFR may improve recognition of smoking-, vaping- or infection-related deterioration, </w:t>
      </w:r>
      <w:r w:rsidR="005D6818" w:rsidRPr="00B9125F">
        <w:rPr>
          <w:rFonts w:ascii="Arial" w:hAnsi="Arial" w:cs="Arial"/>
        </w:rPr>
        <w:t>allow</w:t>
      </w:r>
      <w:r w:rsidRPr="00B9125F">
        <w:rPr>
          <w:rFonts w:ascii="Arial" w:hAnsi="Arial" w:cs="Arial"/>
        </w:rPr>
        <w:t xml:space="preserve"> </w:t>
      </w:r>
      <w:r w:rsidR="00A518D3" w:rsidRPr="00B9125F">
        <w:rPr>
          <w:rFonts w:ascii="Arial" w:hAnsi="Arial" w:cs="Arial"/>
        </w:rPr>
        <w:t xml:space="preserve">the </w:t>
      </w:r>
      <w:r w:rsidRPr="00B9125F">
        <w:rPr>
          <w:rFonts w:ascii="Arial" w:hAnsi="Arial" w:cs="Arial"/>
        </w:rPr>
        <w:t xml:space="preserve">earlier action and </w:t>
      </w:r>
      <w:r w:rsidR="00B6283E" w:rsidRPr="00B9125F">
        <w:rPr>
          <w:rFonts w:ascii="Arial" w:hAnsi="Arial" w:cs="Arial"/>
        </w:rPr>
        <w:t>reduce</w:t>
      </w:r>
      <w:r w:rsidRPr="00B9125F">
        <w:rPr>
          <w:rFonts w:ascii="Arial" w:hAnsi="Arial" w:cs="Arial"/>
        </w:rPr>
        <w:t xml:space="preserve"> the risk of a severe exacerbation (BTS/SIGN, 2019).</w:t>
      </w:r>
    </w:p>
    <w:p w14:paraId="3C3A42C8" w14:textId="77777777" w:rsidR="000545D1" w:rsidRPr="00B9125F" w:rsidRDefault="000545D1" w:rsidP="00041CC3">
      <w:pPr>
        <w:pStyle w:val="Heading1"/>
        <w:rPr>
          <w:rFonts w:ascii="Arial" w:hAnsi="Arial" w:cs="Arial"/>
          <w:sz w:val="24"/>
          <w:szCs w:val="24"/>
        </w:rPr>
      </w:pPr>
      <w:bookmarkStart w:id="5" w:name="_Toc235887962"/>
      <w:r w:rsidRPr="00B9125F">
        <w:rPr>
          <w:rFonts w:ascii="Arial" w:hAnsi="Arial" w:cs="Arial"/>
          <w:sz w:val="24"/>
          <w:szCs w:val="24"/>
        </w:rPr>
        <w:t>6. Evidence-Based Lifestyle Recommendations</w:t>
      </w:r>
      <w:bookmarkEnd w:id="5"/>
    </w:p>
    <w:p w14:paraId="2220D2B7" w14:textId="77777777" w:rsidR="000545D1" w:rsidRPr="00B9125F" w:rsidRDefault="000545D1" w:rsidP="000545D1">
      <w:pPr>
        <w:rPr>
          <w:rFonts w:ascii="Arial" w:hAnsi="Arial" w:cs="Arial"/>
          <w:b/>
          <w:bCs/>
        </w:rPr>
      </w:pPr>
      <w:r w:rsidRPr="00B9125F">
        <w:rPr>
          <w:rFonts w:ascii="Arial" w:hAnsi="Arial" w:cs="Arial"/>
          <w:b/>
          <w:bCs/>
        </w:rPr>
        <w:t>6a: Smoking and vaping cessation</w:t>
      </w:r>
    </w:p>
    <w:p w14:paraId="6D7646E6" w14:textId="1871C6C7" w:rsidR="00C474E7" w:rsidRPr="00B9125F" w:rsidRDefault="00C474E7" w:rsidP="00C474E7">
      <w:pPr>
        <w:pStyle w:val="pdq2pgselectionanchorcontainer"/>
        <w:rPr>
          <w:rFonts w:ascii="Arial" w:hAnsi="Arial" w:cs="Arial"/>
        </w:rPr>
      </w:pPr>
      <w:r w:rsidRPr="00B9125F">
        <w:rPr>
          <w:rFonts w:ascii="Arial" w:hAnsi="Arial" w:cs="Arial"/>
        </w:rPr>
        <w:lastRenderedPageBreak/>
        <w:t xml:space="preserve">Smoking and vaping cessation should be prioritised for adolescents with asthma because both can irritate the airways, worsen inflammation and make symptoms more difficult to control. Tobacco smoke contains harmful chemicals that damage the respiratory epithelium, impair ciliary function and increase mucus production. E-cigarette aerosols may also irritate the airways and trigger bronchospasm. Although some adolescents may perceive vaping as a safer alternative to smoking, substances within e-cigarette aerosols, including propylene glycol and flavouring chemicals, may contribute to airway irritation and bronchial hyperresponsiveness </w:t>
      </w:r>
      <w:r w:rsidR="00A518D3" w:rsidRPr="00B9125F">
        <w:rPr>
          <w:rFonts w:ascii="Arial" w:hAnsi="Arial" w:cs="Arial"/>
        </w:rPr>
        <w:t>(Park, Crotty Alexander and Christiani, 2022).</w:t>
      </w:r>
    </w:p>
    <w:p w14:paraId="6D8ADC50" w14:textId="3CAB9EE6" w:rsidR="00C474E7" w:rsidRPr="00B9125F" w:rsidRDefault="00C474E7" w:rsidP="00C474E7">
      <w:pPr>
        <w:pStyle w:val="NormalWeb"/>
        <w:rPr>
          <w:rFonts w:ascii="Arial" w:hAnsi="Arial" w:cs="Arial"/>
        </w:rPr>
      </w:pPr>
      <w:r w:rsidRPr="00B9125F">
        <w:rPr>
          <w:rFonts w:ascii="Arial" w:hAnsi="Arial" w:cs="Arial"/>
        </w:rPr>
        <w:t xml:space="preserve">Practice nurses should provide evidence-based, supportive and non-judgemental cessation advice. Rather than only instructing adolescents to stop smoking or vaping, the nurse should explain how these behaviours may worsen asthma and contribute to more frequent exacerbations. Appropriate support may include referral to NHS Stop Smoking Services, behavioural interventions and, where clinically suitable, treatments such as nicotine replacement therapy or varenicline in accordance with prescribing guidance </w:t>
      </w:r>
      <w:r w:rsidR="00A518D3" w:rsidRPr="00B9125F">
        <w:rPr>
          <w:rFonts w:ascii="Arial" w:hAnsi="Arial" w:cs="Arial"/>
        </w:rPr>
        <w:t xml:space="preserve">(National Institute for Health and Care Excellence, 2021; British Thoracic Society and National Institute for Health and Care Excellence, 2024). </w:t>
      </w:r>
      <w:r w:rsidRPr="00B9125F">
        <w:rPr>
          <w:rFonts w:ascii="Arial" w:hAnsi="Arial" w:cs="Arial"/>
        </w:rPr>
        <w:t>This approach may improve cessation success and support better long-term asthma control.</w:t>
      </w:r>
    </w:p>
    <w:p w14:paraId="0CE82F03" w14:textId="77777777" w:rsidR="000545D1" w:rsidRPr="00B9125F" w:rsidRDefault="000545D1" w:rsidP="000545D1">
      <w:pPr>
        <w:rPr>
          <w:rFonts w:ascii="Arial" w:hAnsi="Arial" w:cs="Arial"/>
          <w:b/>
          <w:bCs/>
        </w:rPr>
      </w:pPr>
      <w:r w:rsidRPr="00B9125F">
        <w:rPr>
          <w:rFonts w:ascii="Arial" w:hAnsi="Arial" w:cs="Arial"/>
          <w:b/>
          <w:bCs/>
        </w:rPr>
        <w:t>6b: Improving asthma control through self-management</w:t>
      </w:r>
    </w:p>
    <w:p w14:paraId="49639F84" w14:textId="77777777" w:rsidR="00C474E7" w:rsidRPr="00B9125F" w:rsidRDefault="00C474E7" w:rsidP="00C474E7">
      <w:pPr>
        <w:pStyle w:val="pdq2pgselectionanchorcontainer"/>
        <w:rPr>
          <w:rFonts w:ascii="Arial" w:hAnsi="Arial" w:cs="Arial"/>
        </w:rPr>
      </w:pPr>
      <w:r w:rsidRPr="00B9125F">
        <w:rPr>
          <w:rFonts w:ascii="Arial" w:hAnsi="Arial" w:cs="Arial"/>
        </w:rPr>
        <w:t>Adolescents should take asthma medication according to their prescribed regimen and personalised asthma action plan, even when symptoms appear controlled. During regular reviews, healthcare professionals should assess adherence, inhaler technique and the correct use of spacer devices where required, as poor technique may reduce the amount of medication reaching the lungs.</w:t>
      </w:r>
    </w:p>
    <w:p w14:paraId="0DEB6791" w14:textId="77777777" w:rsidR="00C474E7" w:rsidRPr="00B9125F" w:rsidRDefault="00C474E7" w:rsidP="00C474E7">
      <w:pPr>
        <w:pStyle w:val="NormalWeb"/>
        <w:rPr>
          <w:rFonts w:ascii="Arial" w:hAnsi="Arial" w:cs="Arial"/>
        </w:rPr>
      </w:pPr>
      <w:r w:rsidRPr="00B9125F">
        <w:rPr>
          <w:rFonts w:ascii="Arial" w:hAnsi="Arial" w:cs="Arial"/>
        </w:rPr>
        <w:t>Exposure to known triggers should also be reduced. For the adolescents in the case study, this may include avoiding cigarette smoke, vaping aerosols and poorly ventilated social environments where these substances are present. Monitoring air-quality and pollen forecasts may help individuals limit exposure when levels are high (Asthma + Lung UK, 2024).</w:t>
      </w:r>
    </w:p>
    <w:p w14:paraId="55F90A52" w14:textId="434F4AA4" w:rsidR="000545D1" w:rsidRPr="00B9125F" w:rsidRDefault="00C474E7" w:rsidP="00B9125F">
      <w:pPr>
        <w:pStyle w:val="NormalWeb"/>
        <w:rPr>
          <w:rFonts w:ascii="Arial" w:hAnsi="Arial" w:cs="Arial"/>
        </w:rPr>
      </w:pPr>
      <w:r w:rsidRPr="00B9125F">
        <w:rPr>
          <w:rFonts w:ascii="Arial" w:hAnsi="Arial" w:cs="Arial"/>
        </w:rPr>
        <w:t>Appropriate physical activity should be encouraged because it supports cardiovascular health and general wellbeing. Where exercise triggers symptoms, treatment should be reviewed and any pre-exercise medication used only as prescribed. Annual influenza vaccination should also be encouraged because respiratory infections can trigger asthma exacerbations (GINA, 2024). Together, treatment adherence, trigger avoidance, vaccination and appropriate exercise can support better asthma control and reduce the risk of serious exacerbations.</w:t>
      </w:r>
    </w:p>
    <w:p w14:paraId="4E0DCB2C" w14:textId="77777777" w:rsidR="000545D1" w:rsidRPr="00B9125F" w:rsidRDefault="000545D1" w:rsidP="00041CC3">
      <w:pPr>
        <w:pStyle w:val="Heading1"/>
        <w:rPr>
          <w:rFonts w:ascii="Arial" w:hAnsi="Arial" w:cs="Arial"/>
          <w:sz w:val="24"/>
          <w:szCs w:val="24"/>
        </w:rPr>
      </w:pPr>
      <w:bookmarkStart w:id="6" w:name="_Toc235887963"/>
      <w:r w:rsidRPr="00B9125F">
        <w:rPr>
          <w:rFonts w:ascii="Arial" w:hAnsi="Arial" w:cs="Arial"/>
          <w:sz w:val="24"/>
          <w:szCs w:val="24"/>
        </w:rPr>
        <w:t>7. Conclusion</w:t>
      </w:r>
      <w:bookmarkEnd w:id="6"/>
    </w:p>
    <w:p w14:paraId="72A550AF" w14:textId="77777777" w:rsidR="00AD1A5D" w:rsidRPr="00B9125F" w:rsidRDefault="00AD1A5D" w:rsidP="00AD1A5D">
      <w:pPr>
        <w:pStyle w:val="pdq2pgselectionanchorcontainer"/>
        <w:rPr>
          <w:rFonts w:ascii="Arial" w:hAnsi="Arial" w:cs="Arial"/>
        </w:rPr>
      </w:pPr>
      <w:bookmarkStart w:id="7" w:name="_Toc235203864"/>
      <w:r w:rsidRPr="00B9125F">
        <w:rPr>
          <w:rFonts w:ascii="Arial" w:hAnsi="Arial" w:cs="Arial"/>
        </w:rPr>
        <w:t xml:space="preserve">This report has examined the physiology of asthma and the importance of evidence-based management for adolescents. The respiratory structures work together to conduct air to the alveoli, while contraction and relaxation of the diaphragm and intercostal muscles create the pressure changes required for inhalation and </w:t>
      </w:r>
      <w:r w:rsidRPr="00B9125F">
        <w:rPr>
          <w:rFonts w:ascii="Arial" w:hAnsi="Arial" w:cs="Arial"/>
        </w:rPr>
        <w:lastRenderedPageBreak/>
        <w:t>exhalation. At the alveoli, oxygen and carbon dioxide move between the lungs and bloodstream by diffusion. In asthma, airway inflammation, bronchoconstriction and excess mucus restrict airflow, make exhalation more difficult and may reduce the efficiency of gas exchange. Smoking, vaping and respiratory infections can further irritate these sensitive airways and increase the risk of exacerbations.</w:t>
      </w:r>
    </w:p>
    <w:p w14:paraId="4B15383E" w14:textId="6CF1CD04" w:rsidR="00AD1A5D" w:rsidRPr="00B9125F" w:rsidRDefault="00B12B57" w:rsidP="00AD1A5D">
      <w:pPr>
        <w:pStyle w:val="NormalWeb"/>
        <w:rPr>
          <w:rFonts w:ascii="Arial" w:hAnsi="Arial" w:cs="Arial"/>
        </w:rPr>
      </w:pPr>
      <w:r w:rsidRPr="00B9125F">
        <w:rPr>
          <w:rFonts w:ascii="Arial" w:hAnsi="Arial" w:cs="Arial"/>
        </w:rPr>
        <w:t xml:space="preserve">Regular peak-flow monitoring is not required for every person with asthma but may be valuable where it forms part of an individualised asthma action plan or where there are specific clinical reasons for its use. </w:t>
      </w:r>
      <w:r w:rsidR="00AD1A5D" w:rsidRPr="00B9125F">
        <w:rPr>
          <w:rFonts w:ascii="Arial" w:hAnsi="Arial" w:cs="Arial"/>
        </w:rPr>
        <w:t>Correct inhaler use, adherence to prescribed treatment, smoking and vaping cessation, trigger avoidance, vaccination and appropriate exercise can support improved asthma control. Effective education enables adolescents to understand their condition, participate confidently in self-management and reduce the likelihood of severe exacerbations and hospital admission.</w:t>
      </w:r>
    </w:p>
    <w:p w14:paraId="3D9A523F" w14:textId="77777777" w:rsidR="005E0E2E" w:rsidRPr="00041CC3" w:rsidRDefault="005E0E2E">
      <w:pPr>
        <w:rPr>
          <w:rFonts w:ascii="Arial" w:eastAsiaTheme="majorEastAsia" w:hAnsi="Arial" w:cs="Arial"/>
          <w:b/>
          <w:bCs/>
          <w:sz w:val="22"/>
          <w:szCs w:val="22"/>
        </w:rPr>
      </w:pPr>
      <w:r w:rsidRPr="00041CC3">
        <w:rPr>
          <w:rFonts w:ascii="Arial" w:hAnsi="Arial" w:cs="Arial"/>
          <w:b/>
          <w:bCs/>
          <w:sz w:val="22"/>
          <w:szCs w:val="22"/>
        </w:rPr>
        <w:br w:type="page"/>
      </w:r>
    </w:p>
    <w:p w14:paraId="232D1A8E" w14:textId="14608E7C" w:rsidR="00B9125F" w:rsidRPr="00B9125F" w:rsidRDefault="003042FA" w:rsidP="00B9125F">
      <w:pPr>
        <w:pStyle w:val="Heading1"/>
        <w:spacing w:line="360" w:lineRule="auto"/>
        <w:rPr>
          <w:rFonts w:ascii="Arial" w:hAnsi="Arial" w:cs="Arial"/>
          <w:sz w:val="24"/>
          <w:szCs w:val="24"/>
        </w:rPr>
      </w:pPr>
      <w:bookmarkStart w:id="8" w:name="_Toc235887964"/>
      <w:r w:rsidRPr="00A518D3">
        <w:rPr>
          <w:rFonts w:ascii="Arial" w:hAnsi="Arial" w:cs="Arial"/>
          <w:sz w:val="24"/>
          <w:szCs w:val="24"/>
        </w:rPr>
        <w:lastRenderedPageBreak/>
        <w:t>Reference List</w:t>
      </w:r>
      <w:bookmarkEnd w:id="7"/>
      <w:bookmarkEnd w:id="8"/>
    </w:p>
    <w:p w14:paraId="14311992" w14:textId="77777777" w:rsidR="00C51A77" w:rsidRPr="00C51A77" w:rsidRDefault="00C51A77" w:rsidP="00C51A77">
      <w:pPr>
        <w:spacing w:line="360" w:lineRule="auto"/>
        <w:rPr>
          <w:rFonts w:ascii="Arial" w:hAnsi="Arial" w:cs="Arial"/>
        </w:rPr>
      </w:pPr>
      <w:r w:rsidRPr="00C51A77">
        <w:rPr>
          <w:rFonts w:ascii="Arial" w:hAnsi="Arial" w:cs="Arial"/>
        </w:rPr>
        <w:t xml:space="preserve">Asthma + Lung UK (2024) </w:t>
      </w:r>
      <w:r w:rsidRPr="00C51A77">
        <w:rPr>
          <w:rFonts w:ascii="Arial" w:hAnsi="Arial" w:cs="Arial"/>
          <w:i/>
          <w:iCs/>
        </w:rPr>
        <w:t>Understanding asthma</w:t>
      </w:r>
      <w:r w:rsidRPr="00C51A77">
        <w:rPr>
          <w:rFonts w:ascii="Arial" w:hAnsi="Arial" w:cs="Arial"/>
        </w:rPr>
        <w:t xml:space="preserve">. Available at: </w:t>
      </w:r>
      <w:hyperlink r:id="rId12" w:tgtFrame="_blank" w:history="1">
        <w:r w:rsidRPr="00C51A77">
          <w:rPr>
            <w:rStyle w:val="Hyperlink"/>
            <w:rFonts w:ascii="Arial" w:hAnsi="Arial" w:cs="Arial"/>
          </w:rPr>
          <w:t>https://www.asthmaandlung.org.uk</w:t>
        </w:r>
      </w:hyperlink>
      <w:r w:rsidRPr="00C51A77">
        <w:rPr>
          <w:rFonts w:ascii="Arial" w:hAnsi="Arial" w:cs="Arial"/>
        </w:rPr>
        <w:t xml:space="preserve"> (Accessed: 5 July 2026). </w:t>
      </w:r>
    </w:p>
    <w:p w14:paraId="3AAEA58B" w14:textId="77777777" w:rsidR="00C51A77" w:rsidRPr="00C51A77" w:rsidRDefault="00C51A77" w:rsidP="00C51A77">
      <w:pPr>
        <w:spacing w:line="360" w:lineRule="auto"/>
        <w:rPr>
          <w:rFonts w:ascii="Arial" w:hAnsi="Arial" w:cs="Arial"/>
        </w:rPr>
      </w:pPr>
      <w:r w:rsidRPr="00C51A77">
        <w:rPr>
          <w:rFonts w:ascii="Arial" w:hAnsi="Arial" w:cs="Arial"/>
        </w:rPr>
        <w:t xml:space="preserve">Betts, J.G., Young, K.A., Wise, J.A., Johnson, E., Poe, B., Kruse, D.H., Korol, O., Johnson, J.E., Womble, M. and DeSaix, P. (2022) </w:t>
      </w:r>
      <w:r w:rsidRPr="00C51A77">
        <w:rPr>
          <w:rFonts w:ascii="Arial" w:hAnsi="Arial" w:cs="Arial"/>
          <w:i/>
          <w:iCs/>
        </w:rPr>
        <w:t>Anatomy and Physiology 2e</w:t>
      </w:r>
      <w:r w:rsidRPr="00C51A77">
        <w:rPr>
          <w:rFonts w:ascii="Arial" w:hAnsi="Arial" w:cs="Arial"/>
        </w:rPr>
        <w:t xml:space="preserve">. Houston, TX: OpenStax. Available at: </w:t>
      </w:r>
      <w:hyperlink r:id="rId13" w:tgtFrame="_blank" w:history="1">
        <w:r w:rsidRPr="00C51A77">
          <w:rPr>
            <w:rStyle w:val="Hyperlink"/>
            <w:rFonts w:ascii="Arial" w:hAnsi="Arial" w:cs="Arial"/>
          </w:rPr>
          <w:t>https://openstax.org/books/anatomy-and-physiology-2e</w:t>
        </w:r>
      </w:hyperlink>
      <w:r w:rsidRPr="00C51A77">
        <w:rPr>
          <w:rFonts w:ascii="Arial" w:hAnsi="Arial" w:cs="Arial"/>
        </w:rPr>
        <w:t xml:space="preserve"> (Accessed: 6 July 2026). </w:t>
      </w:r>
    </w:p>
    <w:p w14:paraId="5911A57A" w14:textId="77777777" w:rsidR="00C51A77" w:rsidRPr="00C51A77" w:rsidRDefault="00C51A77" w:rsidP="00C51A77">
      <w:pPr>
        <w:spacing w:line="360" w:lineRule="auto"/>
        <w:rPr>
          <w:rFonts w:ascii="Arial" w:hAnsi="Arial" w:cs="Arial"/>
        </w:rPr>
      </w:pPr>
      <w:r w:rsidRPr="00C51A77">
        <w:rPr>
          <w:rFonts w:ascii="Arial" w:hAnsi="Arial" w:cs="Arial"/>
        </w:rPr>
        <w:t xml:space="preserve">British Thoracic Society and National Institute for Health and Care Excellence (2024) </w:t>
      </w:r>
      <w:r w:rsidRPr="00C51A77">
        <w:rPr>
          <w:rFonts w:ascii="Arial" w:hAnsi="Arial" w:cs="Arial"/>
          <w:i/>
          <w:iCs/>
        </w:rPr>
        <w:t>Asthma: Diagnosis, monitoring and chronic asthma management (BTS, NICE, SIGN)</w:t>
      </w:r>
      <w:r w:rsidRPr="00C51A77">
        <w:rPr>
          <w:rFonts w:ascii="Arial" w:hAnsi="Arial" w:cs="Arial"/>
        </w:rPr>
        <w:t xml:space="preserve">. Available at: </w:t>
      </w:r>
      <w:hyperlink r:id="rId14" w:tgtFrame="_blank" w:history="1">
        <w:r w:rsidRPr="00C51A77">
          <w:rPr>
            <w:rStyle w:val="Hyperlink"/>
            <w:rFonts w:ascii="Arial" w:hAnsi="Arial" w:cs="Arial"/>
          </w:rPr>
          <w:t>https://www.nice.org.uk/guidance/ng245</w:t>
        </w:r>
      </w:hyperlink>
      <w:r w:rsidRPr="00C51A77">
        <w:rPr>
          <w:rFonts w:ascii="Arial" w:hAnsi="Arial" w:cs="Arial"/>
        </w:rPr>
        <w:t xml:space="preserve"> (Accessed: 25 July 2026). </w:t>
      </w:r>
    </w:p>
    <w:p w14:paraId="15062D50" w14:textId="77777777" w:rsidR="00C51A77" w:rsidRPr="00C51A77" w:rsidRDefault="00C51A77" w:rsidP="00C51A77">
      <w:pPr>
        <w:spacing w:line="360" w:lineRule="auto"/>
        <w:rPr>
          <w:rFonts w:ascii="Arial" w:hAnsi="Arial" w:cs="Arial"/>
        </w:rPr>
      </w:pPr>
      <w:r w:rsidRPr="00C51A77">
        <w:rPr>
          <w:rFonts w:ascii="Arial" w:hAnsi="Arial" w:cs="Arial"/>
        </w:rPr>
        <w:t xml:space="preserve">British Thoracic Society and Scottish Intercollegiate Guidelines Network (2019) </w:t>
      </w:r>
      <w:r w:rsidRPr="00C51A77">
        <w:rPr>
          <w:rFonts w:ascii="Arial" w:hAnsi="Arial" w:cs="Arial"/>
          <w:i/>
          <w:iCs/>
        </w:rPr>
        <w:t>British guideline on the management of asthma (SIGN 158)</w:t>
      </w:r>
      <w:r w:rsidRPr="00C51A77">
        <w:rPr>
          <w:rFonts w:ascii="Arial" w:hAnsi="Arial" w:cs="Arial"/>
        </w:rPr>
        <w:t xml:space="preserve">. Edinburgh: Scottish Intercollegiate Guidelines Network. Available at: </w:t>
      </w:r>
      <w:hyperlink r:id="rId15" w:tgtFrame="_blank" w:history="1">
        <w:r w:rsidRPr="00C51A77">
          <w:rPr>
            <w:rStyle w:val="Hyperlink"/>
            <w:rFonts w:ascii="Arial" w:hAnsi="Arial" w:cs="Arial"/>
          </w:rPr>
          <w:t>https://www.sign.ac.uk</w:t>
        </w:r>
      </w:hyperlink>
      <w:r w:rsidRPr="00C51A77">
        <w:rPr>
          <w:rFonts w:ascii="Arial" w:hAnsi="Arial" w:cs="Arial"/>
        </w:rPr>
        <w:t xml:space="preserve"> (Accessed: 6 July 2026). </w:t>
      </w:r>
    </w:p>
    <w:p w14:paraId="2905106F" w14:textId="77777777" w:rsidR="00C51A77" w:rsidRPr="00C51A77" w:rsidRDefault="00C51A77" w:rsidP="00C51A77">
      <w:pPr>
        <w:spacing w:line="360" w:lineRule="auto"/>
        <w:rPr>
          <w:rFonts w:ascii="Arial" w:hAnsi="Arial" w:cs="Arial"/>
        </w:rPr>
      </w:pPr>
      <w:r w:rsidRPr="00C51A77">
        <w:rPr>
          <w:rFonts w:ascii="Arial" w:hAnsi="Arial" w:cs="Arial"/>
        </w:rPr>
        <w:t xml:space="preserve">Busse, W.W., Lemanske, R.F. and Gern, J.E. (2010) Role of viral respiratory infections in asthma and asthma exacerbations, </w:t>
      </w:r>
      <w:r w:rsidRPr="00C51A77">
        <w:rPr>
          <w:rFonts w:ascii="Arial" w:hAnsi="Arial" w:cs="Arial"/>
          <w:i/>
          <w:iCs/>
        </w:rPr>
        <w:t>The Lancet</w:t>
      </w:r>
      <w:r w:rsidRPr="00C51A77">
        <w:rPr>
          <w:rFonts w:ascii="Arial" w:hAnsi="Arial" w:cs="Arial"/>
        </w:rPr>
        <w:t xml:space="preserve">, 376(9743), pp. 826–834. Available at: </w:t>
      </w:r>
      <w:hyperlink r:id="rId16" w:tgtFrame="_blank" w:history="1">
        <w:r w:rsidRPr="00C51A77">
          <w:rPr>
            <w:rStyle w:val="Hyperlink"/>
            <w:rFonts w:ascii="Arial" w:hAnsi="Arial" w:cs="Arial"/>
          </w:rPr>
          <w:t>https://doi.org/10.1016/S0140-6736(10)61380-3</w:t>
        </w:r>
      </w:hyperlink>
      <w:r w:rsidRPr="00C51A77">
        <w:rPr>
          <w:rFonts w:ascii="Arial" w:hAnsi="Arial" w:cs="Arial"/>
        </w:rPr>
        <w:t xml:space="preserve"> (Accessed: 25 July 2026). </w:t>
      </w:r>
    </w:p>
    <w:p w14:paraId="425438E8" w14:textId="77777777" w:rsidR="00C51A77" w:rsidRPr="00C51A77" w:rsidRDefault="00C51A77" w:rsidP="00C51A77">
      <w:pPr>
        <w:spacing w:line="360" w:lineRule="auto"/>
        <w:rPr>
          <w:rFonts w:ascii="Arial" w:hAnsi="Arial" w:cs="Arial"/>
        </w:rPr>
      </w:pPr>
      <w:r w:rsidRPr="00C51A77">
        <w:rPr>
          <w:rFonts w:ascii="Arial" w:hAnsi="Arial" w:cs="Arial"/>
        </w:rPr>
        <w:t xml:space="preserve">Global Initiative for Asthma (GINA) (2024) </w:t>
      </w:r>
      <w:r w:rsidRPr="00C51A77">
        <w:rPr>
          <w:rFonts w:ascii="Arial" w:hAnsi="Arial" w:cs="Arial"/>
          <w:i/>
          <w:iCs/>
        </w:rPr>
        <w:t>Global Strategy for Asthma Management and Prevention</w:t>
      </w:r>
      <w:r w:rsidRPr="00C51A77">
        <w:rPr>
          <w:rFonts w:ascii="Arial" w:hAnsi="Arial" w:cs="Arial"/>
        </w:rPr>
        <w:t xml:space="preserve">. Available at: </w:t>
      </w:r>
      <w:hyperlink r:id="rId17" w:tgtFrame="_blank" w:history="1">
        <w:r w:rsidRPr="00C51A77">
          <w:rPr>
            <w:rStyle w:val="Hyperlink"/>
            <w:rFonts w:ascii="Arial" w:hAnsi="Arial" w:cs="Arial"/>
          </w:rPr>
          <w:t>https://ginasthma.org</w:t>
        </w:r>
      </w:hyperlink>
      <w:r w:rsidRPr="00C51A77">
        <w:rPr>
          <w:rFonts w:ascii="Arial" w:hAnsi="Arial" w:cs="Arial"/>
        </w:rPr>
        <w:t xml:space="preserve"> (Accessed: 5 July 2026). </w:t>
      </w:r>
    </w:p>
    <w:p w14:paraId="3417FA2B" w14:textId="77777777" w:rsidR="00C51A77" w:rsidRPr="00C51A77" w:rsidRDefault="00C51A77" w:rsidP="00C51A77">
      <w:pPr>
        <w:spacing w:line="360" w:lineRule="auto"/>
        <w:rPr>
          <w:rFonts w:ascii="Arial" w:hAnsi="Arial" w:cs="Arial"/>
        </w:rPr>
      </w:pPr>
      <w:r w:rsidRPr="00C51A77">
        <w:rPr>
          <w:rFonts w:ascii="Arial" w:hAnsi="Arial" w:cs="Arial"/>
        </w:rPr>
        <w:t xml:space="preserve">Marieb, E.N. and Hoehn, K. (2023) </w:t>
      </w:r>
      <w:r w:rsidRPr="00C51A77">
        <w:rPr>
          <w:rFonts w:ascii="Arial" w:hAnsi="Arial" w:cs="Arial"/>
          <w:i/>
          <w:iCs/>
        </w:rPr>
        <w:t>Human Anatomy &amp; Physiology</w:t>
      </w:r>
      <w:r w:rsidRPr="00C51A77">
        <w:rPr>
          <w:rFonts w:ascii="Arial" w:hAnsi="Arial" w:cs="Arial"/>
        </w:rPr>
        <w:t xml:space="preserve">. 12th edn. Harlow: Pearson. </w:t>
      </w:r>
    </w:p>
    <w:p w14:paraId="16E50DF4" w14:textId="77777777" w:rsidR="00C51A77" w:rsidRPr="00C51A77" w:rsidRDefault="00C51A77" w:rsidP="00C51A77">
      <w:pPr>
        <w:spacing w:line="360" w:lineRule="auto"/>
        <w:rPr>
          <w:rFonts w:ascii="Arial" w:hAnsi="Arial" w:cs="Arial"/>
        </w:rPr>
      </w:pPr>
      <w:r w:rsidRPr="00C51A77">
        <w:rPr>
          <w:rFonts w:ascii="Arial" w:hAnsi="Arial" w:cs="Arial"/>
        </w:rPr>
        <w:t xml:space="preserve">MedlinePlus (2026) </w:t>
      </w:r>
      <w:r w:rsidRPr="00C51A77">
        <w:rPr>
          <w:rFonts w:ascii="Arial" w:hAnsi="Arial" w:cs="Arial"/>
          <w:i/>
          <w:iCs/>
        </w:rPr>
        <w:t>Normal versus asthmatic bronchiole</w:t>
      </w:r>
      <w:r w:rsidRPr="00C51A77">
        <w:rPr>
          <w:rFonts w:ascii="Arial" w:hAnsi="Arial" w:cs="Arial"/>
        </w:rPr>
        <w:t xml:space="preserve"> [Image]. Available at: </w:t>
      </w:r>
      <w:hyperlink r:id="rId18" w:tgtFrame="_blank" w:history="1">
        <w:r w:rsidRPr="00C51A77">
          <w:rPr>
            <w:rStyle w:val="Hyperlink"/>
            <w:rFonts w:ascii="Arial" w:hAnsi="Arial" w:cs="Arial"/>
          </w:rPr>
          <w:t>https://medlineplus.gov/ency/imagepages/19375.htm</w:t>
        </w:r>
      </w:hyperlink>
      <w:r w:rsidRPr="00C51A77">
        <w:rPr>
          <w:rFonts w:ascii="Arial" w:hAnsi="Arial" w:cs="Arial"/>
        </w:rPr>
        <w:t xml:space="preserve"> (Accessed: 5 July 2026). </w:t>
      </w:r>
    </w:p>
    <w:p w14:paraId="6C55044F" w14:textId="77777777" w:rsidR="00C51A77" w:rsidRPr="00C51A77" w:rsidRDefault="00C51A77" w:rsidP="00C51A77">
      <w:pPr>
        <w:spacing w:line="360" w:lineRule="auto"/>
        <w:rPr>
          <w:rFonts w:ascii="Arial" w:hAnsi="Arial" w:cs="Arial"/>
        </w:rPr>
      </w:pPr>
      <w:r w:rsidRPr="00C51A77">
        <w:rPr>
          <w:rFonts w:ascii="Arial" w:hAnsi="Arial" w:cs="Arial"/>
        </w:rPr>
        <w:t xml:space="preserve">National Institute for Health and Care Excellence (2021) </w:t>
      </w:r>
      <w:r w:rsidRPr="00C51A77">
        <w:rPr>
          <w:rFonts w:ascii="Arial" w:hAnsi="Arial" w:cs="Arial"/>
          <w:i/>
          <w:iCs/>
        </w:rPr>
        <w:t>Tobacco: Preventing uptake, promoting quitting and treating dependence (NICE Guideline NG209)</w:t>
      </w:r>
      <w:r w:rsidRPr="00C51A77">
        <w:rPr>
          <w:rFonts w:ascii="Arial" w:hAnsi="Arial" w:cs="Arial"/>
        </w:rPr>
        <w:t xml:space="preserve">. Available at: </w:t>
      </w:r>
      <w:hyperlink r:id="rId19" w:tgtFrame="_blank" w:history="1">
        <w:r w:rsidRPr="00C51A77">
          <w:rPr>
            <w:rStyle w:val="Hyperlink"/>
            <w:rFonts w:ascii="Arial" w:hAnsi="Arial" w:cs="Arial"/>
          </w:rPr>
          <w:t>https://www.nice.org.uk/guidance/ng209</w:t>
        </w:r>
      </w:hyperlink>
      <w:r w:rsidRPr="00C51A77">
        <w:rPr>
          <w:rFonts w:ascii="Arial" w:hAnsi="Arial" w:cs="Arial"/>
        </w:rPr>
        <w:t xml:space="preserve"> (Accessed: 25 July 2026). </w:t>
      </w:r>
    </w:p>
    <w:p w14:paraId="14932D28" w14:textId="77777777" w:rsidR="00C51A77" w:rsidRPr="00C51A77" w:rsidRDefault="00C51A77" w:rsidP="00C51A77">
      <w:pPr>
        <w:spacing w:line="360" w:lineRule="auto"/>
        <w:rPr>
          <w:rFonts w:ascii="Arial" w:hAnsi="Arial" w:cs="Arial"/>
        </w:rPr>
      </w:pPr>
      <w:r w:rsidRPr="00C51A77">
        <w:rPr>
          <w:rFonts w:ascii="Arial" w:hAnsi="Arial" w:cs="Arial"/>
        </w:rPr>
        <w:lastRenderedPageBreak/>
        <w:t xml:space="preserve">National Institute for Health and Care Excellence (NICE) (2023) </w:t>
      </w:r>
      <w:r w:rsidRPr="00C51A77">
        <w:rPr>
          <w:rFonts w:ascii="Arial" w:hAnsi="Arial" w:cs="Arial"/>
          <w:i/>
          <w:iCs/>
        </w:rPr>
        <w:t>Asthma: diagnosis, monitoring and chronic asthma management (NG80)</w:t>
      </w:r>
      <w:r w:rsidRPr="00C51A77">
        <w:rPr>
          <w:rFonts w:ascii="Arial" w:hAnsi="Arial" w:cs="Arial"/>
        </w:rPr>
        <w:t xml:space="preserve">. Available at: </w:t>
      </w:r>
      <w:hyperlink r:id="rId20" w:tgtFrame="_blank" w:history="1">
        <w:r w:rsidRPr="00C51A77">
          <w:rPr>
            <w:rStyle w:val="Hyperlink"/>
            <w:rFonts w:ascii="Arial" w:hAnsi="Arial" w:cs="Arial"/>
          </w:rPr>
          <w:t>https://www.nice.org.uk/guidance/ng80</w:t>
        </w:r>
      </w:hyperlink>
      <w:r w:rsidRPr="00C51A77">
        <w:rPr>
          <w:rFonts w:ascii="Arial" w:hAnsi="Arial" w:cs="Arial"/>
        </w:rPr>
        <w:t xml:space="preserve"> (Accessed: 5 July 2026). </w:t>
      </w:r>
    </w:p>
    <w:p w14:paraId="6D382514" w14:textId="77777777" w:rsidR="00C51A77" w:rsidRPr="00C51A77" w:rsidRDefault="00C51A77" w:rsidP="00C51A77">
      <w:pPr>
        <w:spacing w:line="360" w:lineRule="auto"/>
        <w:rPr>
          <w:rFonts w:ascii="Arial" w:hAnsi="Arial" w:cs="Arial"/>
        </w:rPr>
      </w:pPr>
      <w:r w:rsidRPr="00C51A77">
        <w:rPr>
          <w:rFonts w:ascii="Arial" w:hAnsi="Arial" w:cs="Arial"/>
        </w:rPr>
        <w:t xml:space="preserve">NHS (2024) </w:t>
      </w:r>
      <w:r w:rsidRPr="00C51A77">
        <w:rPr>
          <w:rFonts w:ascii="Arial" w:hAnsi="Arial" w:cs="Arial"/>
          <w:i/>
          <w:iCs/>
        </w:rPr>
        <w:t>Quit smoking: help and support</w:t>
      </w:r>
      <w:r w:rsidRPr="00C51A77">
        <w:rPr>
          <w:rFonts w:ascii="Arial" w:hAnsi="Arial" w:cs="Arial"/>
        </w:rPr>
        <w:t xml:space="preserve">. Available at: </w:t>
      </w:r>
      <w:hyperlink r:id="rId21" w:tgtFrame="_blank" w:history="1">
        <w:r w:rsidRPr="00C51A77">
          <w:rPr>
            <w:rStyle w:val="Hyperlink"/>
            <w:rFonts w:ascii="Arial" w:hAnsi="Arial" w:cs="Arial"/>
          </w:rPr>
          <w:t>https://www.nhs.uk/live-well/quit-smoking/</w:t>
        </w:r>
      </w:hyperlink>
      <w:r w:rsidRPr="00C51A77">
        <w:rPr>
          <w:rFonts w:ascii="Arial" w:hAnsi="Arial" w:cs="Arial"/>
        </w:rPr>
        <w:t xml:space="preserve"> (Accessed: 6 July 2026). </w:t>
      </w:r>
    </w:p>
    <w:p w14:paraId="1DF37065" w14:textId="77777777" w:rsidR="00C51A77" w:rsidRPr="00C51A77" w:rsidRDefault="00C51A77" w:rsidP="00C51A77">
      <w:pPr>
        <w:spacing w:line="360" w:lineRule="auto"/>
        <w:rPr>
          <w:rFonts w:ascii="Arial" w:hAnsi="Arial" w:cs="Arial"/>
        </w:rPr>
      </w:pPr>
      <w:r w:rsidRPr="00C51A77">
        <w:rPr>
          <w:rFonts w:ascii="Arial" w:hAnsi="Arial" w:cs="Arial"/>
        </w:rPr>
        <w:t xml:space="preserve">Park, J.A., Crotty Alexander, L.E. and Christiani, D.C. (2022) Vaping and lung inflammation and injury, </w:t>
      </w:r>
      <w:r w:rsidRPr="00C51A77">
        <w:rPr>
          <w:rFonts w:ascii="Arial" w:hAnsi="Arial" w:cs="Arial"/>
          <w:i/>
          <w:iCs/>
        </w:rPr>
        <w:t>Annual Review of Physiology</w:t>
      </w:r>
      <w:r w:rsidRPr="00C51A77">
        <w:rPr>
          <w:rFonts w:ascii="Arial" w:hAnsi="Arial" w:cs="Arial"/>
        </w:rPr>
        <w:t xml:space="preserve">, 84, pp. 611–629. Available at: </w:t>
      </w:r>
      <w:hyperlink r:id="rId22" w:tgtFrame="_blank" w:history="1">
        <w:r w:rsidRPr="00C51A77">
          <w:rPr>
            <w:rStyle w:val="Hyperlink"/>
            <w:rFonts w:ascii="Arial" w:hAnsi="Arial" w:cs="Arial"/>
          </w:rPr>
          <w:t>https://doi.org/10.1146/annurev-physiol-061121-040014</w:t>
        </w:r>
      </w:hyperlink>
      <w:r w:rsidRPr="00C51A77">
        <w:rPr>
          <w:rFonts w:ascii="Arial" w:hAnsi="Arial" w:cs="Arial"/>
        </w:rPr>
        <w:t xml:space="preserve"> (Accessed: 25 July 2026). </w:t>
      </w:r>
    </w:p>
    <w:p w14:paraId="1F2B9D8C" w14:textId="77777777" w:rsidR="00C51A77" w:rsidRPr="00C51A77" w:rsidRDefault="00C51A77" w:rsidP="00C51A77">
      <w:pPr>
        <w:spacing w:line="360" w:lineRule="auto"/>
        <w:rPr>
          <w:rFonts w:ascii="Arial" w:hAnsi="Arial" w:cs="Arial"/>
        </w:rPr>
      </w:pPr>
      <w:r w:rsidRPr="00C51A77">
        <w:rPr>
          <w:rFonts w:ascii="Arial" w:hAnsi="Arial" w:cs="Arial"/>
        </w:rPr>
        <w:t xml:space="preserve">Tortora, G.J. and Derrickson, B.H. (2021) </w:t>
      </w:r>
      <w:r w:rsidRPr="00C51A77">
        <w:rPr>
          <w:rFonts w:ascii="Arial" w:hAnsi="Arial" w:cs="Arial"/>
          <w:i/>
          <w:iCs/>
        </w:rPr>
        <w:t>Principles of Anatomy and Physiology</w:t>
      </w:r>
      <w:r w:rsidRPr="00C51A77">
        <w:rPr>
          <w:rFonts w:ascii="Arial" w:hAnsi="Arial" w:cs="Arial"/>
        </w:rPr>
        <w:t xml:space="preserve">. 16th edn. Hoboken, NJ: John Wiley &amp; Sons. </w:t>
      </w:r>
    </w:p>
    <w:p w14:paraId="4BD0E916" w14:textId="26DE948D" w:rsidR="000545D1" w:rsidRPr="002A5D8D" w:rsidRDefault="00C51A77" w:rsidP="00C51A77">
      <w:pPr>
        <w:spacing w:line="360" w:lineRule="auto"/>
        <w:rPr>
          <w:rFonts w:ascii="Arial" w:hAnsi="Arial" w:cs="Arial"/>
        </w:rPr>
      </w:pPr>
      <w:r w:rsidRPr="00C51A77">
        <w:rPr>
          <w:rFonts w:ascii="Arial" w:hAnsi="Arial" w:cs="Arial"/>
        </w:rPr>
        <w:t xml:space="preserve">Waugh, A. and Grant, A. (2022) </w:t>
      </w:r>
      <w:r w:rsidRPr="00C51A77">
        <w:rPr>
          <w:rFonts w:ascii="Arial" w:hAnsi="Arial" w:cs="Arial"/>
          <w:i/>
          <w:iCs/>
        </w:rPr>
        <w:t>Ross and Wilson Anatomy and Physiology in Health and Illness</w:t>
      </w:r>
      <w:r w:rsidRPr="00C51A77">
        <w:rPr>
          <w:rFonts w:ascii="Arial" w:hAnsi="Arial" w:cs="Arial"/>
        </w:rPr>
        <w:t>. 14th edn. Edinburgh: Elsevier.</w:t>
      </w:r>
    </w:p>
    <w:sectPr w:rsidR="000545D1" w:rsidRPr="002A5D8D">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47695A" w14:textId="77777777" w:rsidR="00DC7CF5" w:rsidRDefault="00DC7CF5" w:rsidP="00C51A77">
      <w:pPr>
        <w:spacing w:after="0" w:line="240" w:lineRule="auto"/>
      </w:pPr>
      <w:r>
        <w:separator/>
      </w:r>
    </w:p>
  </w:endnote>
  <w:endnote w:type="continuationSeparator" w:id="0">
    <w:p w14:paraId="3A603942" w14:textId="77777777" w:rsidR="00DC7CF5" w:rsidRDefault="00DC7CF5" w:rsidP="00C51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1008393"/>
      <w:docPartObj>
        <w:docPartGallery w:val="Page Numbers (Bottom of Page)"/>
        <w:docPartUnique/>
      </w:docPartObj>
    </w:sdtPr>
    <w:sdtContent>
      <w:p w14:paraId="2ABDE079" w14:textId="0BF39985" w:rsidR="00C51A77" w:rsidRDefault="00C51A77">
        <w:pPr>
          <w:pStyle w:val="Footer"/>
          <w:jc w:val="right"/>
        </w:pPr>
        <w:r>
          <w:fldChar w:fldCharType="begin"/>
        </w:r>
        <w:r>
          <w:instrText>PAGE   \* MERGEFORMAT</w:instrText>
        </w:r>
        <w:r>
          <w:fldChar w:fldCharType="separate"/>
        </w:r>
        <w:r>
          <w:t>2</w:t>
        </w:r>
        <w:r>
          <w:fldChar w:fldCharType="end"/>
        </w:r>
      </w:p>
    </w:sdtContent>
  </w:sdt>
  <w:p w14:paraId="1432B7F5" w14:textId="77777777" w:rsidR="00C51A77" w:rsidRDefault="00C51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056784" w14:textId="77777777" w:rsidR="00DC7CF5" w:rsidRDefault="00DC7CF5" w:rsidP="00C51A77">
      <w:pPr>
        <w:spacing w:after="0" w:line="240" w:lineRule="auto"/>
      </w:pPr>
      <w:r>
        <w:separator/>
      </w:r>
    </w:p>
  </w:footnote>
  <w:footnote w:type="continuationSeparator" w:id="0">
    <w:p w14:paraId="351888C1" w14:textId="77777777" w:rsidR="00DC7CF5" w:rsidRDefault="00DC7CF5" w:rsidP="00C51A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E57AD2"/>
    <w:multiLevelType w:val="hybridMultilevel"/>
    <w:tmpl w:val="AE28C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7670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5D1"/>
    <w:rsid w:val="00041CC3"/>
    <w:rsid w:val="000545D1"/>
    <w:rsid w:val="001206AC"/>
    <w:rsid w:val="001573A9"/>
    <w:rsid w:val="00197013"/>
    <w:rsid w:val="001C3615"/>
    <w:rsid w:val="001D3726"/>
    <w:rsid w:val="002A5D8D"/>
    <w:rsid w:val="003042FA"/>
    <w:rsid w:val="00382C54"/>
    <w:rsid w:val="003942C5"/>
    <w:rsid w:val="005539F8"/>
    <w:rsid w:val="00570DA3"/>
    <w:rsid w:val="005951A2"/>
    <w:rsid w:val="005D6818"/>
    <w:rsid w:val="005E0E2E"/>
    <w:rsid w:val="00644543"/>
    <w:rsid w:val="006A39C8"/>
    <w:rsid w:val="0072694F"/>
    <w:rsid w:val="00892AB5"/>
    <w:rsid w:val="009E67D7"/>
    <w:rsid w:val="00A32A3C"/>
    <w:rsid w:val="00A4551A"/>
    <w:rsid w:val="00A518D3"/>
    <w:rsid w:val="00A64FA7"/>
    <w:rsid w:val="00A93A1C"/>
    <w:rsid w:val="00AD1A5D"/>
    <w:rsid w:val="00B12B57"/>
    <w:rsid w:val="00B1370E"/>
    <w:rsid w:val="00B61402"/>
    <w:rsid w:val="00B6283E"/>
    <w:rsid w:val="00B9125F"/>
    <w:rsid w:val="00BC5A5C"/>
    <w:rsid w:val="00BD01D8"/>
    <w:rsid w:val="00C47160"/>
    <w:rsid w:val="00C474E7"/>
    <w:rsid w:val="00C51A77"/>
    <w:rsid w:val="00CB3879"/>
    <w:rsid w:val="00D50B23"/>
    <w:rsid w:val="00DA56AD"/>
    <w:rsid w:val="00DC5113"/>
    <w:rsid w:val="00DC7CF5"/>
    <w:rsid w:val="00E861B6"/>
    <w:rsid w:val="00FA1133"/>
    <w:rsid w:val="00FE1D99"/>
    <w:rsid w:val="00FF0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0AABA4"/>
  <w15:chartTrackingRefBased/>
  <w15:docId w15:val="{EC32BE80-E261-F541-875F-FEF80D87C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45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45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45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45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45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45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45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45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45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5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45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45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45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45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45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45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45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45D1"/>
    <w:rPr>
      <w:rFonts w:eastAsiaTheme="majorEastAsia" w:cstheme="majorBidi"/>
      <w:color w:val="272727" w:themeColor="text1" w:themeTint="D8"/>
    </w:rPr>
  </w:style>
  <w:style w:type="paragraph" w:styleId="Title">
    <w:name w:val="Title"/>
    <w:basedOn w:val="Normal"/>
    <w:next w:val="Normal"/>
    <w:link w:val="TitleChar"/>
    <w:uiPriority w:val="10"/>
    <w:qFormat/>
    <w:rsid w:val="000545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45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45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45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45D1"/>
    <w:pPr>
      <w:spacing w:before="160"/>
      <w:jc w:val="center"/>
    </w:pPr>
    <w:rPr>
      <w:i/>
      <w:iCs/>
      <w:color w:val="404040" w:themeColor="text1" w:themeTint="BF"/>
    </w:rPr>
  </w:style>
  <w:style w:type="character" w:customStyle="1" w:styleId="QuoteChar">
    <w:name w:val="Quote Char"/>
    <w:basedOn w:val="DefaultParagraphFont"/>
    <w:link w:val="Quote"/>
    <w:uiPriority w:val="29"/>
    <w:rsid w:val="000545D1"/>
    <w:rPr>
      <w:i/>
      <w:iCs/>
      <w:color w:val="404040" w:themeColor="text1" w:themeTint="BF"/>
    </w:rPr>
  </w:style>
  <w:style w:type="paragraph" w:styleId="ListParagraph">
    <w:name w:val="List Paragraph"/>
    <w:basedOn w:val="Normal"/>
    <w:uiPriority w:val="34"/>
    <w:qFormat/>
    <w:rsid w:val="000545D1"/>
    <w:pPr>
      <w:ind w:left="720"/>
      <w:contextualSpacing/>
    </w:pPr>
  </w:style>
  <w:style w:type="character" w:styleId="IntenseEmphasis">
    <w:name w:val="Intense Emphasis"/>
    <w:basedOn w:val="DefaultParagraphFont"/>
    <w:uiPriority w:val="21"/>
    <w:qFormat/>
    <w:rsid w:val="000545D1"/>
    <w:rPr>
      <w:i/>
      <w:iCs/>
      <w:color w:val="0F4761" w:themeColor="accent1" w:themeShade="BF"/>
    </w:rPr>
  </w:style>
  <w:style w:type="paragraph" w:styleId="IntenseQuote">
    <w:name w:val="Intense Quote"/>
    <w:basedOn w:val="Normal"/>
    <w:next w:val="Normal"/>
    <w:link w:val="IntenseQuoteChar"/>
    <w:uiPriority w:val="30"/>
    <w:qFormat/>
    <w:rsid w:val="000545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45D1"/>
    <w:rPr>
      <w:i/>
      <w:iCs/>
      <w:color w:val="0F4761" w:themeColor="accent1" w:themeShade="BF"/>
    </w:rPr>
  </w:style>
  <w:style w:type="character" w:styleId="IntenseReference">
    <w:name w:val="Intense Reference"/>
    <w:basedOn w:val="DefaultParagraphFont"/>
    <w:uiPriority w:val="32"/>
    <w:qFormat/>
    <w:rsid w:val="000545D1"/>
    <w:rPr>
      <w:b/>
      <w:bCs/>
      <w:smallCaps/>
      <w:color w:val="0F4761" w:themeColor="accent1" w:themeShade="BF"/>
      <w:spacing w:val="5"/>
    </w:rPr>
  </w:style>
  <w:style w:type="character" w:styleId="Hyperlink">
    <w:name w:val="Hyperlink"/>
    <w:basedOn w:val="DefaultParagraphFont"/>
    <w:uiPriority w:val="99"/>
    <w:unhideWhenUsed/>
    <w:rsid w:val="003042FA"/>
    <w:rPr>
      <w:color w:val="467886" w:themeColor="hyperlink"/>
      <w:u w:val="single"/>
    </w:rPr>
  </w:style>
  <w:style w:type="paragraph" w:customStyle="1" w:styleId="pdq2pgselectionanchorcontainer">
    <w:name w:val="pdq2pg_selectionanchorcontainer"/>
    <w:basedOn w:val="Normal"/>
    <w:rsid w:val="00892AB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92AB5"/>
    <w:rPr>
      <w:b/>
      <w:bCs/>
    </w:rPr>
  </w:style>
  <w:style w:type="character" w:styleId="Emphasis">
    <w:name w:val="Emphasis"/>
    <w:basedOn w:val="DefaultParagraphFont"/>
    <w:uiPriority w:val="20"/>
    <w:qFormat/>
    <w:rsid w:val="00892AB5"/>
    <w:rPr>
      <w:i/>
      <w:iCs/>
    </w:rPr>
  </w:style>
  <w:style w:type="paragraph" w:styleId="NormalWeb">
    <w:name w:val="Normal (Web)"/>
    <w:basedOn w:val="Normal"/>
    <w:uiPriority w:val="99"/>
    <w:unhideWhenUsed/>
    <w:rsid w:val="00892AB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2">
    <w:name w:val="toc 2"/>
    <w:basedOn w:val="Normal"/>
    <w:next w:val="Normal"/>
    <w:autoRedefine/>
    <w:uiPriority w:val="39"/>
    <w:unhideWhenUsed/>
    <w:rsid w:val="00B12B57"/>
    <w:pPr>
      <w:spacing w:after="100" w:line="259" w:lineRule="auto"/>
      <w:ind w:left="240"/>
    </w:pPr>
    <w:rPr>
      <w:rFonts w:ascii="Times New Roman" w:hAnsi="Times New Roman"/>
      <w:kern w:val="0"/>
      <w:szCs w:val="22"/>
      <w14:ligatures w14:val="none"/>
    </w:rPr>
  </w:style>
  <w:style w:type="paragraph" w:styleId="TOC1">
    <w:name w:val="toc 1"/>
    <w:basedOn w:val="Normal"/>
    <w:next w:val="Normal"/>
    <w:autoRedefine/>
    <w:uiPriority w:val="39"/>
    <w:unhideWhenUsed/>
    <w:rsid w:val="00B12B57"/>
    <w:pPr>
      <w:tabs>
        <w:tab w:val="right" w:leader="dot" w:pos="9016"/>
      </w:tabs>
      <w:spacing w:after="100" w:line="259" w:lineRule="auto"/>
    </w:pPr>
    <w:rPr>
      <w:rFonts w:ascii="Times New Roman" w:hAnsi="Times New Roman"/>
      <w:kern w:val="0"/>
      <w:szCs w:val="22"/>
      <w14:ligatures w14:val="none"/>
    </w:rPr>
  </w:style>
  <w:style w:type="paragraph" w:styleId="TOCHeading">
    <w:name w:val="TOC Heading"/>
    <w:basedOn w:val="Heading1"/>
    <w:next w:val="Normal"/>
    <w:uiPriority w:val="39"/>
    <w:unhideWhenUsed/>
    <w:qFormat/>
    <w:rsid w:val="00041CC3"/>
    <w:pPr>
      <w:spacing w:before="240" w:after="0" w:line="259" w:lineRule="auto"/>
      <w:outlineLvl w:val="9"/>
    </w:pPr>
    <w:rPr>
      <w:kern w:val="0"/>
      <w:sz w:val="32"/>
      <w:szCs w:val="32"/>
      <w:lang w:eastAsia="en-GB"/>
      <w14:ligatures w14:val="none"/>
    </w:rPr>
  </w:style>
  <w:style w:type="character" w:customStyle="1" w:styleId="citation-17">
    <w:name w:val="citation-17"/>
    <w:basedOn w:val="DefaultParagraphFont"/>
    <w:rsid w:val="005D6818"/>
  </w:style>
  <w:style w:type="character" w:customStyle="1" w:styleId="citation-16">
    <w:name w:val="citation-16"/>
    <w:basedOn w:val="DefaultParagraphFont"/>
    <w:rsid w:val="005D6818"/>
  </w:style>
  <w:style w:type="character" w:styleId="UnresolvedMention">
    <w:name w:val="Unresolved Mention"/>
    <w:basedOn w:val="DefaultParagraphFont"/>
    <w:uiPriority w:val="99"/>
    <w:semiHidden/>
    <w:unhideWhenUsed/>
    <w:rsid w:val="00C51A77"/>
    <w:rPr>
      <w:color w:val="605E5C"/>
      <w:shd w:val="clear" w:color="auto" w:fill="E1DFDD"/>
    </w:rPr>
  </w:style>
  <w:style w:type="paragraph" w:styleId="Header">
    <w:name w:val="header"/>
    <w:basedOn w:val="Normal"/>
    <w:link w:val="HeaderChar"/>
    <w:uiPriority w:val="99"/>
    <w:unhideWhenUsed/>
    <w:rsid w:val="00C51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A77"/>
  </w:style>
  <w:style w:type="paragraph" w:styleId="Footer">
    <w:name w:val="footer"/>
    <w:basedOn w:val="Normal"/>
    <w:link w:val="FooterChar"/>
    <w:uiPriority w:val="99"/>
    <w:unhideWhenUsed/>
    <w:rsid w:val="00C51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A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openstax.org/books/anatomy-and-physiology-2e" TargetMode="External"/><Relationship Id="rId18" Type="http://schemas.openxmlformats.org/officeDocument/2006/relationships/hyperlink" Target="https://medlineplus.gov/ency/imagepages/19375.htm" TargetMode="External"/><Relationship Id="rId3" Type="http://schemas.openxmlformats.org/officeDocument/2006/relationships/settings" Target="settings.xml"/><Relationship Id="rId21" Type="http://schemas.openxmlformats.org/officeDocument/2006/relationships/hyperlink" Target="https://www.nhs.uk/live-well/quit-smoking/" TargetMode="External"/><Relationship Id="rId7" Type="http://schemas.openxmlformats.org/officeDocument/2006/relationships/image" Target="media/image1.png"/><Relationship Id="rId12" Type="http://schemas.openxmlformats.org/officeDocument/2006/relationships/hyperlink" Target="https://www.asthmaandlung.org.uk/" TargetMode="External"/><Relationship Id="rId17" Type="http://schemas.openxmlformats.org/officeDocument/2006/relationships/hyperlink" Target="https://ginasthma.or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ogle.com/search?q=https://doi.org/10.1016/S0140-6736(10)61380-3" TargetMode="External"/><Relationship Id="rId20" Type="http://schemas.openxmlformats.org/officeDocument/2006/relationships/hyperlink" Target="https://www.nice.org.uk/guidance/ng8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ign.ac.uk/"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nice.org.uk/guidance/ng209"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nice.org.uk/guidance/ng245" TargetMode="External"/><Relationship Id="rId22" Type="http://schemas.openxmlformats.org/officeDocument/2006/relationships/hyperlink" Target="https://www.google.com/search?q=https://doi.org/10.1146/annurev-physiol-061121-040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TotalTime>
  <Pages>12</Pages>
  <Words>3187</Words>
  <Characters>18166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Zain Hussain</dc:creator>
  <cp:keywords/>
  <dc:description/>
  <cp:lastModifiedBy>Sasha Khanom Reshma Mohammed (2429698)</cp:lastModifiedBy>
  <cp:revision>7</cp:revision>
  <dcterms:created xsi:type="dcterms:W3CDTF">2026-07-25T14:46:00Z</dcterms:created>
  <dcterms:modified xsi:type="dcterms:W3CDTF">2026-07-25T15:16:00Z</dcterms:modified>
</cp:coreProperties>
</file>