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D5066" w14:textId="77777777" w:rsidR="005509F9" w:rsidRDefault="005509F9" w:rsidP="005509F9">
      <w:pPr>
        <w:spacing w:line="360" w:lineRule="auto"/>
        <w:jc w:val="center"/>
        <w:rPr>
          <w:rFonts w:ascii="Times New Roman" w:eastAsia="Times New Roman" w:hAnsi="Times New Roman" w:cs="Times New Roman"/>
          <w:b/>
          <w:bCs/>
          <w:color w:val="000000" w:themeColor="text1"/>
          <w:sz w:val="28"/>
          <w:szCs w:val="28"/>
        </w:rPr>
      </w:pPr>
    </w:p>
    <w:p w14:paraId="272C9B31" w14:textId="43484035" w:rsidR="00ED50E4" w:rsidRDefault="4E25F7CF" w:rsidP="005509F9">
      <w:pPr>
        <w:spacing w:line="360" w:lineRule="auto"/>
        <w:jc w:val="center"/>
        <w:rPr>
          <w:rFonts w:ascii="Times New Roman" w:eastAsia="Times New Roman" w:hAnsi="Times New Roman" w:cs="Times New Roman"/>
          <w:b/>
          <w:bCs/>
          <w:color w:val="000000" w:themeColor="text1"/>
          <w:sz w:val="28"/>
          <w:szCs w:val="28"/>
        </w:rPr>
      </w:pPr>
      <w:r w:rsidRPr="005509F9">
        <w:rPr>
          <w:rFonts w:ascii="Times New Roman" w:eastAsia="Times New Roman" w:hAnsi="Times New Roman" w:cs="Times New Roman"/>
          <w:b/>
          <w:bCs/>
          <w:color w:val="000000" w:themeColor="text1"/>
          <w:sz w:val="28"/>
          <w:szCs w:val="28"/>
        </w:rPr>
        <w:t>Programme: BA Business Management</w:t>
      </w:r>
    </w:p>
    <w:p w14:paraId="45D40998" w14:textId="77777777" w:rsidR="004822A0" w:rsidRDefault="004822A0" w:rsidP="005509F9">
      <w:pPr>
        <w:spacing w:line="360" w:lineRule="auto"/>
        <w:jc w:val="center"/>
        <w:rPr>
          <w:rFonts w:ascii="Times New Roman" w:eastAsia="Times New Roman" w:hAnsi="Times New Roman" w:cs="Times New Roman"/>
          <w:b/>
          <w:bCs/>
          <w:color w:val="000000" w:themeColor="text1"/>
          <w:sz w:val="28"/>
          <w:szCs w:val="28"/>
        </w:rPr>
      </w:pPr>
    </w:p>
    <w:p w14:paraId="09949C7F" w14:textId="77777777" w:rsidR="005509F9" w:rsidRPr="005509F9" w:rsidRDefault="005509F9" w:rsidP="005509F9">
      <w:pPr>
        <w:spacing w:line="360" w:lineRule="auto"/>
        <w:jc w:val="center"/>
        <w:rPr>
          <w:rFonts w:ascii="Times New Roman" w:eastAsia="Times New Roman" w:hAnsi="Times New Roman" w:cs="Times New Roman"/>
          <w:b/>
          <w:bCs/>
          <w:color w:val="000000" w:themeColor="text1"/>
          <w:sz w:val="28"/>
          <w:szCs w:val="28"/>
        </w:rPr>
      </w:pPr>
    </w:p>
    <w:p w14:paraId="4AB275F1" w14:textId="7280EBF9" w:rsidR="005509F9" w:rsidRDefault="4E25F7CF" w:rsidP="004822A0">
      <w:pPr>
        <w:spacing w:line="360" w:lineRule="auto"/>
        <w:jc w:val="center"/>
        <w:rPr>
          <w:rFonts w:ascii="Times New Roman" w:eastAsia="Times New Roman" w:hAnsi="Times New Roman" w:cs="Times New Roman"/>
          <w:b/>
          <w:bCs/>
          <w:color w:val="000000" w:themeColor="text1"/>
          <w:sz w:val="40"/>
          <w:szCs w:val="40"/>
        </w:rPr>
      </w:pPr>
      <w:r w:rsidRPr="004822A0">
        <w:rPr>
          <w:rFonts w:ascii="Times New Roman" w:eastAsia="Times New Roman" w:hAnsi="Times New Roman" w:cs="Times New Roman"/>
          <w:b/>
          <w:bCs/>
          <w:color w:val="000000" w:themeColor="text1"/>
          <w:sz w:val="40"/>
          <w:szCs w:val="40"/>
        </w:rPr>
        <w:t>Module: Community Engagement</w:t>
      </w:r>
    </w:p>
    <w:p w14:paraId="56E9B4E7" w14:textId="77777777" w:rsidR="004822A0" w:rsidRPr="004822A0" w:rsidRDefault="004822A0" w:rsidP="004822A0">
      <w:pPr>
        <w:spacing w:line="360" w:lineRule="auto"/>
        <w:jc w:val="center"/>
        <w:rPr>
          <w:rFonts w:ascii="Times New Roman" w:eastAsia="Times New Roman" w:hAnsi="Times New Roman" w:cs="Times New Roman"/>
          <w:b/>
          <w:bCs/>
          <w:color w:val="000000" w:themeColor="text1"/>
          <w:sz w:val="40"/>
          <w:szCs w:val="40"/>
        </w:rPr>
      </w:pPr>
    </w:p>
    <w:p w14:paraId="72D4BD13" w14:textId="21A7336A" w:rsidR="005509F9" w:rsidRPr="005509F9" w:rsidRDefault="4E25F7CF" w:rsidP="004822A0">
      <w:pPr>
        <w:spacing w:line="360" w:lineRule="auto"/>
        <w:jc w:val="center"/>
        <w:rPr>
          <w:rFonts w:ascii="Times New Roman" w:eastAsia="Times New Roman" w:hAnsi="Times New Roman" w:cs="Times New Roman"/>
          <w:b/>
          <w:bCs/>
          <w:color w:val="000000" w:themeColor="text1"/>
          <w:sz w:val="28"/>
          <w:szCs w:val="28"/>
        </w:rPr>
      </w:pPr>
      <w:r w:rsidRPr="005509F9">
        <w:rPr>
          <w:rFonts w:ascii="Times New Roman" w:eastAsia="Times New Roman" w:hAnsi="Times New Roman" w:cs="Times New Roman"/>
          <w:b/>
          <w:bCs/>
          <w:color w:val="000000" w:themeColor="text1"/>
          <w:sz w:val="28"/>
          <w:szCs w:val="28"/>
        </w:rPr>
        <w:t>Module code: LCBB4002</w:t>
      </w:r>
    </w:p>
    <w:p w14:paraId="032A53B3" w14:textId="2373E551" w:rsidR="005509F9" w:rsidRDefault="4E25F7CF" w:rsidP="004822A0">
      <w:pPr>
        <w:spacing w:line="360" w:lineRule="auto"/>
        <w:jc w:val="center"/>
        <w:rPr>
          <w:rFonts w:ascii="Times New Roman" w:eastAsia="Times New Roman" w:hAnsi="Times New Roman" w:cs="Times New Roman"/>
          <w:b/>
          <w:bCs/>
          <w:color w:val="000000" w:themeColor="text1"/>
          <w:sz w:val="28"/>
          <w:szCs w:val="28"/>
        </w:rPr>
      </w:pPr>
      <w:r w:rsidRPr="005509F9">
        <w:rPr>
          <w:rFonts w:ascii="Times New Roman" w:eastAsia="Times New Roman" w:hAnsi="Times New Roman" w:cs="Times New Roman"/>
          <w:b/>
          <w:bCs/>
          <w:color w:val="000000" w:themeColor="text1"/>
          <w:sz w:val="28"/>
          <w:szCs w:val="28"/>
        </w:rPr>
        <w:t>Assignment Title: Reflective Report</w:t>
      </w:r>
    </w:p>
    <w:p w14:paraId="66BADB8D" w14:textId="77777777" w:rsidR="004822A0" w:rsidRPr="004822A0" w:rsidRDefault="004822A0" w:rsidP="004822A0">
      <w:pPr>
        <w:spacing w:line="360" w:lineRule="auto"/>
        <w:jc w:val="center"/>
        <w:rPr>
          <w:rFonts w:ascii="Times New Roman" w:eastAsia="Times New Roman" w:hAnsi="Times New Roman" w:cs="Times New Roman"/>
          <w:b/>
          <w:bCs/>
          <w:color w:val="000000" w:themeColor="text1"/>
          <w:sz w:val="24"/>
          <w:szCs w:val="24"/>
        </w:rPr>
      </w:pPr>
      <w:r w:rsidRPr="004822A0">
        <w:rPr>
          <w:rFonts w:ascii="Times New Roman" w:eastAsia="Times New Roman" w:hAnsi="Times New Roman" w:cs="Times New Roman"/>
          <w:b/>
          <w:bCs/>
          <w:color w:val="000000" w:themeColor="text1"/>
          <w:sz w:val="24"/>
          <w:szCs w:val="24"/>
        </w:rPr>
        <w:t xml:space="preserve">Student Name: </w:t>
      </w:r>
      <w:proofErr w:type="spellStart"/>
      <w:r w:rsidRPr="004822A0">
        <w:rPr>
          <w:rFonts w:ascii="Times New Roman" w:eastAsia="Times New Roman" w:hAnsi="Times New Roman" w:cs="Times New Roman"/>
          <w:b/>
          <w:bCs/>
          <w:color w:val="000000" w:themeColor="text1"/>
          <w:sz w:val="24"/>
          <w:szCs w:val="24"/>
        </w:rPr>
        <w:t>Florentin</w:t>
      </w:r>
      <w:proofErr w:type="spellEnd"/>
      <w:r w:rsidRPr="004822A0">
        <w:rPr>
          <w:rFonts w:ascii="Times New Roman" w:eastAsia="Times New Roman" w:hAnsi="Times New Roman" w:cs="Times New Roman"/>
          <w:b/>
          <w:bCs/>
          <w:color w:val="000000" w:themeColor="text1"/>
          <w:sz w:val="24"/>
          <w:szCs w:val="24"/>
        </w:rPr>
        <w:t xml:space="preserve"> </w:t>
      </w:r>
      <w:proofErr w:type="spellStart"/>
      <w:r w:rsidRPr="004822A0">
        <w:rPr>
          <w:rFonts w:ascii="Times New Roman" w:eastAsia="Times New Roman" w:hAnsi="Times New Roman" w:cs="Times New Roman"/>
          <w:b/>
          <w:bCs/>
          <w:color w:val="000000" w:themeColor="text1"/>
          <w:sz w:val="24"/>
          <w:szCs w:val="24"/>
        </w:rPr>
        <w:t>Cocea</w:t>
      </w:r>
      <w:proofErr w:type="spellEnd"/>
    </w:p>
    <w:p w14:paraId="29859201" w14:textId="77777777" w:rsidR="004822A0" w:rsidRPr="004822A0" w:rsidRDefault="004822A0" w:rsidP="004822A0">
      <w:pPr>
        <w:spacing w:line="360" w:lineRule="auto"/>
        <w:jc w:val="center"/>
        <w:rPr>
          <w:rFonts w:ascii="Times New Roman" w:eastAsia="Times New Roman" w:hAnsi="Times New Roman" w:cs="Times New Roman"/>
          <w:b/>
          <w:bCs/>
          <w:color w:val="000000" w:themeColor="text1"/>
          <w:sz w:val="24"/>
          <w:szCs w:val="24"/>
        </w:rPr>
      </w:pPr>
      <w:r w:rsidRPr="004822A0">
        <w:rPr>
          <w:rFonts w:ascii="Times New Roman" w:eastAsia="Times New Roman" w:hAnsi="Times New Roman" w:cs="Times New Roman"/>
          <w:b/>
          <w:bCs/>
          <w:color w:val="000000" w:themeColor="text1"/>
          <w:sz w:val="24"/>
          <w:szCs w:val="24"/>
        </w:rPr>
        <w:t>Student ID: 2134142</w:t>
      </w:r>
    </w:p>
    <w:p w14:paraId="043F0BC8" w14:textId="713E71C2" w:rsidR="004822A0" w:rsidRDefault="004822A0" w:rsidP="004822A0">
      <w:pPr>
        <w:spacing w:line="360" w:lineRule="auto"/>
        <w:jc w:val="center"/>
        <w:rPr>
          <w:rFonts w:ascii="Times New Roman" w:eastAsia="Times New Roman" w:hAnsi="Times New Roman" w:cs="Times New Roman"/>
          <w:b/>
          <w:bCs/>
          <w:color w:val="000000" w:themeColor="text1"/>
          <w:sz w:val="24"/>
          <w:szCs w:val="24"/>
        </w:rPr>
      </w:pPr>
      <w:bookmarkStart w:id="0" w:name="_Int_CxV2JQYc"/>
      <w:r w:rsidRPr="004822A0">
        <w:rPr>
          <w:rFonts w:ascii="Times New Roman" w:eastAsia="Times New Roman" w:hAnsi="Times New Roman" w:cs="Times New Roman"/>
          <w:b/>
          <w:bCs/>
          <w:color w:val="000000" w:themeColor="text1"/>
          <w:sz w:val="24"/>
          <w:szCs w:val="24"/>
        </w:rPr>
        <w:t>Submission</w:t>
      </w:r>
      <w:bookmarkEnd w:id="0"/>
      <w:r w:rsidRPr="004822A0">
        <w:rPr>
          <w:rFonts w:ascii="Times New Roman" w:eastAsia="Times New Roman" w:hAnsi="Times New Roman" w:cs="Times New Roman"/>
          <w:b/>
          <w:bCs/>
          <w:color w:val="000000" w:themeColor="text1"/>
          <w:sz w:val="24"/>
          <w:szCs w:val="24"/>
        </w:rPr>
        <w:t xml:space="preserve"> Date: 0</w:t>
      </w:r>
      <w:r w:rsidR="00E8211E">
        <w:rPr>
          <w:rFonts w:ascii="Times New Roman" w:eastAsia="Times New Roman" w:hAnsi="Times New Roman" w:cs="Times New Roman"/>
          <w:b/>
          <w:bCs/>
          <w:color w:val="000000" w:themeColor="text1"/>
          <w:sz w:val="24"/>
          <w:szCs w:val="24"/>
        </w:rPr>
        <w:t>9</w:t>
      </w:r>
      <w:r w:rsidRPr="004822A0">
        <w:rPr>
          <w:rFonts w:ascii="Times New Roman" w:eastAsia="Times New Roman" w:hAnsi="Times New Roman" w:cs="Times New Roman"/>
          <w:b/>
          <w:bCs/>
          <w:color w:val="000000" w:themeColor="text1"/>
          <w:sz w:val="24"/>
          <w:szCs w:val="24"/>
        </w:rPr>
        <w:t>.</w:t>
      </w:r>
      <w:r w:rsidR="00E8211E">
        <w:rPr>
          <w:rFonts w:ascii="Times New Roman" w:eastAsia="Times New Roman" w:hAnsi="Times New Roman" w:cs="Times New Roman"/>
          <w:b/>
          <w:bCs/>
          <w:color w:val="000000" w:themeColor="text1"/>
          <w:sz w:val="24"/>
          <w:szCs w:val="24"/>
        </w:rPr>
        <w:t>01</w:t>
      </w:r>
      <w:r w:rsidRPr="004822A0">
        <w:rPr>
          <w:rFonts w:ascii="Times New Roman" w:eastAsia="Times New Roman" w:hAnsi="Times New Roman" w:cs="Times New Roman"/>
          <w:b/>
          <w:bCs/>
          <w:color w:val="000000" w:themeColor="text1"/>
          <w:sz w:val="24"/>
          <w:szCs w:val="24"/>
        </w:rPr>
        <w:t>.202</w:t>
      </w:r>
      <w:r>
        <w:rPr>
          <w:rFonts w:ascii="Times New Roman" w:eastAsia="Times New Roman" w:hAnsi="Times New Roman" w:cs="Times New Roman"/>
          <w:b/>
          <w:bCs/>
          <w:color w:val="000000" w:themeColor="text1"/>
          <w:sz w:val="24"/>
          <w:szCs w:val="24"/>
        </w:rPr>
        <w:t>3</w:t>
      </w:r>
    </w:p>
    <w:p w14:paraId="409850E7" w14:textId="2E648C7B" w:rsidR="004822A0" w:rsidRDefault="004822A0" w:rsidP="004822A0">
      <w:pPr>
        <w:spacing w:line="360" w:lineRule="auto"/>
        <w:jc w:val="center"/>
        <w:rPr>
          <w:rFonts w:ascii="Times New Roman" w:eastAsia="Times New Roman" w:hAnsi="Times New Roman" w:cs="Times New Roman"/>
          <w:b/>
          <w:bCs/>
          <w:color w:val="000000" w:themeColor="text1"/>
          <w:sz w:val="24"/>
          <w:szCs w:val="24"/>
        </w:rPr>
      </w:pPr>
    </w:p>
    <w:p w14:paraId="626E0700" w14:textId="320F6D4F" w:rsidR="004822A0" w:rsidRDefault="004822A0" w:rsidP="004822A0">
      <w:pPr>
        <w:spacing w:line="360" w:lineRule="auto"/>
        <w:jc w:val="center"/>
        <w:rPr>
          <w:rFonts w:ascii="Times New Roman" w:eastAsia="Times New Roman" w:hAnsi="Times New Roman" w:cs="Times New Roman"/>
          <w:b/>
          <w:bCs/>
          <w:color w:val="000000" w:themeColor="text1"/>
          <w:sz w:val="24"/>
          <w:szCs w:val="24"/>
        </w:rPr>
      </w:pPr>
    </w:p>
    <w:p w14:paraId="14E12F2B" w14:textId="1DDB3254" w:rsidR="004822A0" w:rsidRDefault="004822A0" w:rsidP="004822A0">
      <w:pPr>
        <w:spacing w:line="360" w:lineRule="auto"/>
        <w:jc w:val="center"/>
        <w:rPr>
          <w:rFonts w:ascii="Times New Roman" w:eastAsia="Times New Roman" w:hAnsi="Times New Roman" w:cs="Times New Roman"/>
          <w:b/>
          <w:bCs/>
          <w:color w:val="000000" w:themeColor="text1"/>
          <w:sz w:val="24"/>
          <w:szCs w:val="24"/>
        </w:rPr>
      </w:pPr>
    </w:p>
    <w:p w14:paraId="7D2692B5" w14:textId="4BD733EC" w:rsidR="004822A0" w:rsidRDefault="004822A0" w:rsidP="004822A0">
      <w:pPr>
        <w:spacing w:line="360" w:lineRule="auto"/>
        <w:jc w:val="center"/>
        <w:rPr>
          <w:rFonts w:ascii="Times New Roman" w:eastAsia="Times New Roman" w:hAnsi="Times New Roman" w:cs="Times New Roman"/>
          <w:b/>
          <w:bCs/>
          <w:color w:val="000000" w:themeColor="text1"/>
          <w:sz w:val="24"/>
          <w:szCs w:val="24"/>
        </w:rPr>
      </w:pPr>
    </w:p>
    <w:p w14:paraId="19EFBC7A" w14:textId="1D1E62B3" w:rsidR="004822A0" w:rsidRDefault="004822A0" w:rsidP="004822A0">
      <w:pPr>
        <w:spacing w:line="360" w:lineRule="auto"/>
        <w:jc w:val="center"/>
        <w:rPr>
          <w:rFonts w:ascii="Times New Roman" w:eastAsia="Times New Roman" w:hAnsi="Times New Roman" w:cs="Times New Roman"/>
          <w:b/>
          <w:bCs/>
          <w:color w:val="000000" w:themeColor="text1"/>
          <w:sz w:val="24"/>
          <w:szCs w:val="24"/>
        </w:rPr>
      </w:pPr>
    </w:p>
    <w:p w14:paraId="31BD205B" w14:textId="3F8F06CB" w:rsidR="004822A0" w:rsidRDefault="004822A0" w:rsidP="004822A0">
      <w:pPr>
        <w:spacing w:line="360" w:lineRule="auto"/>
        <w:jc w:val="center"/>
        <w:rPr>
          <w:rFonts w:ascii="Times New Roman" w:eastAsia="Times New Roman" w:hAnsi="Times New Roman" w:cs="Times New Roman"/>
          <w:b/>
          <w:bCs/>
          <w:color w:val="000000" w:themeColor="text1"/>
          <w:sz w:val="24"/>
          <w:szCs w:val="24"/>
        </w:rPr>
      </w:pPr>
    </w:p>
    <w:p w14:paraId="6D047B60" w14:textId="5FFE05B6" w:rsidR="004822A0" w:rsidRDefault="004822A0" w:rsidP="004822A0">
      <w:pPr>
        <w:spacing w:line="360" w:lineRule="auto"/>
        <w:jc w:val="center"/>
        <w:rPr>
          <w:rFonts w:ascii="Times New Roman" w:eastAsia="Times New Roman" w:hAnsi="Times New Roman" w:cs="Times New Roman"/>
          <w:b/>
          <w:bCs/>
          <w:color w:val="000000" w:themeColor="text1"/>
          <w:sz w:val="24"/>
          <w:szCs w:val="24"/>
        </w:rPr>
      </w:pPr>
    </w:p>
    <w:p w14:paraId="2F2E106D" w14:textId="1539025D" w:rsidR="004822A0" w:rsidRDefault="004822A0" w:rsidP="004822A0">
      <w:pPr>
        <w:spacing w:line="360" w:lineRule="auto"/>
        <w:jc w:val="center"/>
        <w:rPr>
          <w:rFonts w:ascii="Times New Roman" w:eastAsia="Times New Roman" w:hAnsi="Times New Roman" w:cs="Times New Roman"/>
          <w:b/>
          <w:bCs/>
          <w:color w:val="000000" w:themeColor="text1"/>
          <w:sz w:val="24"/>
          <w:szCs w:val="24"/>
        </w:rPr>
      </w:pPr>
    </w:p>
    <w:p w14:paraId="471C5851" w14:textId="2574ED8D" w:rsidR="004822A0" w:rsidRDefault="004822A0" w:rsidP="004822A0">
      <w:pPr>
        <w:spacing w:line="360" w:lineRule="auto"/>
        <w:jc w:val="center"/>
        <w:rPr>
          <w:rFonts w:ascii="Times New Roman" w:eastAsia="Times New Roman" w:hAnsi="Times New Roman" w:cs="Times New Roman"/>
          <w:b/>
          <w:bCs/>
          <w:color w:val="000000" w:themeColor="text1"/>
          <w:sz w:val="24"/>
          <w:szCs w:val="24"/>
        </w:rPr>
      </w:pPr>
    </w:p>
    <w:p w14:paraId="746AE10A" w14:textId="77777777" w:rsidR="004822A0" w:rsidRPr="004822A0" w:rsidRDefault="004822A0" w:rsidP="004822A0">
      <w:pPr>
        <w:spacing w:line="360" w:lineRule="auto"/>
        <w:jc w:val="center"/>
        <w:rPr>
          <w:rFonts w:ascii="Times New Roman" w:eastAsia="Times New Roman" w:hAnsi="Times New Roman" w:cs="Times New Roman"/>
          <w:b/>
          <w:bCs/>
          <w:color w:val="000000" w:themeColor="text1"/>
          <w:sz w:val="24"/>
          <w:szCs w:val="24"/>
        </w:rPr>
      </w:pPr>
    </w:p>
    <w:p w14:paraId="303119E3" w14:textId="77777777" w:rsidR="004822A0" w:rsidRPr="005509F9" w:rsidRDefault="004822A0" w:rsidP="004822A0">
      <w:pPr>
        <w:spacing w:line="360" w:lineRule="auto"/>
        <w:jc w:val="center"/>
        <w:rPr>
          <w:rFonts w:ascii="Times New Roman" w:eastAsia="Times New Roman" w:hAnsi="Times New Roman" w:cs="Times New Roman"/>
          <w:b/>
          <w:bCs/>
          <w:color w:val="000000" w:themeColor="text1"/>
          <w:sz w:val="28"/>
          <w:szCs w:val="28"/>
        </w:rPr>
      </w:pPr>
    </w:p>
    <w:p w14:paraId="1C6D75C8" w14:textId="721B9AF1" w:rsidR="00ED50E4" w:rsidRPr="00BA5337" w:rsidRDefault="4E25F7CF" w:rsidP="00BA5337">
      <w:pPr>
        <w:pStyle w:val="Heading1"/>
        <w:rPr>
          <w:rFonts w:ascii="Times New Roman" w:eastAsia="Times New Roman" w:hAnsi="Times New Roman" w:cs="Times New Roman"/>
          <w:b/>
          <w:bCs/>
          <w:color w:val="000000" w:themeColor="text1"/>
          <w:sz w:val="28"/>
          <w:szCs w:val="28"/>
        </w:rPr>
      </w:pPr>
      <w:r w:rsidRPr="00BA5337">
        <w:rPr>
          <w:rFonts w:ascii="Times New Roman" w:eastAsia="Times New Roman" w:hAnsi="Times New Roman" w:cs="Times New Roman"/>
          <w:b/>
          <w:bCs/>
          <w:color w:val="000000" w:themeColor="text1"/>
          <w:sz w:val="28"/>
          <w:szCs w:val="28"/>
        </w:rPr>
        <w:t>Introduction</w:t>
      </w:r>
    </w:p>
    <w:p w14:paraId="2C078E63" w14:textId="060D70DC" w:rsidR="00ED50E4" w:rsidRPr="005509F9" w:rsidRDefault="4E25F7CF" w:rsidP="005509F9">
      <w:pPr>
        <w:spacing w:line="360" w:lineRule="auto"/>
        <w:jc w:val="both"/>
        <w:rPr>
          <w:rFonts w:ascii="Times New Roman" w:eastAsia="Times New Roman" w:hAnsi="Times New Roman" w:cs="Times New Roman"/>
          <w:color w:val="000000" w:themeColor="text1"/>
          <w:sz w:val="24"/>
          <w:szCs w:val="24"/>
          <w:lang w:val="en-US"/>
        </w:rPr>
      </w:pPr>
      <w:r w:rsidRPr="005509F9">
        <w:rPr>
          <w:rFonts w:ascii="Times New Roman" w:eastAsia="Times New Roman" w:hAnsi="Times New Roman" w:cs="Times New Roman"/>
          <w:color w:val="000000" w:themeColor="text1"/>
          <w:sz w:val="24"/>
          <w:szCs w:val="24"/>
        </w:rPr>
        <w:t>This reflection task focuses on the accomplishments of the Birmingham-hosted Commonwealth Games. It provides Highlights of the project and their effects on the community will be discussed. It will consider the degree to which youth empowerment, economic expansion, and infrastructure development have been successful. This task will give an overview of the projects, analyses and assess the best practices used in each organization's community involvement strategies and consider what might have been undertaken differently. Additionally, the effects of proactive consultation, communication, participation from stakeholders, and inclusiveness will be covered.</w:t>
      </w:r>
    </w:p>
    <w:p w14:paraId="4126357C" w14:textId="788099B6" w:rsidR="4E25F7CF" w:rsidRPr="00BA5337" w:rsidRDefault="4E25F7CF" w:rsidP="00BA5337">
      <w:pPr>
        <w:pStyle w:val="Heading1"/>
        <w:rPr>
          <w:rFonts w:ascii="Times New Roman" w:eastAsia="Times New Roman" w:hAnsi="Times New Roman" w:cs="Times New Roman"/>
          <w:b/>
          <w:bCs/>
          <w:color w:val="000000" w:themeColor="text1"/>
          <w:sz w:val="28"/>
          <w:szCs w:val="28"/>
          <w:lang w:val="en-US"/>
        </w:rPr>
      </w:pPr>
      <w:r w:rsidRPr="00BA5337">
        <w:rPr>
          <w:rFonts w:ascii="Times New Roman" w:eastAsia="Times New Roman" w:hAnsi="Times New Roman" w:cs="Times New Roman"/>
          <w:b/>
          <w:bCs/>
          <w:color w:val="000000" w:themeColor="text1"/>
          <w:sz w:val="28"/>
          <w:szCs w:val="28"/>
        </w:rPr>
        <w:t>Community engagement through Windrush</w:t>
      </w:r>
    </w:p>
    <w:p w14:paraId="1C0ED54B" w14:textId="7246818F" w:rsidR="4E25F7CF" w:rsidRPr="005509F9" w:rsidRDefault="4E25F7CF" w:rsidP="005509F9">
      <w:pPr>
        <w:spacing w:line="360" w:lineRule="auto"/>
        <w:jc w:val="both"/>
        <w:rPr>
          <w:rFonts w:ascii="Times New Roman" w:eastAsia="Times New Roman" w:hAnsi="Times New Roman" w:cs="Times New Roman"/>
          <w:color w:val="000000" w:themeColor="text1"/>
          <w:sz w:val="24"/>
          <w:szCs w:val="24"/>
          <w:lang w:val="en-US"/>
        </w:rPr>
      </w:pPr>
      <w:r w:rsidRPr="005509F9">
        <w:rPr>
          <w:rFonts w:ascii="Times New Roman" w:eastAsia="Times New Roman" w:hAnsi="Times New Roman" w:cs="Times New Roman"/>
          <w:color w:val="000000" w:themeColor="text1"/>
          <w:sz w:val="24"/>
          <w:szCs w:val="24"/>
        </w:rPr>
        <w:t xml:space="preserve">A Windrush Journey began in Birmingham's Victoria Square with the SS Empire Windrush Day Flag Raising at Birmingham City Council House. The annual hoisting of the SS Empire Windrush Day Flag coincided with Windrush Day, and the Lord Mayor's Office, the Black and Asian Police Association, as well as the W.A.W.I. Project welcomed grassroots organisations and the </w:t>
      </w:r>
      <w:proofErr w:type="gramStart"/>
      <w:r w:rsidRPr="005509F9">
        <w:rPr>
          <w:rFonts w:ascii="Times New Roman" w:eastAsia="Times New Roman" w:hAnsi="Times New Roman" w:cs="Times New Roman"/>
          <w:color w:val="000000" w:themeColor="text1"/>
          <w:sz w:val="24"/>
          <w:szCs w:val="24"/>
        </w:rPr>
        <w:t>general public</w:t>
      </w:r>
      <w:proofErr w:type="gramEnd"/>
      <w:r w:rsidRPr="005509F9">
        <w:rPr>
          <w:rFonts w:ascii="Times New Roman" w:eastAsia="Times New Roman" w:hAnsi="Times New Roman" w:cs="Times New Roman"/>
          <w:color w:val="000000" w:themeColor="text1"/>
          <w:sz w:val="24"/>
          <w:szCs w:val="24"/>
        </w:rPr>
        <w:t xml:space="preserve"> to participate. Black Heritage Walks and Our Journeys was the theme of the Windrush Day Lunch, which was held at Soho House, Birmingham Museum Trust. They extended an invitation to locals to participate in the Windrush Day walks in Handsworth with the Black Heritage Walks Network. The locals had a chance to learn about the contributions made by the African and Caribbean immigrants to the area. Beginning at Soho House, Soho Avenue, Birmingham. </w:t>
      </w:r>
    </w:p>
    <w:p w14:paraId="1ABA9143" w14:textId="27000C84" w:rsidR="4E25F7CF" w:rsidRPr="005509F9" w:rsidRDefault="4E25F7CF" w:rsidP="005509F9">
      <w:pPr>
        <w:spacing w:line="360" w:lineRule="auto"/>
        <w:jc w:val="both"/>
        <w:rPr>
          <w:rFonts w:ascii="Times New Roman" w:eastAsia="Times New Roman" w:hAnsi="Times New Roman" w:cs="Times New Roman"/>
          <w:color w:val="000000" w:themeColor="text1"/>
          <w:sz w:val="24"/>
          <w:szCs w:val="24"/>
          <w:lang w:val="en-US"/>
        </w:rPr>
      </w:pPr>
      <w:r w:rsidRPr="005509F9">
        <w:rPr>
          <w:rFonts w:ascii="Times New Roman" w:eastAsia="Times New Roman" w:hAnsi="Times New Roman" w:cs="Times New Roman"/>
          <w:color w:val="000000" w:themeColor="text1"/>
          <w:sz w:val="24"/>
          <w:szCs w:val="24"/>
        </w:rPr>
        <w:t>The Legacy Centre of Excellence hosted the community engagement activity for the Birmingham 2022 Commonwealth Games, titled A Journey through Windrush. The purpose of this special event was to celebrate and remember the Windrush Generation and its descendants, and it was organised by the B2022 Community Engagement Team in collaboration with community partner Legacy Centre of Excellence. They asked local stakeholders to continue the day's activities in a nostalgic setting examining the history of Windrush after the Windrush statue was unveiled at New Street Station. The audience were taken on a journey from past to present with the topic of History, Culture, and Sport that have defined a generation as well as Britain as people know it by special guests from throughout the region. Participation in this event was accessible to all communities, who were brought together by a common history of migration.</w:t>
      </w:r>
    </w:p>
    <w:p w14:paraId="7D3D1A09" w14:textId="3A5D0D84" w:rsidR="4E25F7CF" w:rsidRPr="005509F9" w:rsidRDefault="4E25F7CF" w:rsidP="005509F9">
      <w:pPr>
        <w:spacing w:line="360" w:lineRule="auto"/>
        <w:jc w:val="both"/>
        <w:rPr>
          <w:rFonts w:ascii="Times New Roman" w:eastAsia="Times New Roman" w:hAnsi="Times New Roman" w:cs="Times New Roman"/>
          <w:color w:val="000000" w:themeColor="text1"/>
          <w:sz w:val="24"/>
          <w:szCs w:val="24"/>
          <w:lang w:val="en-US"/>
        </w:rPr>
      </w:pPr>
      <w:r w:rsidRPr="005509F9">
        <w:rPr>
          <w:rFonts w:ascii="Times New Roman" w:eastAsia="Times New Roman" w:hAnsi="Times New Roman" w:cs="Times New Roman"/>
          <w:color w:val="000000" w:themeColor="text1"/>
          <w:sz w:val="24"/>
          <w:szCs w:val="24"/>
        </w:rPr>
        <w:t>The approach that the project as well as the key stakeholders used to engage the community was successful because it increased community effort on the way things can be done successfully on the ground while reducing any potential negative reactions as well as regulations that might be depicted within the society. Given the utilisation of public engagement in the project and the main stakeholders' sincere participation, based on prior interactions, it can be said that the strategy produced effective decision-making and engagement. Windrush was responsible with mapping out every business site and pinpointing the specific locations where processes are most likely to make an influence, based on the community project. In addition to the main location of the project, they wanted to consider any supporting amenities. This shows the necessity for accurate stakeholder mapping and the evaluation that must be done to ascertain the challenges encountered by the affected areas. The team kept up their present community involvement initiatives by throwing a play event that will mimic a neighbourhood party. This type of approach removes any negative associations with conventional community consultation sessions, which are typically viewed as dull and uninteresting, and aids in incorporating participatory exercises into occasions that individuals already like.</w:t>
      </w:r>
    </w:p>
    <w:p w14:paraId="36D53A19" w14:textId="570C1D9E" w:rsidR="4E25F7CF" w:rsidRPr="005509F9" w:rsidRDefault="4E25F7CF" w:rsidP="005509F9">
      <w:pPr>
        <w:spacing w:line="360" w:lineRule="auto"/>
        <w:jc w:val="both"/>
        <w:rPr>
          <w:rFonts w:ascii="Times New Roman" w:eastAsia="Times New Roman" w:hAnsi="Times New Roman" w:cs="Times New Roman"/>
          <w:color w:val="000000" w:themeColor="text1"/>
          <w:sz w:val="24"/>
          <w:szCs w:val="24"/>
        </w:rPr>
      </w:pPr>
      <w:r w:rsidRPr="005509F9">
        <w:rPr>
          <w:rFonts w:ascii="Times New Roman" w:eastAsia="Times New Roman" w:hAnsi="Times New Roman" w:cs="Times New Roman"/>
          <w:color w:val="000000" w:themeColor="text1"/>
          <w:sz w:val="24"/>
          <w:szCs w:val="24"/>
        </w:rPr>
        <w:t xml:space="preserve">The community engagement followed various key processes. This ensured that many people including the communities were well informed about the main event that market the day for celebrating the history, </w:t>
      </w:r>
      <w:proofErr w:type="gramStart"/>
      <w:r w:rsidRPr="005509F9">
        <w:rPr>
          <w:rFonts w:ascii="Times New Roman" w:eastAsia="Times New Roman" w:hAnsi="Times New Roman" w:cs="Times New Roman"/>
          <w:color w:val="000000" w:themeColor="text1"/>
          <w:sz w:val="24"/>
          <w:szCs w:val="24"/>
        </w:rPr>
        <w:t>culture</w:t>
      </w:r>
      <w:proofErr w:type="gramEnd"/>
      <w:r w:rsidRPr="005509F9">
        <w:rPr>
          <w:rFonts w:ascii="Times New Roman" w:eastAsia="Times New Roman" w:hAnsi="Times New Roman" w:cs="Times New Roman"/>
          <w:color w:val="000000" w:themeColor="text1"/>
          <w:sz w:val="24"/>
          <w:szCs w:val="24"/>
        </w:rPr>
        <w:t xml:space="preserve"> and the sport. The process began at Birmingham's Victoria Square with the raising of the flag for SS Empire Windrush Day at Birmingham City Council House.  Windrush Day coincided with the yearly hoisting of the SS Empire Windrush Day Flag, as well as the Lord Mayor's Office, the Black and Asian Police Association, as well as the W.A.W.I. Project success was also because it welcomed community groups and members of the </w:t>
      </w:r>
      <w:proofErr w:type="gramStart"/>
      <w:r w:rsidRPr="005509F9">
        <w:rPr>
          <w:rFonts w:ascii="Times New Roman" w:eastAsia="Times New Roman" w:hAnsi="Times New Roman" w:cs="Times New Roman"/>
          <w:color w:val="000000" w:themeColor="text1"/>
          <w:sz w:val="24"/>
          <w:szCs w:val="24"/>
        </w:rPr>
        <w:t>general public</w:t>
      </w:r>
      <w:proofErr w:type="gramEnd"/>
      <w:r w:rsidRPr="005509F9">
        <w:rPr>
          <w:rFonts w:ascii="Times New Roman" w:eastAsia="Times New Roman" w:hAnsi="Times New Roman" w:cs="Times New Roman"/>
          <w:color w:val="000000" w:themeColor="text1"/>
          <w:sz w:val="24"/>
          <w:szCs w:val="24"/>
        </w:rPr>
        <w:t xml:space="preserve"> to take part. The Windrush Day Lunch was hosted at Soho House, Birmingham Museum Trust, with the theme of Black Heritage Walks and Our Journeys. The residents in the community were invited to take part in the Black Heritage Hikes Network's Windrush Day walks in Handsworth. The residents had the chance to learn about what the immigrants from Africa and the Caribbean brought to the community, starting at Birmingham's Soho House on Soho Avenue.</w:t>
      </w:r>
    </w:p>
    <w:p w14:paraId="515D5B9C" w14:textId="4EF5E796" w:rsidR="4E25F7CF" w:rsidRPr="005509F9" w:rsidRDefault="4E25F7CF" w:rsidP="005509F9">
      <w:pPr>
        <w:spacing w:line="360" w:lineRule="auto"/>
        <w:jc w:val="both"/>
        <w:rPr>
          <w:rFonts w:ascii="Times New Roman" w:eastAsia="Times New Roman" w:hAnsi="Times New Roman" w:cs="Times New Roman"/>
          <w:color w:val="000000" w:themeColor="text1"/>
          <w:sz w:val="24"/>
          <w:szCs w:val="24"/>
        </w:rPr>
      </w:pPr>
      <w:r w:rsidRPr="005509F9">
        <w:rPr>
          <w:rFonts w:ascii="Times New Roman" w:eastAsia="Times New Roman" w:hAnsi="Times New Roman" w:cs="Times New Roman"/>
          <w:color w:val="000000" w:themeColor="text1"/>
          <w:sz w:val="24"/>
          <w:szCs w:val="24"/>
        </w:rPr>
        <w:t xml:space="preserve">Therefore, before initiating any new activities, Windrush was necessary to carry out a preliminary evaluation and any other kind of review in the community </w:t>
      </w:r>
      <w:proofErr w:type="gramStart"/>
      <w:r w:rsidRPr="005509F9">
        <w:rPr>
          <w:rFonts w:ascii="Times New Roman" w:eastAsia="Times New Roman" w:hAnsi="Times New Roman" w:cs="Times New Roman"/>
          <w:color w:val="000000" w:themeColor="text1"/>
          <w:sz w:val="24"/>
          <w:szCs w:val="24"/>
        </w:rPr>
        <w:t>in order to</w:t>
      </w:r>
      <w:proofErr w:type="gramEnd"/>
      <w:r w:rsidRPr="005509F9">
        <w:rPr>
          <w:rFonts w:ascii="Times New Roman" w:eastAsia="Times New Roman" w:hAnsi="Times New Roman" w:cs="Times New Roman"/>
          <w:color w:val="000000" w:themeColor="text1"/>
          <w:sz w:val="24"/>
          <w:szCs w:val="24"/>
        </w:rPr>
        <w:t xml:space="preserve"> comprehend the pre-existing issues. Before involving the participants, it was essential to recognize any pre-existing issues, such as historical injustices, problems from prior tasks, the current state of personal rights, social unrest, physical infrastructure, and the range of publicly accessible services. This demonstrates how crucial it is to conduct due diligence and investigate previous connections before beginning a strategic alliance with another company and offering its services. To fully understand the political backdrop, political linkages, social structure, interpersonal interactions, and other crucial concerns in the community, it is crucial to incorporate additional authorities, such as town councils, businesses, and NGOs, as well as international organizations. It is essential to include stakeholders </w:t>
      </w:r>
      <w:proofErr w:type="gramStart"/>
      <w:r w:rsidRPr="005509F9">
        <w:rPr>
          <w:rFonts w:ascii="Times New Roman" w:eastAsia="Times New Roman" w:hAnsi="Times New Roman" w:cs="Times New Roman"/>
          <w:color w:val="000000" w:themeColor="text1"/>
          <w:sz w:val="24"/>
          <w:szCs w:val="24"/>
        </w:rPr>
        <w:t>in order to</w:t>
      </w:r>
      <w:proofErr w:type="gramEnd"/>
      <w:r w:rsidRPr="005509F9">
        <w:rPr>
          <w:rFonts w:ascii="Times New Roman" w:eastAsia="Times New Roman" w:hAnsi="Times New Roman" w:cs="Times New Roman"/>
          <w:color w:val="000000" w:themeColor="text1"/>
          <w:sz w:val="24"/>
          <w:szCs w:val="24"/>
        </w:rPr>
        <w:t xml:space="preserve"> accomplish social goals and make wise decisions (</w:t>
      </w:r>
      <w:proofErr w:type="spellStart"/>
      <w:r w:rsidRPr="005509F9">
        <w:rPr>
          <w:rFonts w:ascii="Times New Roman" w:eastAsia="Times New Roman" w:hAnsi="Times New Roman" w:cs="Times New Roman"/>
          <w:color w:val="000000" w:themeColor="text1"/>
          <w:sz w:val="24"/>
          <w:szCs w:val="24"/>
        </w:rPr>
        <w:t>Prell</w:t>
      </w:r>
      <w:proofErr w:type="spellEnd"/>
      <w:r w:rsidRPr="005509F9">
        <w:rPr>
          <w:rFonts w:ascii="Times New Roman" w:eastAsia="Times New Roman" w:hAnsi="Times New Roman" w:cs="Times New Roman"/>
          <w:color w:val="000000" w:themeColor="text1"/>
          <w:sz w:val="24"/>
          <w:szCs w:val="24"/>
        </w:rPr>
        <w:t xml:space="preserve">, </w:t>
      </w:r>
      <w:proofErr w:type="spellStart"/>
      <w:r w:rsidRPr="005509F9">
        <w:rPr>
          <w:rFonts w:ascii="Times New Roman" w:eastAsia="Times New Roman" w:hAnsi="Times New Roman" w:cs="Times New Roman"/>
          <w:color w:val="000000" w:themeColor="text1"/>
          <w:sz w:val="24"/>
          <w:szCs w:val="24"/>
        </w:rPr>
        <w:t>Hubacek</w:t>
      </w:r>
      <w:proofErr w:type="spellEnd"/>
      <w:r w:rsidRPr="005509F9">
        <w:rPr>
          <w:rFonts w:ascii="Times New Roman" w:eastAsia="Times New Roman" w:hAnsi="Times New Roman" w:cs="Times New Roman"/>
          <w:color w:val="000000" w:themeColor="text1"/>
          <w:sz w:val="24"/>
          <w:szCs w:val="24"/>
        </w:rPr>
        <w:t xml:space="preserve"> and Reed, 2016). </w:t>
      </w:r>
    </w:p>
    <w:p w14:paraId="498AC6E7" w14:textId="54EE99D1" w:rsidR="4E25F7CF" w:rsidRPr="005509F9" w:rsidRDefault="4E25F7CF" w:rsidP="005509F9">
      <w:pPr>
        <w:spacing w:line="360" w:lineRule="auto"/>
        <w:jc w:val="both"/>
        <w:rPr>
          <w:rFonts w:ascii="Times New Roman" w:eastAsia="Times New Roman" w:hAnsi="Times New Roman" w:cs="Times New Roman"/>
          <w:color w:val="000000" w:themeColor="text1"/>
          <w:sz w:val="24"/>
          <w:szCs w:val="24"/>
        </w:rPr>
      </w:pPr>
      <w:r w:rsidRPr="005509F9">
        <w:rPr>
          <w:rFonts w:ascii="Times New Roman" w:eastAsia="Times New Roman" w:hAnsi="Times New Roman" w:cs="Times New Roman"/>
          <w:color w:val="000000" w:themeColor="text1"/>
          <w:sz w:val="24"/>
          <w:szCs w:val="24"/>
        </w:rPr>
        <w:t>This community project serves as an example of how this method can lead to effective policy and decision-making that will please all parties. Windrush oversaw compiling baseline data. This highlights how important it is to understand the extra context of societal structure as described in the principles for community participation. Understanding the ideas of the community ideas and culture is crucial since doing so enables a greater understanding of the community as well as the determination of the strategy that will be employed to tackle the current problem (</w:t>
      </w:r>
      <w:proofErr w:type="spellStart"/>
      <w:r w:rsidRPr="005509F9">
        <w:rPr>
          <w:rFonts w:ascii="Times New Roman" w:eastAsia="Times New Roman" w:hAnsi="Times New Roman" w:cs="Times New Roman"/>
          <w:color w:val="000000" w:themeColor="text1"/>
          <w:sz w:val="24"/>
          <w:szCs w:val="24"/>
        </w:rPr>
        <w:t>Berkes</w:t>
      </w:r>
      <w:proofErr w:type="spellEnd"/>
      <w:r w:rsidRPr="005509F9">
        <w:rPr>
          <w:rFonts w:ascii="Times New Roman" w:eastAsia="Times New Roman" w:hAnsi="Times New Roman" w:cs="Times New Roman"/>
          <w:color w:val="000000" w:themeColor="text1"/>
          <w:sz w:val="24"/>
          <w:szCs w:val="24"/>
        </w:rPr>
        <w:t xml:space="preserve"> and Ross, 2013). The Birmingham 2022 Commonwealth Games community initiative was successful because of how the information flow was handled. Effective stakeholder communication had an impact on the performance of the program. If the effort had been able to leverage social media as a communication tool, the level of community engagement might have increased. Social media use is believed to have a bigger influence and reach more people because of its capacity to increase public awareness (Obar, </w:t>
      </w:r>
      <w:proofErr w:type="spellStart"/>
      <w:r w:rsidRPr="005509F9">
        <w:rPr>
          <w:rFonts w:ascii="Times New Roman" w:eastAsia="Times New Roman" w:hAnsi="Times New Roman" w:cs="Times New Roman"/>
          <w:color w:val="000000" w:themeColor="text1"/>
          <w:sz w:val="24"/>
          <w:szCs w:val="24"/>
        </w:rPr>
        <w:t>Zube</w:t>
      </w:r>
      <w:proofErr w:type="spellEnd"/>
      <w:r w:rsidRPr="005509F9">
        <w:rPr>
          <w:rFonts w:ascii="Times New Roman" w:eastAsia="Times New Roman" w:hAnsi="Times New Roman" w:cs="Times New Roman"/>
          <w:color w:val="000000" w:themeColor="text1"/>
          <w:sz w:val="24"/>
          <w:szCs w:val="24"/>
        </w:rPr>
        <w:t xml:space="preserve"> and Lampe, 2012).</w:t>
      </w:r>
    </w:p>
    <w:p w14:paraId="71BDF799" w14:textId="50A03BFA" w:rsidR="4E25F7CF" w:rsidRPr="005509F9" w:rsidRDefault="4E25F7CF" w:rsidP="005509F9">
      <w:pPr>
        <w:spacing w:line="360" w:lineRule="auto"/>
        <w:jc w:val="both"/>
        <w:rPr>
          <w:rFonts w:ascii="Times New Roman" w:eastAsia="Times New Roman" w:hAnsi="Times New Roman" w:cs="Times New Roman"/>
          <w:color w:val="000000" w:themeColor="text1"/>
          <w:sz w:val="24"/>
          <w:szCs w:val="24"/>
        </w:rPr>
      </w:pPr>
      <w:r w:rsidRPr="005509F9">
        <w:rPr>
          <w:rFonts w:ascii="Times New Roman" w:eastAsia="Times New Roman" w:hAnsi="Times New Roman" w:cs="Times New Roman"/>
          <w:color w:val="000000" w:themeColor="text1"/>
          <w:sz w:val="24"/>
          <w:szCs w:val="24"/>
        </w:rPr>
        <w:t xml:space="preserve">Social networking platforms are commonly used by many people. Additionally, it worked well for providing information on upgrades and notifications to those in the neighbourhood. The adoption of social networking platforms could have drawn more stakeholders who care about the development and involvement of community members, which calls for the inclusion of important parties, constant communication with and intervention of the society, and accepting authority and accountability for development programs. When people communicate with one another and work together to achieve greater growth, civic engagement is at its greatest. To increase participation, improve discussion effectiveness, and minimize misunderstandings, it is important to establish and sustain positive relationships. According to Bal et al., (2013), it is essential to look at the strategies that produce the strongest relationships with key stakeholders </w:t>
      </w:r>
      <w:proofErr w:type="gramStart"/>
      <w:r w:rsidRPr="005509F9">
        <w:rPr>
          <w:rFonts w:ascii="Times New Roman" w:eastAsia="Times New Roman" w:hAnsi="Times New Roman" w:cs="Times New Roman"/>
          <w:color w:val="000000" w:themeColor="text1"/>
          <w:sz w:val="24"/>
          <w:szCs w:val="24"/>
        </w:rPr>
        <w:t>in order to</w:t>
      </w:r>
      <w:proofErr w:type="gramEnd"/>
      <w:r w:rsidRPr="005509F9">
        <w:rPr>
          <w:rFonts w:ascii="Times New Roman" w:eastAsia="Times New Roman" w:hAnsi="Times New Roman" w:cs="Times New Roman"/>
          <w:color w:val="000000" w:themeColor="text1"/>
          <w:sz w:val="24"/>
          <w:szCs w:val="24"/>
        </w:rPr>
        <w:t xml:space="preserve"> successfully incorporate the local community in the project. Being prepared for the unexpected is one way to develop relationships with other parties. Every project or endeavour will run into an unexpected event. If unexpected issues arise while there is no connectivity, sponsors can view people as unprofessional. People should prioritize their interactions with important stakeholders, and accurate stakeholder identification is crucial. Stakeholders are typically divided into two categories including those who directly benefit from the effort as well as those who will be impacted by its results. Given that they are participating in community projects, this emphasizes the need to establish the stakeholder teams (Bal et al., 2013).</w:t>
      </w:r>
    </w:p>
    <w:p w14:paraId="3A568C63" w14:textId="16F27F04" w:rsidR="4E25F7CF" w:rsidRPr="005509F9" w:rsidRDefault="4E25F7CF" w:rsidP="005509F9">
      <w:pPr>
        <w:spacing w:line="360" w:lineRule="auto"/>
        <w:jc w:val="both"/>
        <w:rPr>
          <w:rFonts w:ascii="Times New Roman" w:eastAsia="Times New Roman" w:hAnsi="Times New Roman" w:cs="Times New Roman"/>
          <w:color w:val="000000" w:themeColor="text1"/>
          <w:sz w:val="24"/>
          <w:szCs w:val="24"/>
        </w:rPr>
      </w:pPr>
      <w:r w:rsidRPr="005509F9">
        <w:rPr>
          <w:rFonts w:ascii="Times New Roman" w:eastAsia="Times New Roman" w:hAnsi="Times New Roman" w:cs="Times New Roman"/>
          <w:color w:val="000000" w:themeColor="text1"/>
          <w:sz w:val="24"/>
          <w:szCs w:val="24"/>
        </w:rPr>
        <w:t>To improve fruitful interactions with stakeholders, you must earn their trust. People can do this by answering questions honestly and repeatedly. In every phase, it should be made clear how stakeholders will be educated. It should also be made clear how much they will contribute to crucial decision-making and how their participation in the project will affect the result. This will lead to gaining the stakeholders' confidence. One can develop trust by communicating with people frequently and making sure they are aware of all the advantages of the endeavours. Understanding a problem increases the likelihood that others will help when required. Due to increased information transmission, stakeholders have better resources for identifying inconsistencies. Making a contradictory statement could thereby anger the public and harm trust while also harming one's reputation. Consistent communication and the delivery of clear information are also essential. The discussions must be accurately captured, and the effects of stakeholder comments must be considered. It is essential to document any meeting topics in writing when using this stakeholder method. It will always be important to comprehend how potential stakeholders might react to community participation. Everyone responds differently because they each have a unique viewpoint on the project and are not equally invested in or satisfied with it (</w:t>
      </w:r>
      <w:proofErr w:type="spellStart"/>
      <w:r w:rsidRPr="005509F9">
        <w:rPr>
          <w:rFonts w:ascii="Times New Roman" w:eastAsia="Times New Roman" w:hAnsi="Times New Roman" w:cs="Times New Roman"/>
          <w:color w:val="000000" w:themeColor="text1"/>
          <w:sz w:val="24"/>
          <w:szCs w:val="24"/>
        </w:rPr>
        <w:t>Mutti</w:t>
      </w:r>
      <w:proofErr w:type="spellEnd"/>
      <w:r w:rsidRPr="005509F9">
        <w:rPr>
          <w:rFonts w:ascii="Times New Roman" w:eastAsia="Times New Roman" w:hAnsi="Times New Roman" w:cs="Times New Roman"/>
          <w:color w:val="000000" w:themeColor="text1"/>
          <w:sz w:val="24"/>
          <w:szCs w:val="24"/>
        </w:rPr>
        <w:t xml:space="preserve"> et al., 2012).</w:t>
      </w:r>
    </w:p>
    <w:p w14:paraId="3C3475C9" w14:textId="456AA6FF" w:rsidR="4E25F7CF" w:rsidRPr="005509F9" w:rsidRDefault="4E25F7CF" w:rsidP="005509F9">
      <w:pPr>
        <w:spacing w:line="360" w:lineRule="auto"/>
        <w:jc w:val="both"/>
        <w:rPr>
          <w:rFonts w:ascii="Times New Roman" w:eastAsia="Times New Roman" w:hAnsi="Times New Roman" w:cs="Times New Roman"/>
          <w:color w:val="000000" w:themeColor="text1"/>
          <w:sz w:val="24"/>
          <w:szCs w:val="24"/>
        </w:rPr>
      </w:pPr>
      <w:r w:rsidRPr="005509F9">
        <w:rPr>
          <w:rFonts w:ascii="Times New Roman" w:eastAsia="Times New Roman" w:hAnsi="Times New Roman" w:cs="Times New Roman"/>
          <w:color w:val="000000" w:themeColor="text1"/>
          <w:sz w:val="24"/>
          <w:szCs w:val="24"/>
        </w:rPr>
        <w:t xml:space="preserve">Determining potential triggers, such as intrusive or dusty building operations, effects on emotions of pleasure, and changes to their typical routines, is vital </w:t>
      </w:r>
      <w:proofErr w:type="gramStart"/>
      <w:r w:rsidRPr="005509F9">
        <w:rPr>
          <w:rFonts w:ascii="Times New Roman" w:eastAsia="Times New Roman" w:hAnsi="Times New Roman" w:cs="Times New Roman"/>
          <w:color w:val="000000" w:themeColor="text1"/>
          <w:sz w:val="24"/>
          <w:szCs w:val="24"/>
        </w:rPr>
        <w:t>in order to</w:t>
      </w:r>
      <w:proofErr w:type="gramEnd"/>
      <w:r w:rsidRPr="005509F9">
        <w:rPr>
          <w:rFonts w:ascii="Times New Roman" w:eastAsia="Times New Roman" w:hAnsi="Times New Roman" w:cs="Times New Roman"/>
          <w:color w:val="000000" w:themeColor="text1"/>
          <w:sz w:val="24"/>
          <w:szCs w:val="24"/>
        </w:rPr>
        <w:t xml:space="preserve"> create various mitigation strategies that will help manage the situation if an issue arises and can be reduced. It is crucial to consider the various stakeholder teams when deciding whether focused marketing engagement, reduced risk, and an alternative solution are required. To successfully complete the project, one must engage the neighbourhood </w:t>
      </w:r>
      <w:proofErr w:type="gramStart"/>
      <w:r w:rsidRPr="005509F9">
        <w:rPr>
          <w:rFonts w:ascii="Times New Roman" w:eastAsia="Times New Roman" w:hAnsi="Times New Roman" w:cs="Times New Roman"/>
          <w:color w:val="000000" w:themeColor="text1"/>
          <w:sz w:val="24"/>
          <w:szCs w:val="24"/>
        </w:rPr>
        <w:t>in order to</w:t>
      </w:r>
      <w:proofErr w:type="gramEnd"/>
      <w:r w:rsidRPr="005509F9">
        <w:rPr>
          <w:rFonts w:ascii="Times New Roman" w:eastAsia="Times New Roman" w:hAnsi="Times New Roman" w:cs="Times New Roman"/>
          <w:color w:val="000000" w:themeColor="text1"/>
          <w:sz w:val="24"/>
          <w:szCs w:val="24"/>
        </w:rPr>
        <w:t xml:space="preserve"> compel change, resolve stakeholder conflicts, and establish enduring stakeholder connections like Windrush. To manage the project effectively, Windrush needs to build relationships with the important players. The conversations must be thoroughly documented. Making use of the benefits of effective stakeholder management is essential. Additionally, it's important to keep an eye out for changes in opinion and modify the engagement strategy as appropriate. </w:t>
      </w:r>
    </w:p>
    <w:p w14:paraId="45D56674" w14:textId="1A2376FD" w:rsidR="4E25F7CF" w:rsidRPr="00BA5337" w:rsidRDefault="4E25F7CF" w:rsidP="00BA5337">
      <w:pPr>
        <w:pStyle w:val="Heading1"/>
        <w:rPr>
          <w:rFonts w:ascii="Times New Roman" w:eastAsia="Times New Roman" w:hAnsi="Times New Roman" w:cs="Times New Roman"/>
          <w:b/>
          <w:bCs/>
          <w:color w:val="000000" w:themeColor="text1"/>
          <w:sz w:val="28"/>
          <w:szCs w:val="28"/>
        </w:rPr>
      </w:pPr>
      <w:r w:rsidRPr="00BA5337">
        <w:rPr>
          <w:rFonts w:ascii="Times New Roman" w:eastAsia="Times New Roman" w:hAnsi="Times New Roman" w:cs="Times New Roman"/>
          <w:b/>
          <w:bCs/>
          <w:color w:val="000000" w:themeColor="text1"/>
          <w:sz w:val="28"/>
          <w:szCs w:val="28"/>
        </w:rPr>
        <w:t>Conclusion</w:t>
      </w:r>
    </w:p>
    <w:p w14:paraId="10923834" w14:textId="06C3BC07" w:rsidR="4E25F7CF" w:rsidRPr="005509F9" w:rsidRDefault="4E25F7CF" w:rsidP="005509F9">
      <w:pPr>
        <w:spacing w:line="360" w:lineRule="auto"/>
        <w:jc w:val="both"/>
        <w:rPr>
          <w:rFonts w:ascii="Times New Roman" w:eastAsia="Times New Roman" w:hAnsi="Times New Roman" w:cs="Times New Roman"/>
          <w:color w:val="000000" w:themeColor="text1"/>
          <w:sz w:val="24"/>
          <w:szCs w:val="24"/>
        </w:rPr>
      </w:pPr>
      <w:r w:rsidRPr="005509F9">
        <w:rPr>
          <w:rFonts w:ascii="Times New Roman" w:eastAsia="Times New Roman" w:hAnsi="Times New Roman" w:cs="Times New Roman"/>
          <w:color w:val="000000" w:themeColor="text1"/>
          <w:sz w:val="24"/>
          <w:szCs w:val="24"/>
        </w:rPr>
        <w:t xml:space="preserve">Effective problem-solving when it arises is a crucial component of project management for community initiatives. Stakeholder engagement techniques can be applied in a variety of ways, as evidenced by the way Windrush employed this variety of strategies to incorporate stakeholders in suggestions for enhancing community programming. It is conceivable to draw the conclusion that good community participation results from outstanding communication. </w:t>
      </w:r>
      <w:proofErr w:type="gramStart"/>
      <w:r w:rsidRPr="005509F9">
        <w:rPr>
          <w:rFonts w:ascii="Times New Roman" w:eastAsia="Times New Roman" w:hAnsi="Times New Roman" w:cs="Times New Roman"/>
          <w:color w:val="000000" w:themeColor="text1"/>
          <w:sz w:val="24"/>
          <w:szCs w:val="24"/>
        </w:rPr>
        <w:t>In order to</w:t>
      </w:r>
      <w:proofErr w:type="gramEnd"/>
      <w:r w:rsidRPr="005509F9">
        <w:rPr>
          <w:rFonts w:ascii="Times New Roman" w:eastAsia="Times New Roman" w:hAnsi="Times New Roman" w:cs="Times New Roman"/>
          <w:color w:val="000000" w:themeColor="text1"/>
          <w:sz w:val="24"/>
          <w:szCs w:val="24"/>
        </w:rPr>
        <w:t xml:space="preserve"> effectively communicate with the important program stakeholders, Windrush took care to establish who they were. Windrush had to work hard to win the trust of the many stakeholders by coming up with clever solutions that aided in maintaining positive relationships with them. Windrush was able to successfully implement the community engagement plan and involve the </w:t>
      </w:r>
      <w:proofErr w:type="gramStart"/>
      <w:r w:rsidRPr="005509F9">
        <w:rPr>
          <w:rFonts w:ascii="Times New Roman" w:eastAsia="Times New Roman" w:hAnsi="Times New Roman" w:cs="Times New Roman"/>
          <w:color w:val="000000" w:themeColor="text1"/>
          <w:sz w:val="24"/>
          <w:szCs w:val="24"/>
        </w:rPr>
        <w:t>local residents</w:t>
      </w:r>
      <w:proofErr w:type="gramEnd"/>
      <w:r w:rsidRPr="005509F9">
        <w:rPr>
          <w:rFonts w:ascii="Times New Roman" w:eastAsia="Times New Roman" w:hAnsi="Times New Roman" w:cs="Times New Roman"/>
          <w:color w:val="000000" w:themeColor="text1"/>
          <w:sz w:val="24"/>
          <w:szCs w:val="24"/>
        </w:rPr>
        <w:t xml:space="preserve"> in the overall decision-making. The community effort was successful </w:t>
      </w:r>
      <w:proofErr w:type="gramStart"/>
      <w:r w:rsidRPr="005509F9">
        <w:rPr>
          <w:rFonts w:ascii="Times New Roman" w:eastAsia="Times New Roman" w:hAnsi="Times New Roman" w:cs="Times New Roman"/>
          <w:color w:val="000000" w:themeColor="text1"/>
          <w:sz w:val="24"/>
          <w:szCs w:val="24"/>
        </w:rPr>
        <w:t>as a result of</w:t>
      </w:r>
      <w:proofErr w:type="gramEnd"/>
      <w:r w:rsidRPr="005509F9">
        <w:rPr>
          <w:rFonts w:ascii="Times New Roman" w:eastAsia="Times New Roman" w:hAnsi="Times New Roman" w:cs="Times New Roman"/>
          <w:color w:val="000000" w:themeColor="text1"/>
          <w:sz w:val="24"/>
          <w:szCs w:val="24"/>
        </w:rPr>
        <w:t xml:space="preserve"> this.</w:t>
      </w:r>
    </w:p>
    <w:p w14:paraId="7A864F87" w14:textId="77777777" w:rsidR="002F6F87" w:rsidRDefault="002F6F87">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097B00F4" w14:textId="5106520B" w:rsidR="4E25F7CF" w:rsidRPr="00BA5337" w:rsidRDefault="4E25F7CF" w:rsidP="00BA5337">
      <w:pPr>
        <w:pStyle w:val="Heading1"/>
        <w:rPr>
          <w:rFonts w:ascii="Times New Roman" w:eastAsia="Times New Roman" w:hAnsi="Times New Roman" w:cs="Times New Roman"/>
          <w:b/>
          <w:bCs/>
          <w:color w:val="000000" w:themeColor="text1"/>
          <w:sz w:val="28"/>
          <w:szCs w:val="28"/>
        </w:rPr>
      </w:pPr>
      <w:r w:rsidRPr="00BA5337">
        <w:rPr>
          <w:rFonts w:ascii="Times New Roman" w:eastAsia="Times New Roman" w:hAnsi="Times New Roman" w:cs="Times New Roman"/>
          <w:b/>
          <w:bCs/>
          <w:color w:val="000000" w:themeColor="text1"/>
          <w:sz w:val="28"/>
          <w:szCs w:val="28"/>
        </w:rPr>
        <w:t>References</w:t>
      </w:r>
    </w:p>
    <w:p w14:paraId="56C8537C" w14:textId="77777777" w:rsidR="002F6F87" w:rsidRPr="005509F9" w:rsidRDefault="002F6F87" w:rsidP="002F6F87">
      <w:pPr>
        <w:spacing w:line="360" w:lineRule="auto"/>
        <w:ind w:left="720" w:hanging="720"/>
        <w:jc w:val="both"/>
        <w:rPr>
          <w:rFonts w:ascii="Times New Roman" w:eastAsia="Times New Roman" w:hAnsi="Times New Roman" w:cs="Times New Roman"/>
          <w:color w:val="000000" w:themeColor="text1"/>
          <w:sz w:val="24"/>
          <w:szCs w:val="24"/>
          <w:lang w:val="en-US"/>
        </w:rPr>
      </w:pPr>
      <w:r w:rsidRPr="005509F9">
        <w:rPr>
          <w:rFonts w:ascii="Times New Roman" w:eastAsia="Times New Roman" w:hAnsi="Times New Roman" w:cs="Times New Roman"/>
          <w:color w:val="000000" w:themeColor="text1"/>
          <w:sz w:val="24"/>
          <w:szCs w:val="24"/>
          <w:lang w:val="en-US"/>
        </w:rPr>
        <w:t xml:space="preserve">Bal, M., </w:t>
      </w:r>
      <w:proofErr w:type="spellStart"/>
      <w:r w:rsidRPr="005509F9">
        <w:rPr>
          <w:rFonts w:ascii="Times New Roman" w:eastAsia="Times New Roman" w:hAnsi="Times New Roman" w:cs="Times New Roman"/>
          <w:color w:val="000000" w:themeColor="text1"/>
          <w:sz w:val="24"/>
          <w:szCs w:val="24"/>
          <w:lang w:val="en-US"/>
        </w:rPr>
        <w:t>Bryde</w:t>
      </w:r>
      <w:proofErr w:type="spellEnd"/>
      <w:r w:rsidRPr="005509F9">
        <w:rPr>
          <w:rFonts w:ascii="Times New Roman" w:eastAsia="Times New Roman" w:hAnsi="Times New Roman" w:cs="Times New Roman"/>
          <w:color w:val="000000" w:themeColor="text1"/>
          <w:sz w:val="24"/>
          <w:szCs w:val="24"/>
          <w:lang w:val="en-US"/>
        </w:rPr>
        <w:t xml:space="preserve">, D., Fearon, D., &amp; Ochieng, E. (2013). Stakeholder engagement: Achieving sustainability in the construction sector. Sustainability, 5(2), 695-710.  </w:t>
      </w:r>
    </w:p>
    <w:p w14:paraId="5E37B1FC" w14:textId="77777777" w:rsidR="002F6F87" w:rsidRPr="005509F9" w:rsidRDefault="002F6F87" w:rsidP="002F6F87">
      <w:pPr>
        <w:spacing w:line="360" w:lineRule="auto"/>
        <w:ind w:left="720" w:hanging="720"/>
        <w:jc w:val="both"/>
        <w:rPr>
          <w:rFonts w:ascii="Times New Roman" w:eastAsia="Times New Roman" w:hAnsi="Times New Roman" w:cs="Times New Roman"/>
          <w:color w:val="000000" w:themeColor="text1"/>
          <w:sz w:val="24"/>
          <w:szCs w:val="24"/>
          <w:lang w:val="en-US"/>
        </w:rPr>
      </w:pPr>
      <w:proofErr w:type="spellStart"/>
      <w:r w:rsidRPr="005509F9">
        <w:rPr>
          <w:rFonts w:ascii="Times New Roman" w:eastAsia="Times New Roman" w:hAnsi="Times New Roman" w:cs="Times New Roman"/>
          <w:color w:val="000000" w:themeColor="text1"/>
          <w:sz w:val="24"/>
          <w:szCs w:val="24"/>
          <w:lang w:val="en-US"/>
        </w:rPr>
        <w:t>Berkes</w:t>
      </w:r>
      <w:proofErr w:type="spellEnd"/>
      <w:r w:rsidRPr="005509F9">
        <w:rPr>
          <w:rFonts w:ascii="Times New Roman" w:eastAsia="Times New Roman" w:hAnsi="Times New Roman" w:cs="Times New Roman"/>
          <w:color w:val="000000" w:themeColor="text1"/>
          <w:sz w:val="24"/>
          <w:szCs w:val="24"/>
          <w:lang w:val="en-US"/>
        </w:rPr>
        <w:t xml:space="preserve">, F., &amp; Ross, H. (2013). Community resilience: toward an integrated approach. Society &amp; natural resources, 26(1), 5-20.  </w:t>
      </w:r>
    </w:p>
    <w:p w14:paraId="19B3E6A4" w14:textId="77777777" w:rsidR="002F6F87" w:rsidRPr="005509F9" w:rsidRDefault="002F6F87" w:rsidP="002F6F87">
      <w:pPr>
        <w:spacing w:line="360" w:lineRule="auto"/>
        <w:ind w:left="720" w:hanging="720"/>
        <w:jc w:val="both"/>
        <w:rPr>
          <w:rFonts w:ascii="Times New Roman" w:eastAsia="Times New Roman" w:hAnsi="Times New Roman" w:cs="Times New Roman"/>
          <w:color w:val="000000" w:themeColor="text1"/>
          <w:sz w:val="24"/>
          <w:szCs w:val="24"/>
          <w:lang w:val="en-US"/>
        </w:rPr>
      </w:pPr>
      <w:proofErr w:type="spellStart"/>
      <w:r w:rsidRPr="005509F9">
        <w:rPr>
          <w:rFonts w:ascii="Times New Roman" w:eastAsia="Times New Roman" w:hAnsi="Times New Roman" w:cs="Times New Roman"/>
          <w:color w:val="000000" w:themeColor="text1"/>
          <w:sz w:val="24"/>
          <w:szCs w:val="24"/>
          <w:lang w:val="en-US"/>
        </w:rPr>
        <w:t>Mutti</w:t>
      </w:r>
      <w:proofErr w:type="spellEnd"/>
      <w:r w:rsidRPr="005509F9">
        <w:rPr>
          <w:rFonts w:ascii="Times New Roman" w:eastAsia="Times New Roman" w:hAnsi="Times New Roman" w:cs="Times New Roman"/>
          <w:color w:val="000000" w:themeColor="text1"/>
          <w:sz w:val="24"/>
          <w:szCs w:val="24"/>
          <w:lang w:val="en-US"/>
        </w:rPr>
        <w:t xml:space="preserve">, D., Yakovleva, N., Vazquez-Brust, D., &amp; Di Marco, M. H. (2012). Corporate social responsibility in the mining industry: Perspectives from stakeholder groups in Argentina. Resources Policy, 37(2), 212-222.   </w:t>
      </w:r>
    </w:p>
    <w:p w14:paraId="25A3F01B" w14:textId="77777777" w:rsidR="002F6F87" w:rsidRPr="005509F9" w:rsidRDefault="002F6F87" w:rsidP="002F6F87">
      <w:pPr>
        <w:spacing w:line="360" w:lineRule="auto"/>
        <w:ind w:left="720" w:hanging="720"/>
        <w:jc w:val="both"/>
        <w:rPr>
          <w:rFonts w:ascii="Times New Roman" w:eastAsia="Times New Roman" w:hAnsi="Times New Roman" w:cs="Times New Roman"/>
          <w:color w:val="000000" w:themeColor="text1"/>
          <w:sz w:val="24"/>
          <w:szCs w:val="24"/>
          <w:lang w:val="en-US"/>
        </w:rPr>
      </w:pPr>
      <w:r w:rsidRPr="005509F9">
        <w:rPr>
          <w:rFonts w:ascii="Times New Roman" w:eastAsia="Times New Roman" w:hAnsi="Times New Roman" w:cs="Times New Roman"/>
          <w:color w:val="000000" w:themeColor="text1"/>
          <w:sz w:val="24"/>
          <w:szCs w:val="24"/>
          <w:lang w:val="en-US"/>
        </w:rPr>
        <w:t xml:space="preserve">Obar, J. A., </w:t>
      </w:r>
      <w:proofErr w:type="spellStart"/>
      <w:r w:rsidRPr="005509F9">
        <w:rPr>
          <w:rFonts w:ascii="Times New Roman" w:eastAsia="Times New Roman" w:hAnsi="Times New Roman" w:cs="Times New Roman"/>
          <w:color w:val="000000" w:themeColor="text1"/>
          <w:sz w:val="24"/>
          <w:szCs w:val="24"/>
          <w:lang w:val="en-US"/>
        </w:rPr>
        <w:t>Zube</w:t>
      </w:r>
      <w:proofErr w:type="spellEnd"/>
      <w:r w:rsidRPr="005509F9">
        <w:rPr>
          <w:rFonts w:ascii="Times New Roman" w:eastAsia="Times New Roman" w:hAnsi="Times New Roman" w:cs="Times New Roman"/>
          <w:color w:val="000000" w:themeColor="text1"/>
          <w:sz w:val="24"/>
          <w:szCs w:val="24"/>
          <w:lang w:val="en-US"/>
        </w:rPr>
        <w:t xml:space="preserve">, P., &amp; Lampe, C. (2012). Advocacy 2.0: An analysis of how advocacy groups in the United States perceive and use social media as tools for facilitating civic engagement and collective action. Journal of information policy, 2(1), 1-25. </w:t>
      </w:r>
    </w:p>
    <w:p w14:paraId="1D3EFD13" w14:textId="77777777" w:rsidR="002F6F87" w:rsidRPr="005509F9" w:rsidRDefault="002F6F87" w:rsidP="002F6F87">
      <w:pPr>
        <w:spacing w:line="360" w:lineRule="auto"/>
        <w:ind w:left="720" w:hanging="720"/>
        <w:jc w:val="both"/>
        <w:rPr>
          <w:rFonts w:ascii="Times New Roman" w:eastAsia="Times New Roman" w:hAnsi="Times New Roman" w:cs="Times New Roman"/>
          <w:color w:val="000000" w:themeColor="text1"/>
          <w:sz w:val="24"/>
          <w:szCs w:val="24"/>
        </w:rPr>
      </w:pPr>
      <w:proofErr w:type="spellStart"/>
      <w:r w:rsidRPr="005509F9">
        <w:rPr>
          <w:rFonts w:ascii="Times New Roman" w:eastAsia="Times New Roman" w:hAnsi="Times New Roman" w:cs="Times New Roman"/>
          <w:color w:val="000000" w:themeColor="text1"/>
          <w:sz w:val="24"/>
          <w:szCs w:val="24"/>
          <w:lang w:val="en-US"/>
        </w:rPr>
        <w:t>Prell</w:t>
      </w:r>
      <w:proofErr w:type="spellEnd"/>
      <w:r w:rsidRPr="005509F9">
        <w:rPr>
          <w:rFonts w:ascii="Times New Roman" w:eastAsia="Times New Roman" w:hAnsi="Times New Roman" w:cs="Times New Roman"/>
          <w:color w:val="000000" w:themeColor="text1"/>
          <w:sz w:val="24"/>
          <w:szCs w:val="24"/>
          <w:lang w:val="en-US"/>
        </w:rPr>
        <w:t xml:space="preserve">, C., </w:t>
      </w:r>
      <w:proofErr w:type="spellStart"/>
      <w:r w:rsidRPr="005509F9">
        <w:rPr>
          <w:rFonts w:ascii="Times New Roman" w:eastAsia="Times New Roman" w:hAnsi="Times New Roman" w:cs="Times New Roman"/>
          <w:color w:val="000000" w:themeColor="text1"/>
          <w:sz w:val="24"/>
          <w:szCs w:val="24"/>
          <w:lang w:val="en-US"/>
        </w:rPr>
        <w:t>Hubacek</w:t>
      </w:r>
      <w:proofErr w:type="spellEnd"/>
      <w:r w:rsidRPr="005509F9">
        <w:rPr>
          <w:rFonts w:ascii="Times New Roman" w:eastAsia="Times New Roman" w:hAnsi="Times New Roman" w:cs="Times New Roman"/>
          <w:color w:val="000000" w:themeColor="text1"/>
          <w:sz w:val="24"/>
          <w:szCs w:val="24"/>
          <w:lang w:val="en-US"/>
        </w:rPr>
        <w:t xml:space="preserve">, K., &amp; Reed, M. (2016). Stakeholder analysis and social network analysis in natural resource management. In Handbook of applied system science (pp. 367-383). Routledge. </w:t>
      </w:r>
    </w:p>
    <w:p w14:paraId="2117D5DB" w14:textId="5C51B136" w:rsidR="4E25F7CF" w:rsidRPr="005509F9" w:rsidRDefault="4E25F7CF" w:rsidP="005509F9">
      <w:pPr>
        <w:spacing w:line="360" w:lineRule="auto"/>
        <w:jc w:val="both"/>
        <w:rPr>
          <w:rFonts w:ascii="Times New Roman" w:eastAsia="Times New Roman" w:hAnsi="Times New Roman" w:cs="Times New Roman"/>
          <w:color w:val="000000" w:themeColor="text1"/>
          <w:sz w:val="24"/>
          <w:szCs w:val="24"/>
        </w:rPr>
      </w:pPr>
    </w:p>
    <w:p w14:paraId="4D04A864" w14:textId="2074276A" w:rsidR="4E25F7CF" w:rsidRPr="005509F9" w:rsidRDefault="4E25F7CF" w:rsidP="005509F9">
      <w:pPr>
        <w:spacing w:line="360" w:lineRule="auto"/>
        <w:jc w:val="both"/>
        <w:rPr>
          <w:rFonts w:ascii="Times New Roman" w:eastAsia="Times New Roman" w:hAnsi="Times New Roman" w:cs="Times New Roman"/>
          <w:color w:val="000000" w:themeColor="text1"/>
          <w:sz w:val="24"/>
          <w:szCs w:val="24"/>
        </w:rPr>
      </w:pPr>
    </w:p>
    <w:p w14:paraId="0F630983" w14:textId="1B995F21" w:rsidR="4E25F7CF" w:rsidRPr="005509F9" w:rsidRDefault="4E25F7CF" w:rsidP="005509F9">
      <w:pPr>
        <w:spacing w:line="360" w:lineRule="auto"/>
        <w:jc w:val="both"/>
        <w:rPr>
          <w:rFonts w:ascii="Times New Roman" w:eastAsia="Times New Roman" w:hAnsi="Times New Roman" w:cs="Times New Roman"/>
          <w:color w:val="000000" w:themeColor="text1"/>
          <w:sz w:val="24"/>
          <w:szCs w:val="24"/>
          <w:highlight w:val="yellow"/>
        </w:rPr>
      </w:pPr>
      <w:r w:rsidRPr="005509F9">
        <w:rPr>
          <w:rFonts w:ascii="Times New Roman" w:eastAsia="Times New Roman" w:hAnsi="Times New Roman" w:cs="Times New Roman"/>
          <w:color w:val="000000" w:themeColor="text1"/>
          <w:sz w:val="24"/>
          <w:szCs w:val="24"/>
        </w:rPr>
        <w:t xml:space="preserve"> </w:t>
      </w:r>
    </w:p>
    <w:sectPr w:rsidR="4E25F7CF" w:rsidRPr="005509F9" w:rsidSect="005935AC">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DE617" w14:textId="77777777" w:rsidR="00A26959" w:rsidRDefault="00A26959" w:rsidP="005935AC">
      <w:pPr>
        <w:spacing w:after="0" w:line="240" w:lineRule="auto"/>
      </w:pPr>
      <w:r>
        <w:separator/>
      </w:r>
    </w:p>
  </w:endnote>
  <w:endnote w:type="continuationSeparator" w:id="0">
    <w:p w14:paraId="4F759CD9" w14:textId="77777777" w:rsidR="00A26959" w:rsidRDefault="00A26959" w:rsidP="00593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154737"/>
      <w:docPartObj>
        <w:docPartGallery w:val="Page Numbers (Bottom of Page)"/>
        <w:docPartUnique/>
      </w:docPartObj>
    </w:sdtPr>
    <w:sdtEndPr>
      <w:rPr>
        <w:color w:val="7F7F7F" w:themeColor="background1" w:themeShade="7F"/>
        <w:spacing w:val="60"/>
      </w:rPr>
    </w:sdtEndPr>
    <w:sdtContent>
      <w:p w14:paraId="6CA1AF1A" w14:textId="2B32F839" w:rsidR="005935AC" w:rsidRDefault="005935A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C0322DD" w14:textId="77777777" w:rsidR="005935AC" w:rsidRDefault="00593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72B54" w14:textId="77777777" w:rsidR="00A26959" w:rsidRDefault="00A26959" w:rsidP="005935AC">
      <w:pPr>
        <w:spacing w:after="0" w:line="240" w:lineRule="auto"/>
      </w:pPr>
      <w:r>
        <w:separator/>
      </w:r>
    </w:p>
  </w:footnote>
  <w:footnote w:type="continuationSeparator" w:id="0">
    <w:p w14:paraId="2CAE8FAD" w14:textId="77777777" w:rsidR="00A26959" w:rsidRDefault="00A26959" w:rsidP="005935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6BBE41"/>
    <w:rsid w:val="002F6F87"/>
    <w:rsid w:val="004822A0"/>
    <w:rsid w:val="005509F9"/>
    <w:rsid w:val="005935AC"/>
    <w:rsid w:val="00915ADB"/>
    <w:rsid w:val="00A26959"/>
    <w:rsid w:val="00A93835"/>
    <w:rsid w:val="00BA5337"/>
    <w:rsid w:val="00C111EF"/>
    <w:rsid w:val="00E8211E"/>
    <w:rsid w:val="00ED50E4"/>
    <w:rsid w:val="1D6BBE41"/>
    <w:rsid w:val="4E25F7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BBE41"/>
  <w15:chartTrackingRefBased/>
  <w15:docId w15:val="{069FAFAE-D958-4DF5-A709-6483AF9C3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E25F7CF"/>
    <w:rPr>
      <w:lang w:val="en-GB"/>
    </w:rPr>
  </w:style>
  <w:style w:type="paragraph" w:styleId="Heading1">
    <w:name w:val="heading 1"/>
    <w:basedOn w:val="Normal"/>
    <w:next w:val="Normal"/>
    <w:link w:val="Heading1Char"/>
    <w:uiPriority w:val="9"/>
    <w:qFormat/>
    <w:rsid w:val="4E25F7CF"/>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4E25F7CF"/>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4E25F7CF"/>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4E25F7CF"/>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4E25F7CF"/>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4E25F7CF"/>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4E25F7CF"/>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4E25F7CF"/>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4E25F7CF"/>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4E25F7CF"/>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4E25F7CF"/>
    <w:rPr>
      <w:rFonts w:eastAsiaTheme="minorEastAsia"/>
      <w:color w:val="5A5A5A"/>
    </w:rPr>
  </w:style>
  <w:style w:type="paragraph" w:styleId="Quote">
    <w:name w:val="Quote"/>
    <w:basedOn w:val="Normal"/>
    <w:next w:val="Normal"/>
    <w:link w:val="QuoteChar"/>
    <w:uiPriority w:val="29"/>
    <w:qFormat/>
    <w:rsid w:val="4E25F7CF"/>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E25F7CF"/>
    <w:pPr>
      <w:spacing w:before="360" w:after="360"/>
      <w:ind w:left="864" w:right="864"/>
      <w:jc w:val="center"/>
    </w:pPr>
    <w:rPr>
      <w:i/>
      <w:iCs/>
      <w:color w:val="4472C4" w:themeColor="accent1"/>
    </w:rPr>
  </w:style>
  <w:style w:type="paragraph" w:styleId="ListParagraph">
    <w:name w:val="List Paragraph"/>
    <w:basedOn w:val="Normal"/>
    <w:uiPriority w:val="34"/>
    <w:qFormat/>
    <w:rsid w:val="4E25F7CF"/>
    <w:pPr>
      <w:ind w:left="720"/>
      <w:contextualSpacing/>
    </w:pPr>
  </w:style>
  <w:style w:type="character" w:customStyle="1" w:styleId="Heading1Char">
    <w:name w:val="Heading 1 Char"/>
    <w:basedOn w:val="DefaultParagraphFont"/>
    <w:link w:val="Heading1"/>
    <w:uiPriority w:val="9"/>
    <w:rsid w:val="4E25F7CF"/>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4E25F7CF"/>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4E25F7CF"/>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4E25F7CF"/>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4E25F7CF"/>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4E25F7CF"/>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4E25F7CF"/>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4E25F7CF"/>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4E25F7CF"/>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4E25F7CF"/>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4E25F7CF"/>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4E25F7CF"/>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4E25F7CF"/>
    <w:rPr>
      <w:i/>
      <w:iCs/>
      <w:noProof w:val="0"/>
      <w:color w:val="4472C4" w:themeColor="accent1"/>
      <w:lang w:val="en-GB"/>
    </w:rPr>
  </w:style>
  <w:style w:type="paragraph" w:styleId="TOC1">
    <w:name w:val="toc 1"/>
    <w:basedOn w:val="Normal"/>
    <w:next w:val="Normal"/>
    <w:uiPriority w:val="39"/>
    <w:unhideWhenUsed/>
    <w:rsid w:val="4E25F7CF"/>
    <w:pPr>
      <w:spacing w:after="100"/>
    </w:pPr>
  </w:style>
  <w:style w:type="paragraph" w:styleId="TOC2">
    <w:name w:val="toc 2"/>
    <w:basedOn w:val="Normal"/>
    <w:next w:val="Normal"/>
    <w:uiPriority w:val="39"/>
    <w:unhideWhenUsed/>
    <w:rsid w:val="4E25F7CF"/>
    <w:pPr>
      <w:spacing w:after="100"/>
      <w:ind w:left="220"/>
    </w:pPr>
  </w:style>
  <w:style w:type="paragraph" w:styleId="TOC3">
    <w:name w:val="toc 3"/>
    <w:basedOn w:val="Normal"/>
    <w:next w:val="Normal"/>
    <w:uiPriority w:val="39"/>
    <w:unhideWhenUsed/>
    <w:rsid w:val="4E25F7CF"/>
    <w:pPr>
      <w:spacing w:after="100"/>
      <w:ind w:left="440"/>
    </w:pPr>
  </w:style>
  <w:style w:type="paragraph" w:styleId="TOC4">
    <w:name w:val="toc 4"/>
    <w:basedOn w:val="Normal"/>
    <w:next w:val="Normal"/>
    <w:uiPriority w:val="39"/>
    <w:unhideWhenUsed/>
    <w:rsid w:val="4E25F7CF"/>
    <w:pPr>
      <w:spacing w:after="100"/>
      <w:ind w:left="660"/>
    </w:pPr>
  </w:style>
  <w:style w:type="paragraph" w:styleId="TOC5">
    <w:name w:val="toc 5"/>
    <w:basedOn w:val="Normal"/>
    <w:next w:val="Normal"/>
    <w:uiPriority w:val="39"/>
    <w:unhideWhenUsed/>
    <w:rsid w:val="4E25F7CF"/>
    <w:pPr>
      <w:spacing w:after="100"/>
      <w:ind w:left="880"/>
    </w:pPr>
  </w:style>
  <w:style w:type="paragraph" w:styleId="TOC6">
    <w:name w:val="toc 6"/>
    <w:basedOn w:val="Normal"/>
    <w:next w:val="Normal"/>
    <w:uiPriority w:val="39"/>
    <w:unhideWhenUsed/>
    <w:rsid w:val="4E25F7CF"/>
    <w:pPr>
      <w:spacing w:after="100"/>
      <w:ind w:left="1100"/>
    </w:pPr>
  </w:style>
  <w:style w:type="paragraph" w:styleId="TOC7">
    <w:name w:val="toc 7"/>
    <w:basedOn w:val="Normal"/>
    <w:next w:val="Normal"/>
    <w:uiPriority w:val="39"/>
    <w:unhideWhenUsed/>
    <w:rsid w:val="4E25F7CF"/>
    <w:pPr>
      <w:spacing w:after="100"/>
      <w:ind w:left="1320"/>
    </w:pPr>
  </w:style>
  <w:style w:type="paragraph" w:styleId="TOC8">
    <w:name w:val="toc 8"/>
    <w:basedOn w:val="Normal"/>
    <w:next w:val="Normal"/>
    <w:uiPriority w:val="39"/>
    <w:unhideWhenUsed/>
    <w:rsid w:val="4E25F7CF"/>
    <w:pPr>
      <w:spacing w:after="100"/>
      <w:ind w:left="1540"/>
    </w:pPr>
  </w:style>
  <w:style w:type="paragraph" w:styleId="TOC9">
    <w:name w:val="toc 9"/>
    <w:basedOn w:val="Normal"/>
    <w:next w:val="Normal"/>
    <w:uiPriority w:val="39"/>
    <w:unhideWhenUsed/>
    <w:rsid w:val="4E25F7CF"/>
    <w:pPr>
      <w:spacing w:after="100"/>
      <w:ind w:left="1760"/>
    </w:pPr>
  </w:style>
  <w:style w:type="paragraph" w:styleId="EndnoteText">
    <w:name w:val="endnote text"/>
    <w:basedOn w:val="Normal"/>
    <w:link w:val="EndnoteTextChar"/>
    <w:uiPriority w:val="99"/>
    <w:semiHidden/>
    <w:unhideWhenUsed/>
    <w:rsid w:val="4E25F7CF"/>
    <w:pPr>
      <w:spacing w:after="0"/>
    </w:pPr>
    <w:rPr>
      <w:sz w:val="20"/>
      <w:szCs w:val="20"/>
    </w:rPr>
  </w:style>
  <w:style w:type="character" w:customStyle="1" w:styleId="EndnoteTextChar">
    <w:name w:val="Endnote Text Char"/>
    <w:basedOn w:val="DefaultParagraphFont"/>
    <w:link w:val="EndnoteText"/>
    <w:uiPriority w:val="99"/>
    <w:semiHidden/>
    <w:rsid w:val="4E25F7CF"/>
    <w:rPr>
      <w:noProof w:val="0"/>
      <w:sz w:val="20"/>
      <w:szCs w:val="20"/>
      <w:lang w:val="en-GB"/>
    </w:rPr>
  </w:style>
  <w:style w:type="paragraph" w:styleId="Footer">
    <w:name w:val="footer"/>
    <w:basedOn w:val="Normal"/>
    <w:link w:val="FooterChar"/>
    <w:uiPriority w:val="99"/>
    <w:unhideWhenUsed/>
    <w:rsid w:val="4E25F7CF"/>
    <w:pPr>
      <w:tabs>
        <w:tab w:val="center" w:pos="4680"/>
        <w:tab w:val="right" w:pos="9360"/>
      </w:tabs>
      <w:spacing w:after="0"/>
    </w:pPr>
  </w:style>
  <w:style w:type="character" w:customStyle="1" w:styleId="FooterChar">
    <w:name w:val="Footer Char"/>
    <w:basedOn w:val="DefaultParagraphFont"/>
    <w:link w:val="Footer"/>
    <w:uiPriority w:val="99"/>
    <w:rsid w:val="4E25F7CF"/>
    <w:rPr>
      <w:noProof w:val="0"/>
      <w:lang w:val="en-GB"/>
    </w:rPr>
  </w:style>
  <w:style w:type="paragraph" w:styleId="FootnoteText">
    <w:name w:val="footnote text"/>
    <w:basedOn w:val="Normal"/>
    <w:link w:val="FootnoteTextChar"/>
    <w:uiPriority w:val="99"/>
    <w:semiHidden/>
    <w:unhideWhenUsed/>
    <w:rsid w:val="4E25F7CF"/>
    <w:pPr>
      <w:spacing w:after="0"/>
    </w:pPr>
    <w:rPr>
      <w:sz w:val="20"/>
      <w:szCs w:val="20"/>
    </w:rPr>
  </w:style>
  <w:style w:type="character" w:customStyle="1" w:styleId="FootnoteTextChar">
    <w:name w:val="Footnote Text Char"/>
    <w:basedOn w:val="DefaultParagraphFont"/>
    <w:link w:val="FootnoteText"/>
    <w:uiPriority w:val="99"/>
    <w:semiHidden/>
    <w:rsid w:val="4E25F7CF"/>
    <w:rPr>
      <w:noProof w:val="0"/>
      <w:sz w:val="20"/>
      <w:szCs w:val="20"/>
      <w:lang w:val="en-GB"/>
    </w:rPr>
  </w:style>
  <w:style w:type="paragraph" w:styleId="Header">
    <w:name w:val="header"/>
    <w:basedOn w:val="Normal"/>
    <w:link w:val="HeaderChar"/>
    <w:uiPriority w:val="99"/>
    <w:unhideWhenUsed/>
    <w:rsid w:val="4E25F7CF"/>
    <w:pPr>
      <w:tabs>
        <w:tab w:val="center" w:pos="4680"/>
        <w:tab w:val="right" w:pos="9360"/>
      </w:tabs>
      <w:spacing w:after="0"/>
    </w:pPr>
  </w:style>
  <w:style w:type="character" w:customStyle="1" w:styleId="HeaderChar">
    <w:name w:val="Header Char"/>
    <w:basedOn w:val="DefaultParagraphFont"/>
    <w:link w:val="Header"/>
    <w:uiPriority w:val="99"/>
    <w:rsid w:val="4E25F7CF"/>
    <w:rPr>
      <w:noProof w:val="0"/>
      <w:lang w:val="en-GB"/>
    </w:rPr>
  </w:style>
  <w:style w:type="paragraph" w:styleId="TOCHeading">
    <w:name w:val="TOC Heading"/>
    <w:basedOn w:val="Heading1"/>
    <w:next w:val="Normal"/>
    <w:uiPriority w:val="39"/>
    <w:unhideWhenUsed/>
    <w:qFormat/>
    <w:rsid w:val="00915ADB"/>
    <w:pPr>
      <w:keepLines/>
      <w:outlineLvl w:val="9"/>
    </w:pPr>
    <w:rPr>
      <w:lang w:val="en-US"/>
    </w:rPr>
  </w:style>
  <w:style w:type="character" w:styleId="Hyperlink">
    <w:name w:val="Hyperlink"/>
    <w:basedOn w:val="DefaultParagraphFont"/>
    <w:uiPriority w:val="99"/>
    <w:unhideWhenUsed/>
    <w:rsid w:val="00915A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14A060-91B8-4D62-8303-1E85DBDE7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1986</Words>
  <Characters>11326</Characters>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2023-01-09T16:25:00Z</dcterms:created>
  <dcterms:modified xsi:type="dcterms:W3CDTF">2023-01-09T16:25:00Z</dcterms:modified>
</cp:coreProperties>
</file>