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17306027"/>
        <w:docPartObj>
          <w:docPartGallery w:val="Cover Pages"/>
          <w:docPartUnique/>
        </w:docPartObj>
      </w:sdtPr>
      <w:sdtEndPr>
        <w:rPr>
          <w:rFonts w:ascii="Arial" w:hAnsi="Arial" w:cs="Arial"/>
          <w:b/>
          <w:bCs/>
          <w:sz w:val="24"/>
          <w:szCs w:val="24"/>
          <w:u w:val="single"/>
        </w:rPr>
      </w:sdtEndPr>
      <w:sdtContent>
        <w:p w14:paraId="18C45D10" w14:textId="0BC605E4" w:rsidR="006E7FEC" w:rsidRDefault="006E7FEC">
          <w:r>
            <w:rPr>
              <w:noProof/>
            </w:rPr>
            <mc:AlternateContent>
              <mc:Choice Requires="wpg">
                <w:drawing>
                  <wp:anchor distT="0" distB="0" distL="114300" distR="114300" simplePos="0" relativeHeight="251659264" behindDoc="1" locked="0" layoutInCell="1" allowOverlap="1" wp14:anchorId="4032E2AA" wp14:editId="7B2E61E8">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89EC068" w14:textId="3027DC1D" w:rsidR="006E7FEC" w:rsidRDefault="00F4576F">
                                      <w:pPr>
                                        <w:pStyle w:val="NoSpacing"/>
                                        <w:spacing w:before="120"/>
                                        <w:jc w:val="center"/>
                                        <w:rPr>
                                          <w:color w:val="FFFFFF" w:themeColor="background1"/>
                                        </w:rPr>
                                      </w:pPr>
                                      <w:r>
                                        <w:rPr>
                                          <w:color w:val="FFFFFF" w:themeColor="background1"/>
                                        </w:rPr>
                                        <w:t>na5imamin1@outlook.com</w:t>
                                      </w:r>
                                    </w:p>
                                  </w:sdtContent>
                                </w:sdt>
                                <w:p w14:paraId="6D4825CD" w14:textId="6C86ABCE" w:rsidR="006E7FEC" w:rsidRDefault="00E673F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F4576F">
                                        <w:rPr>
                                          <w:caps/>
                                          <w:color w:val="FFFFFF" w:themeColor="background1"/>
                                        </w:rPr>
                                        <w:t>COMPLETED BY: NAZIM AMIN</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000000" w:themeColor="text1"/>
                                      <w:sz w:val="44"/>
                                      <w:szCs w:val="44"/>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343241D" w14:textId="74471F88" w:rsidR="006E7FEC" w:rsidRPr="00F4576F" w:rsidRDefault="00E673F6">
                                      <w:pPr>
                                        <w:pStyle w:val="NoSpacing"/>
                                        <w:jc w:val="center"/>
                                        <w:rPr>
                                          <w:rFonts w:ascii="Arial" w:eastAsiaTheme="majorEastAsia" w:hAnsi="Arial" w:cs="Arial"/>
                                          <w:caps/>
                                          <w:color w:val="000000" w:themeColor="text1"/>
                                          <w:sz w:val="44"/>
                                          <w:szCs w:val="44"/>
                                        </w:rPr>
                                      </w:pPr>
                                      <w:r>
                                        <w:rPr>
                                          <w:rFonts w:ascii="Arial" w:eastAsiaTheme="majorEastAsia" w:hAnsi="Arial" w:cs="Arial"/>
                                          <w:caps/>
                                          <w:color w:val="000000" w:themeColor="text1"/>
                                          <w:sz w:val="44"/>
                                          <w:szCs w:val="44"/>
                                        </w:rPr>
                                        <w:t xml:space="preserve">LEGAL </w:t>
                                      </w:r>
                                      <w:proofErr w:type="gramStart"/>
                                      <w:r>
                                        <w:rPr>
                                          <w:rFonts w:ascii="Arial" w:eastAsiaTheme="majorEastAsia" w:hAnsi="Arial" w:cs="Arial"/>
                                          <w:caps/>
                                          <w:color w:val="000000" w:themeColor="text1"/>
                                          <w:sz w:val="44"/>
                                          <w:szCs w:val="44"/>
                                        </w:rPr>
                                        <w:t>PROCESS :BMLW</w:t>
                                      </w:r>
                                      <w:proofErr w:type="gramEnd"/>
                                      <w:r>
                                        <w:rPr>
                                          <w:rFonts w:ascii="Arial" w:eastAsiaTheme="majorEastAsia" w:hAnsi="Arial" w:cs="Arial"/>
                                          <w:caps/>
                                          <w:color w:val="000000" w:themeColor="text1"/>
                                          <w:sz w:val="44"/>
                                          <w:szCs w:val="44"/>
                                        </w:rPr>
                                        <w:t>400</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032E2AA"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89EC068" w14:textId="3027DC1D" w:rsidR="006E7FEC" w:rsidRDefault="00F4576F">
                                <w:pPr>
                                  <w:pStyle w:val="NoSpacing"/>
                                  <w:spacing w:before="120"/>
                                  <w:jc w:val="center"/>
                                  <w:rPr>
                                    <w:color w:val="FFFFFF" w:themeColor="background1"/>
                                  </w:rPr>
                                </w:pPr>
                                <w:r>
                                  <w:rPr>
                                    <w:color w:val="FFFFFF" w:themeColor="background1"/>
                                  </w:rPr>
                                  <w:t>na5imamin1@outlook.com</w:t>
                                </w:r>
                              </w:p>
                            </w:sdtContent>
                          </w:sdt>
                          <w:p w14:paraId="6D4825CD" w14:textId="6C86ABCE" w:rsidR="006E7FEC" w:rsidRDefault="00E673F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F4576F">
                                  <w:rPr>
                                    <w:caps/>
                                    <w:color w:val="FFFFFF" w:themeColor="background1"/>
                                  </w:rPr>
                                  <w:t>COMPLETED BY: NAZIM AMIN</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caps/>
                                <w:color w:val="000000" w:themeColor="text1"/>
                                <w:sz w:val="44"/>
                                <w:szCs w:val="44"/>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343241D" w14:textId="74471F88" w:rsidR="006E7FEC" w:rsidRPr="00F4576F" w:rsidRDefault="00E673F6">
                                <w:pPr>
                                  <w:pStyle w:val="NoSpacing"/>
                                  <w:jc w:val="center"/>
                                  <w:rPr>
                                    <w:rFonts w:ascii="Arial" w:eastAsiaTheme="majorEastAsia" w:hAnsi="Arial" w:cs="Arial"/>
                                    <w:caps/>
                                    <w:color w:val="000000" w:themeColor="text1"/>
                                    <w:sz w:val="44"/>
                                    <w:szCs w:val="44"/>
                                  </w:rPr>
                                </w:pPr>
                                <w:r>
                                  <w:rPr>
                                    <w:rFonts w:ascii="Arial" w:eastAsiaTheme="majorEastAsia" w:hAnsi="Arial" w:cs="Arial"/>
                                    <w:caps/>
                                    <w:color w:val="000000" w:themeColor="text1"/>
                                    <w:sz w:val="44"/>
                                    <w:szCs w:val="44"/>
                                  </w:rPr>
                                  <w:t xml:space="preserve">LEGAL </w:t>
                                </w:r>
                                <w:proofErr w:type="gramStart"/>
                                <w:r>
                                  <w:rPr>
                                    <w:rFonts w:ascii="Arial" w:eastAsiaTheme="majorEastAsia" w:hAnsi="Arial" w:cs="Arial"/>
                                    <w:caps/>
                                    <w:color w:val="000000" w:themeColor="text1"/>
                                    <w:sz w:val="44"/>
                                    <w:szCs w:val="44"/>
                                  </w:rPr>
                                  <w:t>PROCESS :BMLW</w:t>
                                </w:r>
                                <w:proofErr w:type="gramEnd"/>
                                <w:r>
                                  <w:rPr>
                                    <w:rFonts w:ascii="Arial" w:eastAsiaTheme="majorEastAsia" w:hAnsi="Arial" w:cs="Arial"/>
                                    <w:caps/>
                                    <w:color w:val="000000" w:themeColor="text1"/>
                                    <w:sz w:val="44"/>
                                    <w:szCs w:val="44"/>
                                  </w:rPr>
                                  <w:t>400</w:t>
                                </w:r>
                              </w:p>
                            </w:sdtContent>
                          </w:sdt>
                        </w:txbxContent>
                      </v:textbox>
                    </v:shape>
                    <w10:wrap anchorx="page" anchory="page"/>
                  </v:group>
                </w:pict>
              </mc:Fallback>
            </mc:AlternateContent>
          </w:r>
        </w:p>
        <w:p w14:paraId="66E56633" w14:textId="3D6EEC6E" w:rsidR="006E7FEC" w:rsidRDefault="006E7FEC">
          <w:pPr>
            <w:rPr>
              <w:rFonts w:ascii="Arial" w:hAnsi="Arial" w:cs="Arial"/>
              <w:b/>
              <w:bCs/>
              <w:sz w:val="24"/>
              <w:szCs w:val="24"/>
              <w:u w:val="single"/>
            </w:rPr>
          </w:pPr>
          <w:r>
            <w:rPr>
              <w:rFonts w:ascii="Arial" w:hAnsi="Arial" w:cs="Arial"/>
              <w:b/>
              <w:bCs/>
              <w:sz w:val="24"/>
              <w:szCs w:val="24"/>
              <w:u w:val="single"/>
            </w:rPr>
            <w:br w:type="page"/>
          </w:r>
        </w:p>
      </w:sdtContent>
    </w:sdt>
    <w:p w14:paraId="4638FE5D" w14:textId="77777777" w:rsidR="007A274A" w:rsidRDefault="007A274A" w:rsidP="00A63E5A">
      <w:pPr>
        <w:jc w:val="center"/>
        <w:rPr>
          <w:rFonts w:ascii="Times New Roman" w:hAnsi="Times New Roman" w:cs="Times New Roman"/>
          <w:b/>
          <w:bCs/>
          <w:sz w:val="24"/>
          <w:szCs w:val="24"/>
        </w:rPr>
      </w:pPr>
    </w:p>
    <w:p w14:paraId="3ED3AAFD" w14:textId="77777777" w:rsidR="007A274A" w:rsidRDefault="007A274A" w:rsidP="00A63E5A">
      <w:pPr>
        <w:jc w:val="center"/>
        <w:rPr>
          <w:rFonts w:ascii="Times New Roman" w:hAnsi="Times New Roman" w:cs="Times New Roman"/>
          <w:b/>
          <w:bCs/>
          <w:sz w:val="24"/>
          <w:szCs w:val="24"/>
        </w:rPr>
      </w:pPr>
    </w:p>
    <w:p w14:paraId="7655905D" w14:textId="77777777" w:rsidR="007A274A" w:rsidRDefault="007A274A" w:rsidP="00A63E5A">
      <w:pPr>
        <w:jc w:val="center"/>
        <w:rPr>
          <w:rFonts w:ascii="Times New Roman" w:hAnsi="Times New Roman" w:cs="Times New Roman"/>
          <w:b/>
          <w:bCs/>
          <w:sz w:val="24"/>
          <w:szCs w:val="24"/>
        </w:rPr>
      </w:pPr>
    </w:p>
    <w:p w14:paraId="77FF1E23" w14:textId="77777777" w:rsidR="007A274A" w:rsidRDefault="007A274A" w:rsidP="00A63E5A">
      <w:pPr>
        <w:jc w:val="center"/>
        <w:rPr>
          <w:rFonts w:ascii="Times New Roman" w:hAnsi="Times New Roman" w:cs="Times New Roman"/>
          <w:b/>
          <w:bCs/>
          <w:sz w:val="24"/>
          <w:szCs w:val="24"/>
        </w:rPr>
      </w:pPr>
    </w:p>
    <w:p w14:paraId="16FACE65" w14:textId="77777777" w:rsidR="007A274A" w:rsidRDefault="007A274A" w:rsidP="00A63E5A">
      <w:pPr>
        <w:jc w:val="center"/>
        <w:rPr>
          <w:rFonts w:ascii="Times New Roman" w:hAnsi="Times New Roman" w:cs="Times New Roman"/>
          <w:b/>
          <w:bCs/>
          <w:sz w:val="24"/>
          <w:szCs w:val="24"/>
        </w:rPr>
      </w:pPr>
    </w:p>
    <w:p w14:paraId="00A1B502" w14:textId="77777777" w:rsidR="007A274A" w:rsidRDefault="007A274A" w:rsidP="00A63E5A">
      <w:pPr>
        <w:jc w:val="center"/>
        <w:rPr>
          <w:rFonts w:ascii="Times New Roman" w:hAnsi="Times New Roman" w:cs="Times New Roman"/>
          <w:b/>
          <w:bCs/>
          <w:sz w:val="24"/>
          <w:szCs w:val="24"/>
        </w:rPr>
      </w:pPr>
    </w:p>
    <w:p w14:paraId="468429B6" w14:textId="1EAC1B7C" w:rsidR="00A63E5A" w:rsidRPr="00A63E5A" w:rsidRDefault="00A63E5A" w:rsidP="00A63E5A">
      <w:pPr>
        <w:rPr>
          <w:rFonts w:ascii="Times New Roman" w:hAnsi="Times New Roman" w:cs="Times New Roman"/>
          <w:b/>
          <w:bCs/>
          <w:sz w:val="24"/>
          <w:szCs w:val="24"/>
        </w:rPr>
      </w:pPr>
      <w:r>
        <w:rPr>
          <w:rFonts w:ascii="Times New Roman" w:hAnsi="Times New Roman" w:cs="Times New Roman"/>
          <w:b/>
          <w:bCs/>
          <w:sz w:val="24"/>
          <w:szCs w:val="24"/>
        </w:rPr>
        <w:br w:type="page"/>
      </w:r>
    </w:p>
    <w:p w14:paraId="17C5C18D" w14:textId="65E20324" w:rsidR="00176F9E" w:rsidRPr="0098611A" w:rsidRDefault="00176F9E" w:rsidP="0098611A">
      <w:pPr>
        <w:spacing w:line="480" w:lineRule="auto"/>
        <w:rPr>
          <w:rFonts w:ascii="Arial" w:hAnsi="Arial" w:cs="Arial"/>
        </w:rPr>
      </w:pPr>
      <w:r w:rsidRPr="0098611A">
        <w:rPr>
          <w:rFonts w:ascii="Arial" w:hAnsi="Arial" w:cs="Arial"/>
        </w:rPr>
        <w:lastRenderedPageBreak/>
        <w:t xml:space="preserve">Legal rules of the United Kingdom are termed statutes of law, which are also known as law or legislation </w:t>
      </w:r>
      <w:r w:rsidR="00ED697D" w:rsidRPr="0098611A">
        <w:rPr>
          <w:rStyle w:val="FootnoteReference"/>
          <w:rFonts w:ascii="Arial" w:hAnsi="Arial" w:cs="Arial"/>
        </w:rPr>
        <w:footnoteReference w:id="1"/>
      </w:r>
      <w:r w:rsidRPr="0098611A">
        <w:rPr>
          <w:rFonts w:ascii="Arial" w:hAnsi="Arial" w:cs="Arial"/>
        </w:rPr>
        <w:t xml:space="preserve">. These laws are established and executed by </w:t>
      </w:r>
      <w:proofErr w:type="gramStart"/>
      <w:r w:rsidRPr="0098611A">
        <w:rPr>
          <w:rFonts w:ascii="Arial" w:hAnsi="Arial" w:cs="Arial"/>
        </w:rPr>
        <w:t>a number of</w:t>
      </w:r>
      <w:proofErr w:type="gramEnd"/>
      <w:r w:rsidRPr="0098611A">
        <w:rPr>
          <w:rFonts w:ascii="Arial" w:hAnsi="Arial" w:cs="Arial"/>
        </w:rPr>
        <w:t xml:space="preserve"> bodies, including the courts, prosecution agencies, and so on. Some scenarios require courts to employ existing law and standards </w:t>
      </w:r>
      <w:r w:rsidR="0098611A" w:rsidRPr="0098611A">
        <w:rPr>
          <w:rFonts w:ascii="Arial" w:hAnsi="Arial" w:cs="Arial"/>
        </w:rPr>
        <w:t>of ‘statutory</w:t>
      </w:r>
      <w:r w:rsidRPr="0098611A">
        <w:rPr>
          <w:rFonts w:ascii="Arial" w:hAnsi="Arial" w:cs="Arial"/>
        </w:rPr>
        <w:t xml:space="preserve"> interpretation' when reading laws, which is not always straightforward or easy. The application of the law </w:t>
      </w:r>
      <w:proofErr w:type="gramStart"/>
      <w:r w:rsidRPr="0098611A">
        <w:rPr>
          <w:rFonts w:ascii="Arial" w:hAnsi="Arial" w:cs="Arial"/>
        </w:rPr>
        <w:t>in a given</w:t>
      </w:r>
      <w:proofErr w:type="gramEnd"/>
      <w:r w:rsidRPr="0098611A">
        <w:rPr>
          <w:rFonts w:ascii="Arial" w:hAnsi="Arial" w:cs="Arial"/>
        </w:rPr>
        <w:t xml:space="preserve"> circumstance may necessitate a legislative interpret. Legislators attempt to draft legislation that is clear and precise to the best of their talents and experience</w:t>
      </w:r>
      <w:r w:rsidR="00ED697D" w:rsidRPr="0098611A">
        <w:rPr>
          <w:rStyle w:val="FootnoteReference"/>
          <w:rFonts w:ascii="Arial" w:hAnsi="Arial" w:cs="Arial"/>
        </w:rPr>
        <w:footnoteReference w:id="2"/>
      </w:r>
      <w:r w:rsidRPr="0098611A">
        <w:rPr>
          <w:rFonts w:ascii="Arial" w:hAnsi="Arial" w:cs="Arial"/>
        </w:rPr>
        <w:t xml:space="preserve">. There are occasions, however, where the written legislation is not fully clear. There are a variety of frequent flaws with laws, including a failure to address a specific subject, uncertainty in its meaning, drafting faults, new legal advancements, and changes in the language employed. Some regulations stretch back to the 18th century and employ vocabulary that has undergone substantial linguistic change since then. The court are responsible for understanding </w:t>
      </w:r>
      <w:r w:rsidR="00F4576F" w:rsidRPr="0098611A">
        <w:rPr>
          <w:rFonts w:ascii="Arial" w:hAnsi="Arial" w:cs="Arial"/>
        </w:rPr>
        <w:t>legislation. Words</w:t>
      </w:r>
      <w:r w:rsidRPr="0098611A">
        <w:rPr>
          <w:rFonts w:ascii="Arial" w:hAnsi="Arial" w:cs="Arial"/>
        </w:rPr>
        <w:t xml:space="preserve"> importing the male gender should include females' are explicitly specified in the Interpretation Act </w:t>
      </w:r>
      <w:proofErr w:type="gramStart"/>
      <w:r w:rsidRPr="0098611A">
        <w:rPr>
          <w:rFonts w:ascii="Arial" w:hAnsi="Arial" w:cs="Arial"/>
        </w:rPr>
        <w:t>1978 .</w:t>
      </w:r>
      <w:proofErr w:type="gramEnd"/>
      <w:r w:rsidRPr="0098611A">
        <w:rPr>
          <w:rFonts w:ascii="Arial" w:hAnsi="Arial" w:cs="Arial"/>
        </w:rPr>
        <w:t xml:space="preserve"> Statutory interpretation has changed over time, with the creation of </w:t>
      </w:r>
      <w:proofErr w:type="gramStart"/>
      <w:r w:rsidRPr="0098611A">
        <w:rPr>
          <w:rFonts w:ascii="Arial" w:hAnsi="Arial" w:cs="Arial"/>
        </w:rPr>
        <w:t>a number of</w:t>
      </w:r>
      <w:proofErr w:type="gramEnd"/>
      <w:r w:rsidRPr="0098611A">
        <w:rPr>
          <w:rFonts w:ascii="Arial" w:hAnsi="Arial" w:cs="Arial"/>
        </w:rPr>
        <w:t xml:space="preserve"> key rules. The Literal Rule, the Golden Rule, and the Mischief Rule are all instances of this. The words of a statute are construed in line with the literal meaning. They will be understood as they are in the legislation and will not be further investigated for multiple meanings, disregarding the basic phrase. In the Berriman case (1946), a railway worker was killed while doing some "oiling" on a railway line as there was no "watch out" post </w:t>
      </w:r>
      <w:proofErr w:type="gramStart"/>
      <w:r w:rsidRPr="0098611A">
        <w:rPr>
          <w:rFonts w:ascii="Arial" w:hAnsi="Arial" w:cs="Arial"/>
        </w:rPr>
        <w:t>in the area of</w:t>
      </w:r>
      <w:proofErr w:type="gramEnd"/>
      <w:r w:rsidRPr="0098611A">
        <w:rPr>
          <w:rFonts w:ascii="Arial" w:hAnsi="Arial" w:cs="Arial"/>
        </w:rPr>
        <w:t xml:space="preserve"> the track</w:t>
      </w:r>
      <w:r w:rsidR="00ED697D" w:rsidRPr="0098611A">
        <w:rPr>
          <w:rStyle w:val="FootnoteReference"/>
          <w:rFonts w:ascii="Arial" w:hAnsi="Arial" w:cs="Arial"/>
        </w:rPr>
        <w:footnoteReference w:id="3"/>
      </w:r>
      <w:r w:rsidRPr="0098611A">
        <w:rPr>
          <w:rFonts w:ascii="Arial" w:hAnsi="Arial" w:cs="Arial"/>
        </w:rPr>
        <w:t xml:space="preserve">. </w:t>
      </w:r>
      <w:proofErr w:type="gramStart"/>
      <w:r w:rsidRPr="0098611A">
        <w:rPr>
          <w:rFonts w:ascii="Arial" w:hAnsi="Arial" w:cs="Arial"/>
        </w:rPr>
        <w:t>As a consequence</w:t>
      </w:r>
      <w:proofErr w:type="gramEnd"/>
      <w:r w:rsidRPr="0098611A">
        <w:rPr>
          <w:rFonts w:ascii="Arial" w:hAnsi="Arial" w:cs="Arial"/>
        </w:rPr>
        <w:t>, the court declined to grant Mrs. Berriman reimbursement for her husband's death as the applicable Act only stipulated that lookout points were to be provided for</w:t>
      </w:r>
      <w:r w:rsidRPr="00176F9E">
        <w:rPr>
          <w:rFonts w:ascii="Times New Roman" w:hAnsi="Times New Roman" w:cs="Times New Roman"/>
          <w:sz w:val="24"/>
          <w:szCs w:val="24"/>
        </w:rPr>
        <w:t xml:space="preserve"> personnel who were "resetting" or "repairing" the line. In </w:t>
      </w:r>
      <w:r w:rsidRPr="0098611A">
        <w:rPr>
          <w:rFonts w:ascii="Arial" w:hAnsi="Arial" w:cs="Arial"/>
        </w:rPr>
        <w:lastRenderedPageBreak/>
        <w:t>neither the first nor the next in did oiling fit</w:t>
      </w:r>
      <w:r w:rsidR="00ED697D" w:rsidRPr="0098611A">
        <w:rPr>
          <w:rStyle w:val="FootnoteReference"/>
          <w:rFonts w:ascii="Arial" w:hAnsi="Arial" w:cs="Arial"/>
        </w:rPr>
        <w:footnoteReference w:id="4"/>
      </w:r>
      <w:r w:rsidRPr="0098611A">
        <w:rPr>
          <w:rFonts w:ascii="Arial" w:hAnsi="Arial" w:cs="Arial"/>
        </w:rPr>
        <w:t xml:space="preserve">. This conclusion was plainly unjust and terrible. The Golden Rule was established </w:t>
      </w:r>
      <w:proofErr w:type="gramStart"/>
      <w:r w:rsidRPr="0098611A">
        <w:rPr>
          <w:rFonts w:ascii="Arial" w:hAnsi="Arial" w:cs="Arial"/>
        </w:rPr>
        <w:t>in an attempt to</w:t>
      </w:r>
      <w:proofErr w:type="gramEnd"/>
      <w:r w:rsidRPr="0098611A">
        <w:rPr>
          <w:rFonts w:ascii="Arial" w:hAnsi="Arial" w:cs="Arial"/>
        </w:rPr>
        <w:t xml:space="preserve"> offset the repercussions of the literal rule. When interpreting a law clearly, the golden rule is utilized to eliminate inconsistencies and absurdities. Strict or wide application is conceivable. With this procedure, the court must only assess "the alternative readings of a phrase," which implies it must take the most apparent interpretation into consideration. Occupation "in the vicinity" of a restricted site was an allegation raised against Adler v. George (1964</w:t>
      </w:r>
      <w:proofErr w:type="gramStart"/>
      <w:r w:rsidRPr="0098611A">
        <w:rPr>
          <w:rFonts w:ascii="Arial" w:hAnsi="Arial" w:cs="Arial"/>
        </w:rPr>
        <w:t>) .</w:t>
      </w:r>
      <w:proofErr w:type="gramEnd"/>
    </w:p>
    <w:p w14:paraId="2C2188D1" w14:textId="43724DA2" w:rsidR="00651288" w:rsidRPr="006E7FEC" w:rsidRDefault="00176F9E" w:rsidP="006E7FEC">
      <w:pPr>
        <w:spacing w:line="480" w:lineRule="auto"/>
        <w:rPr>
          <w:rFonts w:ascii="Arial" w:hAnsi="Arial" w:cs="Arial"/>
        </w:rPr>
      </w:pPr>
      <w:r w:rsidRPr="0098611A">
        <w:rPr>
          <w:rFonts w:ascii="Arial" w:hAnsi="Arial" w:cs="Arial"/>
        </w:rPr>
        <w:t xml:space="preserve">The court did not confine itself to the specific text of the Act and ruled the defendant guilty, </w:t>
      </w:r>
      <w:proofErr w:type="gramStart"/>
      <w:r w:rsidRPr="0098611A">
        <w:rPr>
          <w:rFonts w:ascii="Arial" w:hAnsi="Arial" w:cs="Arial"/>
        </w:rPr>
        <w:t>despite the fact that</w:t>
      </w:r>
      <w:proofErr w:type="gramEnd"/>
      <w:r w:rsidRPr="0098611A">
        <w:rPr>
          <w:rFonts w:ascii="Arial" w:hAnsi="Arial" w:cs="Arial"/>
        </w:rPr>
        <w:t xml:space="preserve"> the blockage had been carried out within the area. If the courts adopt a wider perspective, they may amend the language to avert a problem, such as when the simple and straightforward reading leads to an irrational result. Re Sigsworth (1935), for example, was a case in which the appellant had slain his own </w:t>
      </w:r>
      <w:r w:rsidR="0098611A" w:rsidRPr="0098611A">
        <w:rPr>
          <w:rFonts w:ascii="Arial" w:hAnsi="Arial" w:cs="Arial"/>
        </w:rPr>
        <w:t>mother.</w:t>
      </w:r>
      <w:r w:rsidRPr="0098611A">
        <w:rPr>
          <w:rFonts w:ascii="Arial" w:hAnsi="Arial" w:cs="Arial"/>
        </w:rPr>
        <w:t xml:space="preserve"> Next of kin would obtain the deceased's wealth under the appropriate Parliamentary Act. </w:t>
      </w:r>
      <w:proofErr w:type="gramStart"/>
      <w:r w:rsidRPr="0098611A">
        <w:rPr>
          <w:rFonts w:ascii="Arial" w:hAnsi="Arial" w:cs="Arial"/>
        </w:rPr>
        <w:t>Despite the fact that</w:t>
      </w:r>
      <w:proofErr w:type="gramEnd"/>
      <w:r w:rsidRPr="0098611A">
        <w:rPr>
          <w:rFonts w:ascii="Arial" w:hAnsi="Arial" w:cs="Arial"/>
        </w:rPr>
        <w:t xml:space="preserve"> this was evident, implementing the rule literally would lead to an unjust conclusion</w:t>
      </w:r>
      <w:r w:rsidR="00ED697D" w:rsidRPr="0098611A">
        <w:rPr>
          <w:rStyle w:val="FootnoteReference"/>
          <w:rFonts w:ascii="Arial" w:hAnsi="Arial" w:cs="Arial"/>
        </w:rPr>
        <w:footnoteReference w:id="5"/>
      </w:r>
      <w:r w:rsidRPr="0098611A">
        <w:rPr>
          <w:rFonts w:ascii="Arial" w:hAnsi="Arial" w:cs="Arial"/>
        </w:rPr>
        <w:t xml:space="preserve">. The golden rule was respected, and no one from the deceased's family was permitted to accept the </w:t>
      </w:r>
      <w:r w:rsidR="0098611A" w:rsidRPr="0098611A">
        <w:rPr>
          <w:rFonts w:ascii="Arial" w:hAnsi="Arial" w:cs="Arial"/>
        </w:rPr>
        <w:t>bequest.</w:t>
      </w:r>
      <w:r w:rsidRPr="0098611A">
        <w:rPr>
          <w:rFonts w:ascii="Arial" w:hAnsi="Arial" w:cs="Arial"/>
        </w:rPr>
        <w:t xml:space="preserve"> Statutes may be construed more extensively by the courts when there are unforeseen gaps or ambiguities in legislation, which would prevent parliament's intended purpose from being </w:t>
      </w:r>
      <w:r w:rsidR="0098611A" w:rsidRPr="0098611A">
        <w:rPr>
          <w:rFonts w:ascii="Arial" w:hAnsi="Arial" w:cs="Arial"/>
        </w:rPr>
        <w:t>respected.</w:t>
      </w:r>
      <w:r w:rsidRPr="0098611A">
        <w:rPr>
          <w:rFonts w:ascii="Arial" w:hAnsi="Arial" w:cs="Arial"/>
        </w:rPr>
        <w:t xml:space="preserve"> The mischief rule is employed in instances where there is doubt </w:t>
      </w:r>
      <w:r w:rsidR="00ED697D" w:rsidRPr="0098611A">
        <w:rPr>
          <w:rStyle w:val="FootnoteReference"/>
          <w:rFonts w:ascii="Arial" w:hAnsi="Arial" w:cs="Arial"/>
        </w:rPr>
        <w:footnoteReference w:id="6"/>
      </w:r>
      <w:r w:rsidRPr="0098611A">
        <w:rPr>
          <w:rFonts w:ascii="Arial" w:hAnsi="Arial" w:cs="Arial"/>
        </w:rPr>
        <w:t xml:space="preserve">. Four considerations must be </w:t>
      </w:r>
      <w:proofErr w:type="gramStart"/>
      <w:r w:rsidRPr="0098611A">
        <w:rPr>
          <w:rFonts w:ascii="Arial" w:hAnsi="Arial" w:cs="Arial"/>
        </w:rPr>
        <w:t>taken into account</w:t>
      </w:r>
      <w:proofErr w:type="gramEnd"/>
      <w:r w:rsidRPr="0098611A">
        <w:rPr>
          <w:rFonts w:ascii="Arial" w:hAnsi="Arial" w:cs="Arial"/>
        </w:rPr>
        <w:t xml:space="preserve"> in interpreting law, according to the </w:t>
      </w:r>
      <w:proofErr w:type="spellStart"/>
      <w:r w:rsidRPr="0098611A">
        <w:rPr>
          <w:rFonts w:ascii="Arial" w:hAnsi="Arial" w:cs="Arial"/>
        </w:rPr>
        <w:t>Heydon's</w:t>
      </w:r>
      <w:proofErr w:type="spellEnd"/>
      <w:r w:rsidRPr="0098611A">
        <w:rPr>
          <w:rFonts w:ascii="Arial" w:hAnsi="Arial" w:cs="Arial"/>
        </w:rPr>
        <w:t xml:space="preserve"> Case </w:t>
      </w:r>
      <w:r w:rsidRPr="0098611A">
        <w:rPr>
          <w:rFonts w:ascii="Arial" w:hAnsi="Arial" w:cs="Arial"/>
        </w:rPr>
        <w:lastRenderedPageBreak/>
        <w:t>of 1584, which created the mischief rule</w:t>
      </w:r>
      <w:r w:rsidR="00ED697D" w:rsidRPr="0098611A">
        <w:rPr>
          <w:rStyle w:val="FootnoteReference"/>
          <w:rFonts w:ascii="Arial" w:hAnsi="Arial" w:cs="Arial"/>
        </w:rPr>
        <w:footnoteReference w:id="7"/>
      </w:r>
      <w:r w:rsidRPr="0098611A">
        <w:rPr>
          <w:rFonts w:ascii="Arial" w:hAnsi="Arial" w:cs="Arial"/>
        </w:rPr>
        <w:t>. Examining pre-Act precedents, recognizing issues with common law, developing a solution that Parliament meant to offer to solve those difficulties, and finally putting that remedy into effect were all a part of this process. As a more constrained method to interpreting the statute's meaning, the mischief rule was chosen instead. Parliament enacts laws, and courts employ Statutory Interpreting in their rulings</w:t>
      </w:r>
      <w:r w:rsidR="00651288" w:rsidRPr="0098611A">
        <w:rPr>
          <w:rFonts w:ascii="Arial" w:hAnsi="Arial" w:cs="Arial"/>
        </w:rPr>
        <w:t xml:space="preserve">. </w:t>
      </w:r>
      <w:r w:rsidRPr="0098611A">
        <w:rPr>
          <w:rFonts w:ascii="Arial" w:hAnsi="Arial" w:cs="Arial"/>
        </w:rPr>
        <w:t xml:space="preserve">Laws drafted by draftsmen may include ambiguities in the meaning of terms. Ancient legislation may include terms that are no longer relevant in today's culture, </w:t>
      </w:r>
      <w:proofErr w:type="gramStart"/>
      <w:r w:rsidRPr="0098611A">
        <w:rPr>
          <w:rFonts w:ascii="Arial" w:hAnsi="Arial" w:cs="Arial"/>
        </w:rPr>
        <w:t>despite the fact that</w:t>
      </w:r>
      <w:proofErr w:type="gramEnd"/>
      <w:r w:rsidRPr="0098611A">
        <w:rPr>
          <w:rFonts w:ascii="Arial" w:hAnsi="Arial" w:cs="Arial"/>
        </w:rPr>
        <w:t xml:space="preserve"> they are still legal. Legislation cannot address every conceivable </w:t>
      </w:r>
      <w:r w:rsidR="0098611A" w:rsidRPr="0098611A">
        <w:rPr>
          <w:rFonts w:ascii="Arial" w:hAnsi="Arial" w:cs="Arial"/>
        </w:rPr>
        <w:t>eventuality;</w:t>
      </w:r>
      <w:r w:rsidRPr="0098611A">
        <w:rPr>
          <w:rFonts w:ascii="Arial" w:hAnsi="Arial" w:cs="Arial"/>
        </w:rPr>
        <w:t xml:space="preserve"> </w:t>
      </w:r>
      <w:proofErr w:type="gramStart"/>
      <w:r w:rsidRPr="0098611A">
        <w:rPr>
          <w:rFonts w:ascii="Arial" w:hAnsi="Arial" w:cs="Arial"/>
        </w:rPr>
        <w:t>thus</w:t>
      </w:r>
      <w:proofErr w:type="gramEnd"/>
      <w:r w:rsidRPr="0098611A">
        <w:rPr>
          <w:rFonts w:ascii="Arial" w:hAnsi="Arial" w:cs="Arial"/>
        </w:rPr>
        <w:t xml:space="preserve"> courts must use the Rules of Statutory Interpretation when interpreting statutes. Statutory Interpretation includes the literal rule, the golden rule, the mischief rule, and the intentional approach. It will be explained in depth in this essay. Next, the essay will explore the three rules of language and the supporting evidence used to come at a judgment on the author's opinion on the quotation above. Under the literal rule, courts are expected to interpret law in its plain, literal, and typical meanings</w:t>
      </w:r>
      <w:r w:rsidR="00ED697D" w:rsidRPr="0098611A">
        <w:rPr>
          <w:rStyle w:val="FootnoteReference"/>
          <w:rFonts w:ascii="Arial" w:hAnsi="Arial" w:cs="Arial"/>
        </w:rPr>
        <w:footnoteReference w:id="8"/>
      </w:r>
      <w:r w:rsidRPr="0098611A">
        <w:rPr>
          <w:rFonts w:ascii="Arial" w:hAnsi="Arial" w:cs="Arial"/>
        </w:rPr>
        <w:t>. The courts will not be able to question Parliament's intent. Judges cannot be held liable for establishing laws if they follow the legislation to the letter, hence this rule is extensively applied. The rule's positive elements include the fact that it does not confront Parliament, ensuring that the division of powers is maintained</w:t>
      </w:r>
      <w:r w:rsidR="00ED697D" w:rsidRPr="0098611A">
        <w:rPr>
          <w:rStyle w:val="FootnoteReference"/>
          <w:rFonts w:ascii="Arial" w:hAnsi="Arial" w:cs="Arial"/>
        </w:rPr>
        <w:footnoteReference w:id="9"/>
      </w:r>
      <w:r w:rsidRPr="0098611A">
        <w:rPr>
          <w:rFonts w:ascii="Arial" w:hAnsi="Arial" w:cs="Arial"/>
        </w:rPr>
        <w:t xml:space="preserve">. Judgments are made </w:t>
      </w:r>
      <w:proofErr w:type="gramStart"/>
      <w:r w:rsidRPr="0098611A">
        <w:rPr>
          <w:rFonts w:ascii="Arial" w:hAnsi="Arial" w:cs="Arial"/>
        </w:rPr>
        <w:t>on the basis of</w:t>
      </w:r>
      <w:proofErr w:type="gramEnd"/>
      <w:r w:rsidRPr="0098611A">
        <w:rPr>
          <w:rFonts w:ascii="Arial" w:hAnsi="Arial" w:cs="Arial"/>
        </w:rPr>
        <w:t xml:space="preserve"> facts rather than personal preference or prejudice because of the minimal participation of the judge</w:t>
      </w:r>
      <w:r w:rsidR="00ED697D" w:rsidRPr="0098611A">
        <w:rPr>
          <w:rStyle w:val="FootnoteReference"/>
          <w:rFonts w:ascii="Arial" w:hAnsi="Arial" w:cs="Arial"/>
        </w:rPr>
        <w:footnoteReference w:id="10"/>
      </w:r>
      <w:r w:rsidRPr="0098611A">
        <w:rPr>
          <w:rFonts w:ascii="Arial" w:hAnsi="Arial" w:cs="Arial"/>
        </w:rPr>
        <w:t xml:space="preserve">. Misinterpretations of literal meaning occur because it does not detect subtlety or </w:t>
      </w:r>
      <w:r w:rsidRPr="00176F9E">
        <w:rPr>
          <w:rFonts w:ascii="Times New Roman" w:hAnsi="Times New Roman" w:cs="Times New Roman"/>
          <w:sz w:val="24"/>
          <w:szCs w:val="24"/>
        </w:rPr>
        <w:t xml:space="preserve">complexity of English language, resulting in ambiguity. It was utilized in </w:t>
      </w:r>
      <w:proofErr w:type="spellStart"/>
      <w:r w:rsidRPr="00176F9E">
        <w:rPr>
          <w:rFonts w:ascii="Times New Roman" w:hAnsi="Times New Roman" w:cs="Times New Roman"/>
          <w:sz w:val="24"/>
          <w:szCs w:val="24"/>
        </w:rPr>
        <w:t>Whiteley</w:t>
      </w:r>
      <w:proofErr w:type="spellEnd"/>
      <w:r w:rsidRPr="00176F9E">
        <w:rPr>
          <w:rFonts w:ascii="Times New Roman" w:hAnsi="Times New Roman" w:cs="Times New Roman"/>
          <w:sz w:val="24"/>
          <w:szCs w:val="24"/>
        </w:rPr>
        <w:t xml:space="preserve"> v. Chappell to thwart Parliament's stated goal </w:t>
      </w:r>
      <w:r w:rsidRPr="0098611A">
        <w:rPr>
          <w:rFonts w:ascii="Arial" w:hAnsi="Arial" w:cs="Arial"/>
        </w:rPr>
        <w:t xml:space="preserve">(1868). It might lead to injustice, weaken public confidence in the law, and establish precedents </w:t>
      </w:r>
      <w:r w:rsidRPr="0098611A">
        <w:rPr>
          <w:rFonts w:ascii="Arial" w:hAnsi="Arial" w:cs="Arial"/>
        </w:rPr>
        <w:lastRenderedPageBreak/>
        <w:t xml:space="preserve">that Parliament will have to </w:t>
      </w:r>
      <w:r w:rsidR="006E7FEC" w:rsidRPr="0098611A">
        <w:rPr>
          <w:rFonts w:ascii="Arial" w:hAnsi="Arial" w:cs="Arial"/>
        </w:rPr>
        <w:t>overturn. For</w:t>
      </w:r>
      <w:r w:rsidRPr="0098611A">
        <w:rPr>
          <w:rFonts w:ascii="Arial" w:hAnsi="Arial" w:cs="Arial"/>
        </w:rPr>
        <w:t xml:space="preserve"> rules that might lead to absurdity or an irritating end, you may use the Golden Rule. The question before the court is </w:t>
      </w:r>
      <w:proofErr w:type="gramStart"/>
      <w:r w:rsidRPr="0098611A">
        <w:rPr>
          <w:rFonts w:ascii="Arial" w:hAnsi="Arial" w:cs="Arial"/>
        </w:rPr>
        <w:t>whether or not</w:t>
      </w:r>
      <w:proofErr w:type="gramEnd"/>
      <w:r w:rsidRPr="0098611A">
        <w:rPr>
          <w:rFonts w:ascii="Arial" w:hAnsi="Arial" w:cs="Arial"/>
        </w:rPr>
        <w:t xml:space="preserve"> the act's wording accurately reflects Parliament's intent. Further information may be found in Sigsworth [1935] Chapter 89. Because she had not written a will, her son was entitled to her whole estate when she was slain. But even though the law was clear, the son stood to benefit from his transgression, which was unjust. It is a positive characteristic of the legal system because loopholes may be addressed before they have time to emerge. Common reason may help restore public confidence in our judicial system. Changing or adding to the meaning of a law by a judge is troublesome. It is impossible for judges to be swayed by injustice if absurdity does not exist. The Mischief rule is used to interpret the gaps (extra vires) that Parliament intended to cover and apply an appropriate judgement in the context of unclear law</w:t>
      </w:r>
      <w:r w:rsidR="00134205" w:rsidRPr="0098611A">
        <w:rPr>
          <w:rStyle w:val="FootnoteReference"/>
          <w:rFonts w:ascii="Arial" w:hAnsi="Arial" w:cs="Arial"/>
        </w:rPr>
        <w:footnoteReference w:id="11"/>
      </w:r>
      <w:r w:rsidRPr="0098611A">
        <w:rPr>
          <w:rFonts w:ascii="Arial" w:hAnsi="Arial" w:cs="Arial"/>
        </w:rPr>
        <w:t xml:space="preserve">. As a case in point, see Corkery V Carpenter (1951). Size in bytes: 102 When he was apprehended for drunken biking, the defendant was already intoxicated. Section s12 of the Licensing Act of 1872 made it unlawful to </w:t>
      </w:r>
      <w:proofErr w:type="gramStart"/>
      <w:r w:rsidRPr="0098611A">
        <w:rPr>
          <w:rFonts w:ascii="Arial" w:hAnsi="Arial" w:cs="Arial"/>
        </w:rPr>
        <w:t>be in charge of</w:t>
      </w:r>
      <w:proofErr w:type="gramEnd"/>
      <w:r w:rsidRPr="0098611A">
        <w:rPr>
          <w:rFonts w:ascii="Arial" w:hAnsi="Arial" w:cs="Arial"/>
        </w:rPr>
        <w:t xml:space="preserve"> a vehicle while under the influence of alcohol. Under the Act, driving a vehicle while under the influence of alcohol or other substances is prohibited on public roads</w:t>
      </w:r>
      <w:r w:rsidR="00134205" w:rsidRPr="0098611A">
        <w:rPr>
          <w:rStyle w:val="FootnoteReference"/>
          <w:rFonts w:ascii="Arial" w:hAnsi="Arial" w:cs="Arial"/>
        </w:rPr>
        <w:footnoteReference w:id="12"/>
      </w:r>
      <w:r w:rsidRPr="0098611A">
        <w:rPr>
          <w:rFonts w:ascii="Arial" w:hAnsi="Arial" w:cs="Arial"/>
        </w:rPr>
        <w:t>.</w:t>
      </w:r>
      <w:r w:rsidR="00ED697D" w:rsidRPr="0098611A">
        <w:rPr>
          <w:rFonts w:ascii="Arial" w:hAnsi="Arial" w:cs="Arial"/>
        </w:rPr>
        <w:t xml:space="preserve">This guideline may be used by a progressive society to change laws, eliminating loopholes in the system. Judgment is a law-making function for judges, which breaks the separation of powers concept and allows for the formation of new offenses to be punished. </w:t>
      </w:r>
      <w:r w:rsidR="00ED697D" w:rsidRPr="00ED697D">
        <w:rPr>
          <w:rFonts w:ascii="Times New Roman" w:hAnsi="Times New Roman" w:cs="Times New Roman"/>
          <w:sz w:val="24"/>
          <w:szCs w:val="24"/>
        </w:rPr>
        <w:t xml:space="preserve">Because of this, the sole basis for judges' decisions may be their own personal preferences. </w:t>
      </w:r>
      <w:proofErr w:type="gramStart"/>
      <w:r w:rsidR="00ED697D" w:rsidRPr="00ED697D">
        <w:rPr>
          <w:rFonts w:ascii="Times New Roman" w:hAnsi="Times New Roman" w:cs="Times New Roman"/>
          <w:sz w:val="24"/>
          <w:szCs w:val="24"/>
        </w:rPr>
        <w:t>In order to</w:t>
      </w:r>
      <w:proofErr w:type="gramEnd"/>
      <w:r w:rsidR="00ED697D" w:rsidRPr="00ED697D">
        <w:rPr>
          <w:rFonts w:ascii="Times New Roman" w:hAnsi="Times New Roman" w:cs="Times New Roman"/>
          <w:sz w:val="24"/>
          <w:szCs w:val="24"/>
        </w:rPr>
        <w:t xml:space="preserve"> ensure that the law is carried out exactly as intended by Parliament, the usage of purposefulness is used. Pickstone v </w:t>
      </w:r>
      <w:proofErr w:type="gramStart"/>
      <w:r w:rsidR="00ED697D" w:rsidRPr="00ED697D">
        <w:rPr>
          <w:rFonts w:ascii="Times New Roman" w:hAnsi="Times New Roman" w:cs="Times New Roman"/>
          <w:sz w:val="24"/>
          <w:szCs w:val="24"/>
        </w:rPr>
        <w:t>Freemans</w:t>
      </w:r>
      <w:proofErr w:type="gramEnd"/>
      <w:r w:rsidR="00ED697D" w:rsidRPr="00ED697D">
        <w:rPr>
          <w:rFonts w:ascii="Times New Roman" w:hAnsi="Times New Roman" w:cs="Times New Roman"/>
          <w:sz w:val="24"/>
          <w:szCs w:val="24"/>
        </w:rPr>
        <w:t xml:space="preserve"> plc [1989] AC 66 is a good illustration of how to interpret EU legislation. The UK would have breached its treaty obligations to implement an EU </w:t>
      </w:r>
      <w:r w:rsidR="00ED697D" w:rsidRPr="006E7FEC">
        <w:rPr>
          <w:rFonts w:ascii="Arial" w:hAnsi="Arial" w:cs="Arial"/>
        </w:rPr>
        <w:lastRenderedPageBreak/>
        <w:t xml:space="preserve">legislation if the rule had been applied strictly in this case (Slapper, G, p186, 2009). It is common for courts to apply presumption, language, intrinsic and extrinsic help in statutory interpretation. Parliament cannot amend the law in the past because common law is believed to stay intact until an Act specifically says that it intends to do so. In criminal cases, the presence of </w:t>
      </w:r>
      <w:proofErr w:type="spellStart"/>
      <w:r w:rsidR="00ED697D" w:rsidRPr="006E7FEC">
        <w:rPr>
          <w:rFonts w:ascii="Arial" w:hAnsi="Arial" w:cs="Arial"/>
        </w:rPr>
        <w:t>mens</w:t>
      </w:r>
      <w:proofErr w:type="spellEnd"/>
      <w:r w:rsidR="00ED697D" w:rsidRPr="006E7FEC">
        <w:rPr>
          <w:rFonts w:ascii="Arial" w:hAnsi="Arial" w:cs="Arial"/>
        </w:rPr>
        <w:t xml:space="preserve"> rea is a necessary element. In the Ejusdem Generis rule set, general terms come after specific words and can only apply to the same kind of item as the specific ones</w:t>
      </w:r>
      <w:r w:rsidR="00134205" w:rsidRPr="006E7FEC">
        <w:rPr>
          <w:rStyle w:val="FootnoteReference"/>
          <w:rFonts w:ascii="Arial" w:hAnsi="Arial" w:cs="Arial"/>
        </w:rPr>
        <w:footnoteReference w:id="13"/>
      </w:r>
      <w:r w:rsidR="00ED697D" w:rsidRPr="006E7FEC">
        <w:rPr>
          <w:rFonts w:ascii="Arial" w:hAnsi="Arial" w:cs="Arial"/>
        </w:rPr>
        <w:t xml:space="preserve">. Secondly </w:t>
      </w:r>
      <w:proofErr w:type="spellStart"/>
      <w:r w:rsidR="00ED697D" w:rsidRPr="006E7FEC">
        <w:rPr>
          <w:rFonts w:ascii="Arial" w:hAnsi="Arial" w:cs="Arial"/>
        </w:rPr>
        <w:t>Expressio</w:t>
      </w:r>
      <w:proofErr w:type="spellEnd"/>
      <w:r w:rsidR="00ED697D" w:rsidRPr="006E7FEC">
        <w:rPr>
          <w:rFonts w:ascii="Arial" w:hAnsi="Arial" w:cs="Arial"/>
        </w:rPr>
        <w:t xml:space="preserve"> </w:t>
      </w:r>
      <w:proofErr w:type="spellStart"/>
      <w:r w:rsidR="00ED697D" w:rsidRPr="006E7FEC">
        <w:rPr>
          <w:rFonts w:ascii="Arial" w:hAnsi="Arial" w:cs="Arial"/>
        </w:rPr>
        <w:t>Unius</w:t>
      </w:r>
      <w:proofErr w:type="spellEnd"/>
      <w:r w:rsidR="00ED697D" w:rsidRPr="006E7FEC">
        <w:rPr>
          <w:rFonts w:ascii="Arial" w:hAnsi="Arial" w:cs="Arial"/>
        </w:rPr>
        <w:t xml:space="preserve"> excludes </w:t>
      </w:r>
      <w:proofErr w:type="spellStart"/>
      <w:r w:rsidR="00ED697D" w:rsidRPr="006E7FEC">
        <w:rPr>
          <w:rFonts w:ascii="Arial" w:hAnsi="Arial" w:cs="Arial"/>
        </w:rPr>
        <w:t>alterius</w:t>
      </w:r>
      <w:proofErr w:type="spellEnd"/>
      <w:r w:rsidR="00ED697D" w:rsidRPr="006E7FEC">
        <w:rPr>
          <w:rFonts w:ascii="Arial" w:hAnsi="Arial" w:cs="Arial"/>
        </w:rPr>
        <w:t xml:space="preserve">, or "Expression </w:t>
      </w:r>
      <w:proofErr w:type="spellStart"/>
      <w:r w:rsidR="00ED697D" w:rsidRPr="006E7FEC">
        <w:rPr>
          <w:rFonts w:ascii="Arial" w:hAnsi="Arial" w:cs="Arial"/>
        </w:rPr>
        <w:t>Unius</w:t>
      </w:r>
      <w:proofErr w:type="spellEnd"/>
      <w:r w:rsidR="00ED697D" w:rsidRPr="006E7FEC">
        <w:rPr>
          <w:rFonts w:ascii="Arial" w:hAnsi="Arial" w:cs="Arial"/>
        </w:rPr>
        <w:t xml:space="preserve"> - Exclusion of Other Things," is the name given to this phenomenon. There are a few items that are exempt from the Act. A word is assessed by its company, and this concept must be applied to the context of the Act</w:t>
      </w:r>
      <w:r w:rsidR="00134205" w:rsidRPr="006E7FEC">
        <w:rPr>
          <w:rStyle w:val="FootnoteReference"/>
          <w:rFonts w:ascii="Arial" w:hAnsi="Arial" w:cs="Arial"/>
        </w:rPr>
        <w:footnoteReference w:id="14"/>
      </w:r>
      <w:r w:rsidR="00ED697D" w:rsidRPr="006E7FEC">
        <w:rPr>
          <w:rFonts w:ascii="Arial" w:hAnsi="Arial" w:cs="Arial"/>
        </w:rPr>
        <w:t xml:space="preserve">. The elements of an activity that assist in communicating its importance are referred to as intrinsic </w:t>
      </w:r>
      <w:r w:rsidR="006E7FEC" w:rsidRPr="006E7FEC">
        <w:rPr>
          <w:rFonts w:ascii="Arial" w:hAnsi="Arial" w:cs="Arial"/>
        </w:rPr>
        <w:t>aids. In</w:t>
      </w:r>
      <w:r w:rsidR="00ED697D" w:rsidRPr="006E7FEC">
        <w:rPr>
          <w:rFonts w:ascii="Arial" w:hAnsi="Arial" w:cs="Arial"/>
        </w:rPr>
        <w:t xml:space="preserve"> the end, extrinsic aids are employed to contextualize an Act in its historical and legal contexts. Remember that the Law is a framework built on the foundations of social norms as well as moral and ethical standards after reading this remark. Statutory Interpretation may be described as the study of "rules." Football games and workplace civility are both examples of rule-based activities</w:t>
      </w:r>
      <w:r w:rsidR="00134205" w:rsidRPr="006E7FEC">
        <w:rPr>
          <w:rStyle w:val="FootnoteReference"/>
          <w:rFonts w:ascii="Arial" w:hAnsi="Arial" w:cs="Arial"/>
        </w:rPr>
        <w:footnoteReference w:id="15"/>
      </w:r>
      <w:r w:rsidR="00ED697D" w:rsidRPr="006E7FEC">
        <w:rPr>
          <w:rFonts w:ascii="Arial" w:hAnsi="Arial" w:cs="Arial"/>
        </w:rPr>
        <w:t>. To gauge how successfully a person's actions are controlled and regulated, these norms may be used to grade their performance. Rules are used as a guidepost. In rule-based systems, the result is predictable and stable since the value of each circumstance is not reviewed</w:t>
      </w:r>
      <w:r w:rsidR="00134205" w:rsidRPr="006E7FEC">
        <w:rPr>
          <w:rStyle w:val="FootnoteReference"/>
          <w:rFonts w:ascii="Arial" w:hAnsi="Arial" w:cs="Arial"/>
        </w:rPr>
        <w:footnoteReference w:id="16"/>
      </w:r>
      <w:r w:rsidR="00ED697D" w:rsidRPr="006E7FEC">
        <w:rPr>
          <w:rFonts w:ascii="Arial" w:hAnsi="Arial" w:cs="Arial"/>
        </w:rPr>
        <w:t>. Although there are circumstances that impact the interpretation and implementation</w:t>
      </w:r>
      <w:r w:rsidR="00ED697D" w:rsidRPr="00ED697D">
        <w:rPr>
          <w:rFonts w:ascii="Times New Roman" w:hAnsi="Times New Roman" w:cs="Times New Roman"/>
          <w:sz w:val="24"/>
          <w:szCs w:val="24"/>
        </w:rPr>
        <w:t xml:space="preserve"> of legal rules since laws are defined in language, having a set of rules to follow in the interpretation of rules does not always indicate rigidity in the conclusion, and the </w:t>
      </w:r>
      <w:r w:rsidR="00ED697D" w:rsidRPr="006E7FEC">
        <w:rPr>
          <w:rFonts w:ascii="Arial" w:hAnsi="Arial" w:cs="Arial"/>
        </w:rPr>
        <w:lastRenderedPageBreak/>
        <w:t>result might be "wrong.". Choosing the best suitable rule for each scenario is critical since there is no universal way to interpreting legislative provisions</w:t>
      </w:r>
      <w:r w:rsidR="00134205" w:rsidRPr="006E7FEC">
        <w:rPr>
          <w:rStyle w:val="FootnoteReference"/>
          <w:rFonts w:ascii="Arial" w:hAnsi="Arial" w:cs="Arial"/>
        </w:rPr>
        <w:footnoteReference w:id="17"/>
      </w:r>
      <w:r w:rsidR="00ED697D" w:rsidRPr="006E7FEC">
        <w:rPr>
          <w:rFonts w:ascii="Arial" w:hAnsi="Arial" w:cs="Arial"/>
        </w:rPr>
        <w:t xml:space="preserve">. The best way to keep the law </w:t>
      </w:r>
      <w:proofErr w:type="gramStart"/>
      <w:r w:rsidR="00ED697D" w:rsidRPr="006E7FEC">
        <w:rPr>
          <w:rFonts w:ascii="Arial" w:hAnsi="Arial" w:cs="Arial"/>
        </w:rPr>
        <w:t>in tact</w:t>
      </w:r>
      <w:proofErr w:type="gramEnd"/>
      <w:r w:rsidR="00ED697D" w:rsidRPr="006E7FEC">
        <w:rPr>
          <w:rFonts w:ascii="Arial" w:hAnsi="Arial" w:cs="Arial"/>
        </w:rPr>
        <w:t xml:space="preserve"> is to use a mix of rules that allow for reflection and serve as a foundation for action.</w:t>
      </w:r>
    </w:p>
    <w:p w14:paraId="35F02135" w14:textId="77777777" w:rsidR="00651288" w:rsidRPr="006E7FEC" w:rsidRDefault="00651288" w:rsidP="00691AC8">
      <w:pPr>
        <w:spacing w:line="480" w:lineRule="auto"/>
        <w:rPr>
          <w:rFonts w:ascii="Arial" w:hAnsi="Arial" w:cs="Arial"/>
          <w:sz w:val="24"/>
          <w:szCs w:val="24"/>
        </w:rPr>
      </w:pPr>
      <w:r w:rsidRPr="006E7FEC">
        <w:rPr>
          <w:rFonts w:ascii="Arial" w:hAnsi="Arial" w:cs="Arial"/>
          <w:sz w:val="24"/>
          <w:szCs w:val="24"/>
        </w:rPr>
        <w:br w:type="page"/>
      </w:r>
    </w:p>
    <w:p w14:paraId="405B492C" w14:textId="42F761A1" w:rsidR="005959BB" w:rsidRPr="006E7FEC" w:rsidRDefault="006E7FEC" w:rsidP="00691AC8">
      <w:pPr>
        <w:spacing w:line="480" w:lineRule="auto"/>
        <w:rPr>
          <w:rFonts w:ascii="Arial" w:hAnsi="Arial" w:cs="Arial"/>
          <w:b/>
          <w:bCs/>
          <w:sz w:val="24"/>
          <w:szCs w:val="24"/>
          <w:u w:val="single"/>
        </w:rPr>
      </w:pPr>
      <w:r w:rsidRPr="006E7FEC">
        <w:rPr>
          <w:rFonts w:ascii="Arial" w:hAnsi="Arial" w:cs="Arial"/>
          <w:b/>
          <w:bCs/>
          <w:sz w:val="24"/>
          <w:szCs w:val="24"/>
          <w:u w:val="single"/>
        </w:rPr>
        <w:lastRenderedPageBreak/>
        <w:t>References:</w:t>
      </w:r>
    </w:p>
    <w:p w14:paraId="48E73DEB" w14:textId="77777777" w:rsidR="007F5B14" w:rsidRPr="006E7FEC" w:rsidRDefault="007F5B14" w:rsidP="00691AC8">
      <w:pPr>
        <w:spacing w:line="480" w:lineRule="auto"/>
        <w:ind w:left="720" w:hanging="720"/>
        <w:rPr>
          <w:rFonts w:ascii="Arial" w:hAnsi="Arial" w:cs="Arial"/>
          <w:color w:val="222222"/>
          <w:shd w:val="clear" w:color="auto" w:fill="FFFFFF"/>
        </w:rPr>
      </w:pPr>
      <w:r w:rsidRPr="006E7FEC">
        <w:rPr>
          <w:rFonts w:ascii="Arial" w:hAnsi="Arial" w:cs="Arial"/>
          <w:color w:val="222222"/>
          <w:shd w:val="clear" w:color="auto" w:fill="FFFFFF"/>
        </w:rPr>
        <w:t xml:space="preserve">Alder, John, and Keith </w:t>
      </w:r>
      <w:proofErr w:type="spellStart"/>
      <w:r w:rsidRPr="006E7FEC">
        <w:rPr>
          <w:rFonts w:ascii="Arial" w:hAnsi="Arial" w:cs="Arial"/>
          <w:color w:val="222222"/>
          <w:shd w:val="clear" w:color="auto" w:fill="FFFFFF"/>
        </w:rPr>
        <w:t>Syrett</w:t>
      </w:r>
      <w:proofErr w:type="spellEnd"/>
      <w:r w:rsidRPr="006E7FEC">
        <w:rPr>
          <w:rFonts w:ascii="Arial" w:hAnsi="Arial" w:cs="Arial"/>
          <w:color w:val="222222"/>
          <w:shd w:val="clear" w:color="auto" w:fill="FFFFFF"/>
        </w:rPr>
        <w:t>. </w:t>
      </w:r>
      <w:r w:rsidRPr="006E7FEC">
        <w:rPr>
          <w:rFonts w:ascii="Arial" w:hAnsi="Arial" w:cs="Arial"/>
          <w:i/>
          <w:iCs/>
          <w:color w:val="222222"/>
          <w:shd w:val="clear" w:color="auto" w:fill="FFFFFF"/>
        </w:rPr>
        <w:t>Constitutional and administrative law</w:t>
      </w:r>
      <w:r w:rsidRPr="006E7FEC">
        <w:rPr>
          <w:rFonts w:ascii="Arial" w:hAnsi="Arial" w:cs="Arial"/>
          <w:color w:val="222222"/>
          <w:shd w:val="clear" w:color="auto" w:fill="FFFFFF"/>
        </w:rPr>
        <w:t>. Macmillan International Higher Education, 2007.</w:t>
      </w:r>
    </w:p>
    <w:p w14:paraId="6A3F4EE3" w14:textId="77777777" w:rsidR="007F5B14" w:rsidRPr="006E7FEC" w:rsidRDefault="007F5B14" w:rsidP="00691AC8">
      <w:pPr>
        <w:spacing w:line="480" w:lineRule="auto"/>
        <w:ind w:left="720" w:hanging="720"/>
        <w:rPr>
          <w:rFonts w:ascii="Arial" w:hAnsi="Arial" w:cs="Arial"/>
          <w:color w:val="222222"/>
          <w:shd w:val="clear" w:color="auto" w:fill="FFFFFF"/>
        </w:rPr>
      </w:pPr>
      <w:r w:rsidRPr="006E7FEC">
        <w:rPr>
          <w:rFonts w:ascii="Arial" w:hAnsi="Arial" w:cs="Arial"/>
          <w:color w:val="222222"/>
          <w:shd w:val="clear" w:color="auto" w:fill="FFFFFF"/>
        </w:rPr>
        <w:t>Allan, Trevor RS. </w:t>
      </w:r>
      <w:r w:rsidRPr="006E7FEC">
        <w:rPr>
          <w:rFonts w:ascii="Arial" w:hAnsi="Arial" w:cs="Arial"/>
          <w:i/>
          <w:iCs/>
          <w:color w:val="222222"/>
          <w:shd w:val="clear" w:color="auto" w:fill="FFFFFF"/>
        </w:rPr>
        <w:t>Constitutional justice: a liberal theory of the rule of law</w:t>
      </w:r>
      <w:r w:rsidRPr="006E7FEC">
        <w:rPr>
          <w:rFonts w:ascii="Arial" w:hAnsi="Arial" w:cs="Arial"/>
          <w:color w:val="222222"/>
          <w:shd w:val="clear" w:color="auto" w:fill="FFFFFF"/>
        </w:rPr>
        <w:t>. Oxford University Press on Demand, 2003.</w:t>
      </w:r>
    </w:p>
    <w:p w14:paraId="19C25799" w14:textId="77777777" w:rsidR="007F5B14" w:rsidRPr="006E7FEC" w:rsidRDefault="007F5B14" w:rsidP="00691AC8">
      <w:pPr>
        <w:spacing w:line="480" w:lineRule="auto"/>
        <w:ind w:left="720" w:hanging="720"/>
        <w:rPr>
          <w:rFonts w:ascii="Arial" w:hAnsi="Arial" w:cs="Arial"/>
          <w:color w:val="222222"/>
          <w:shd w:val="clear" w:color="auto" w:fill="FFFFFF"/>
        </w:rPr>
      </w:pPr>
      <w:r w:rsidRPr="006E7FEC">
        <w:rPr>
          <w:rFonts w:ascii="Arial" w:hAnsi="Arial" w:cs="Arial"/>
          <w:color w:val="222222"/>
          <w:shd w:val="clear" w:color="auto" w:fill="FFFFFF"/>
        </w:rPr>
        <w:t>Crawford, Lisa B. "The rule of law in the age of statutes." </w:t>
      </w:r>
      <w:r w:rsidRPr="006E7FEC">
        <w:rPr>
          <w:rFonts w:ascii="Arial" w:hAnsi="Arial" w:cs="Arial"/>
          <w:i/>
          <w:iCs/>
          <w:color w:val="222222"/>
          <w:shd w:val="clear" w:color="auto" w:fill="FFFFFF"/>
        </w:rPr>
        <w:t>Federal Law Review</w:t>
      </w:r>
      <w:r w:rsidRPr="006E7FEC">
        <w:rPr>
          <w:rFonts w:ascii="Arial" w:hAnsi="Arial" w:cs="Arial"/>
          <w:color w:val="222222"/>
          <w:shd w:val="clear" w:color="auto" w:fill="FFFFFF"/>
        </w:rPr>
        <w:t> 48, no. 2 (2020): 159-185.</w:t>
      </w:r>
    </w:p>
    <w:p w14:paraId="4FA74918" w14:textId="77777777" w:rsidR="007F5B14" w:rsidRPr="006E7FEC" w:rsidRDefault="007F5B14" w:rsidP="00691AC8">
      <w:pPr>
        <w:spacing w:line="480" w:lineRule="auto"/>
        <w:ind w:left="720" w:hanging="720"/>
        <w:rPr>
          <w:rFonts w:ascii="Arial" w:hAnsi="Arial" w:cs="Arial"/>
          <w:color w:val="222222"/>
          <w:shd w:val="clear" w:color="auto" w:fill="FFFFFF"/>
        </w:rPr>
      </w:pPr>
      <w:r w:rsidRPr="006E7FEC">
        <w:rPr>
          <w:rFonts w:ascii="Arial" w:hAnsi="Arial" w:cs="Arial"/>
          <w:color w:val="222222"/>
          <w:shd w:val="clear" w:color="auto" w:fill="FFFFFF"/>
        </w:rPr>
        <w:t>Eskridge Jr, W.N., 1988. Politics without romance: implications of public choice theory for statutory interpretation. </w:t>
      </w:r>
      <w:r w:rsidRPr="006E7FEC">
        <w:rPr>
          <w:rFonts w:ascii="Arial" w:hAnsi="Arial" w:cs="Arial"/>
          <w:i/>
          <w:iCs/>
          <w:color w:val="222222"/>
          <w:shd w:val="clear" w:color="auto" w:fill="FFFFFF"/>
        </w:rPr>
        <w:t>Virginia Law Review</w:t>
      </w:r>
      <w:r w:rsidRPr="006E7FEC">
        <w:rPr>
          <w:rFonts w:ascii="Arial" w:hAnsi="Arial" w:cs="Arial"/>
          <w:color w:val="222222"/>
          <w:shd w:val="clear" w:color="auto" w:fill="FFFFFF"/>
        </w:rPr>
        <w:t>, pp.275-338.</w:t>
      </w:r>
    </w:p>
    <w:p w14:paraId="5FAC069E" w14:textId="77777777" w:rsidR="007F5B14" w:rsidRPr="006E7FEC" w:rsidRDefault="007F5B14" w:rsidP="00691AC8">
      <w:pPr>
        <w:spacing w:line="480" w:lineRule="auto"/>
        <w:ind w:left="720" w:hanging="720"/>
        <w:rPr>
          <w:rFonts w:ascii="Arial" w:hAnsi="Arial" w:cs="Arial"/>
          <w:color w:val="222222"/>
          <w:shd w:val="clear" w:color="auto" w:fill="FFFFFF"/>
        </w:rPr>
      </w:pPr>
      <w:r w:rsidRPr="006E7FEC">
        <w:rPr>
          <w:rFonts w:ascii="Arial" w:hAnsi="Arial" w:cs="Arial"/>
          <w:color w:val="222222"/>
          <w:shd w:val="clear" w:color="auto" w:fill="FFFFFF"/>
        </w:rPr>
        <w:t>Farina, Cynthia R. "Statutory interpretation and the balance of power in the administrative state." </w:t>
      </w:r>
      <w:r w:rsidRPr="006E7FEC">
        <w:rPr>
          <w:rFonts w:ascii="Arial" w:hAnsi="Arial" w:cs="Arial"/>
          <w:i/>
          <w:iCs/>
          <w:color w:val="222222"/>
          <w:shd w:val="clear" w:color="auto" w:fill="FFFFFF"/>
        </w:rPr>
        <w:t>Colum. L. Rev.</w:t>
      </w:r>
      <w:r w:rsidRPr="006E7FEC">
        <w:rPr>
          <w:rFonts w:ascii="Arial" w:hAnsi="Arial" w:cs="Arial"/>
          <w:color w:val="222222"/>
          <w:shd w:val="clear" w:color="auto" w:fill="FFFFFF"/>
        </w:rPr>
        <w:t> 89 (1989): 452.</w:t>
      </w:r>
    </w:p>
    <w:p w14:paraId="6586C0A0" w14:textId="77777777" w:rsidR="007F5B14" w:rsidRPr="006E7FEC" w:rsidRDefault="007F5B14" w:rsidP="00691AC8">
      <w:pPr>
        <w:spacing w:line="480" w:lineRule="auto"/>
        <w:ind w:left="720" w:hanging="720"/>
        <w:rPr>
          <w:rFonts w:ascii="Arial" w:hAnsi="Arial" w:cs="Arial"/>
          <w:color w:val="222222"/>
          <w:shd w:val="clear" w:color="auto" w:fill="FFFFFF"/>
        </w:rPr>
      </w:pPr>
      <w:r w:rsidRPr="006E7FEC">
        <w:rPr>
          <w:rFonts w:ascii="Arial" w:hAnsi="Arial" w:cs="Arial"/>
          <w:color w:val="222222"/>
          <w:shd w:val="clear" w:color="auto" w:fill="FFFFFF"/>
        </w:rPr>
        <w:t>Feldman, David. "The nature and significance of “constitutional” legislation." </w:t>
      </w:r>
      <w:r w:rsidRPr="006E7FEC">
        <w:rPr>
          <w:rFonts w:ascii="Arial" w:hAnsi="Arial" w:cs="Arial"/>
          <w:i/>
          <w:iCs/>
          <w:color w:val="222222"/>
          <w:shd w:val="clear" w:color="auto" w:fill="FFFFFF"/>
        </w:rPr>
        <w:t>LQR</w:t>
      </w:r>
      <w:r w:rsidRPr="006E7FEC">
        <w:rPr>
          <w:rFonts w:ascii="Arial" w:hAnsi="Arial" w:cs="Arial"/>
          <w:color w:val="222222"/>
          <w:shd w:val="clear" w:color="auto" w:fill="FFFFFF"/>
        </w:rPr>
        <w:t> 129 (2013): 343-347.</w:t>
      </w:r>
    </w:p>
    <w:p w14:paraId="7D98A32C" w14:textId="77777777" w:rsidR="007F5B14" w:rsidRPr="006E7FEC" w:rsidRDefault="007F5B14" w:rsidP="00691AC8">
      <w:pPr>
        <w:spacing w:line="480" w:lineRule="auto"/>
        <w:ind w:left="720" w:hanging="720"/>
        <w:rPr>
          <w:rFonts w:ascii="Arial" w:hAnsi="Arial" w:cs="Arial"/>
          <w:color w:val="222222"/>
          <w:shd w:val="clear" w:color="auto" w:fill="FFFFFF"/>
        </w:rPr>
      </w:pPr>
      <w:r w:rsidRPr="006E7FEC">
        <w:rPr>
          <w:rFonts w:ascii="Arial" w:hAnsi="Arial" w:cs="Arial"/>
          <w:color w:val="222222"/>
          <w:shd w:val="clear" w:color="auto" w:fill="FFFFFF"/>
        </w:rPr>
        <w:t>Jackson, Robert H. "Full Faith and Credit--The Lawyer's Clause of the Constitution." </w:t>
      </w:r>
      <w:r w:rsidRPr="006E7FEC">
        <w:rPr>
          <w:rFonts w:ascii="Arial" w:hAnsi="Arial" w:cs="Arial"/>
          <w:i/>
          <w:iCs/>
          <w:color w:val="222222"/>
          <w:shd w:val="clear" w:color="auto" w:fill="FFFFFF"/>
        </w:rPr>
        <w:t>Colum. L. Rev.</w:t>
      </w:r>
      <w:r w:rsidRPr="006E7FEC">
        <w:rPr>
          <w:rFonts w:ascii="Arial" w:hAnsi="Arial" w:cs="Arial"/>
          <w:color w:val="222222"/>
          <w:shd w:val="clear" w:color="auto" w:fill="FFFFFF"/>
        </w:rPr>
        <w:t> 45 (1945): 1.</w:t>
      </w:r>
    </w:p>
    <w:p w14:paraId="63B8C226" w14:textId="77777777" w:rsidR="007F5B14" w:rsidRPr="006E7FEC" w:rsidRDefault="007F5B14" w:rsidP="00691AC8">
      <w:pPr>
        <w:spacing w:line="480" w:lineRule="auto"/>
        <w:ind w:left="720" w:hanging="720"/>
        <w:rPr>
          <w:rFonts w:ascii="Arial" w:hAnsi="Arial" w:cs="Arial"/>
          <w:color w:val="222222"/>
          <w:shd w:val="clear" w:color="auto" w:fill="FFFFFF"/>
        </w:rPr>
      </w:pPr>
      <w:proofErr w:type="spellStart"/>
      <w:r w:rsidRPr="006E7FEC">
        <w:rPr>
          <w:rFonts w:ascii="Arial" w:hAnsi="Arial" w:cs="Arial"/>
          <w:color w:val="222222"/>
          <w:shd w:val="clear" w:color="auto" w:fill="FFFFFF"/>
        </w:rPr>
        <w:t>Klimas</w:t>
      </w:r>
      <w:proofErr w:type="spellEnd"/>
      <w:r w:rsidRPr="006E7FEC">
        <w:rPr>
          <w:rFonts w:ascii="Arial" w:hAnsi="Arial" w:cs="Arial"/>
          <w:color w:val="222222"/>
          <w:shd w:val="clear" w:color="auto" w:fill="FFFFFF"/>
        </w:rPr>
        <w:t xml:space="preserve">, </w:t>
      </w:r>
      <w:proofErr w:type="spellStart"/>
      <w:r w:rsidRPr="006E7FEC">
        <w:rPr>
          <w:rFonts w:ascii="Arial" w:hAnsi="Arial" w:cs="Arial"/>
          <w:color w:val="222222"/>
          <w:shd w:val="clear" w:color="auto" w:fill="FFFFFF"/>
        </w:rPr>
        <w:t>Tadas</w:t>
      </w:r>
      <w:proofErr w:type="spellEnd"/>
      <w:r w:rsidRPr="006E7FEC">
        <w:rPr>
          <w:rFonts w:ascii="Arial" w:hAnsi="Arial" w:cs="Arial"/>
          <w:color w:val="222222"/>
          <w:shd w:val="clear" w:color="auto" w:fill="FFFFFF"/>
        </w:rPr>
        <w:t xml:space="preserve">, and </w:t>
      </w:r>
      <w:proofErr w:type="spellStart"/>
      <w:r w:rsidRPr="006E7FEC">
        <w:rPr>
          <w:rFonts w:ascii="Arial" w:hAnsi="Arial" w:cs="Arial"/>
          <w:color w:val="222222"/>
          <w:shd w:val="clear" w:color="auto" w:fill="FFFFFF"/>
        </w:rPr>
        <w:t>Jurate</w:t>
      </w:r>
      <w:proofErr w:type="spellEnd"/>
      <w:r w:rsidRPr="006E7FEC">
        <w:rPr>
          <w:rFonts w:ascii="Arial" w:hAnsi="Arial" w:cs="Arial"/>
          <w:color w:val="222222"/>
          <w:shd w:val="clear" w:color="auto" w:fill="FFFFFF"/>
        </w:rPr>
        <w:t xml:space="preserve"> </w:t>
      </w:r>
      <w:proofErr w:type="spellStart"/>
      <w:r w:rsidRPr="006E7FEC">
        <w:rPr>
          <w:rFonts w:ascii="Arial" w:hAnsi="Arial" w:cs="Arial"/>
          <w:color w:val="222222"/>
          <w:shd w:val="clear" w:color="auto" w:fill="FFFFFF"/>
        </w:rPr>
        <w:t>Vaiciukaite</w:t>
      </w:r>
      <w:proofErr w:type="spellEnd"/>
      <w:r w:rsidRPr="006E7FEC">
        <w:rPr>
          <w:rFonts w:ascii="Arial" w:hAnsi="Arial" w:cs="Arial"/>
          <w:color w:val="222222"/>
          <w:shd w:val="clear" w:color="auto" w:fill="FFFFFF"/>
        </w:rPr>
        <w:t>. "The law of recitals in European Community legislation." </w:t>
      </w:r>
      <w:r w:rsidRPr="006E7FEC">
        <w:rPr>
          <w:rFonts w:ascii="Arial" w:hAnsi="Arial" w:cs="Arial"/>
          <w:i/>
          <w:iCs/>
          <w:color w:val="222222"/>
          <w:shd w:val="clear" w:color="auto" w:fill="FFFFFF"/>
        </w:rPr>
        <w:t>ILSA J. Int'l &amp; Comp. L.</w:t>
      </w:r>
      <w:r w:rsidRPr="006E7FEC">
        <w:rPr>
          <w:rFonts w:ascii="Arial" w:hAnsi="Arial" w:cs="Arial"/>
          <w:color w:val="222222"/>
          <w:shd w:val="clear" w:color="auto" w:fill="FFFFFF"/>
        </w:rPr>
        <w:t> 15 (2008): 61.</w:t>
      </w:r>
    </w:p>
    <w:p w14:paraId="41FD0CB0" w14:textId="77777777" w:rsidR="007F5B14" w:rsidRPr="006E7FEC" w:rsidRDefault="007F5B14" w:rsidP="00691AC8">
      <w:pPr>
        <w:spacing w:line="480" w:lineRule="auto"/>
        <w:ind w:left="720" w:hanging="720"/>
        <w:rPr>
          <w:rFonts w:ascii="Arial" w:hAnsi="Arial" w:cs="Arial"/>
          <w:color w:val="222222"/>
          <w:shd w:val="clear" w:color="auto" w:fill="FFFFFF"/>
        </w:rPr>
      </w:pPr>
      <w:proofErr w:type="spellStart"/>
      <w:r w:rsidRPr="006E7FEC">
        <w:rPr>
          <w:rFonts w:ascii="Arial" w:hAnsi="Arial" w:cs="Arial"/>
          <w:color w:val="222222"/>
          <w:shd w:val="clear" w:color="auto" w:fill="FFFFFF"/>
        </w:rPr>
        <w:t>MacCormick</w:t>
      </w:r>
      <w:proofErr w:type="spellEnd"/>
      <w:r w:rsidRPr="006E7FEC">
        <w:rPr>
          <w:rFonts w:ascii="Arial" w:hAnsi="Arial" w:cs="Arial"/>
          <w:color w:val="222222"/>
          <w:shd w:val="clear" w:color="auto" w:fill="FFFFFF"/>
        </w:rPr>
        <w:t>, Neil. </w:t>
      </w:r>
      <w:r w:rsidRPr="006E7FEC">
        <w:rPr>
          <w:rFonts w:ascii="Arial" w:hAnsi="Arial" w:cs="Arial"/>
          <w:i/>
          <w:iCs/>
          <w:color w:val="222222"/>
          <w:shd w:val="clear" w:color="auto" w:fill="FFFFFF"/>
        </w:rPr>
        <w:t>Questioning sovereignty: law, state, and nation in the European Commonwealth</w:t>
      </w:r>
      <w:r w:rsidRPr="006E7FEC">
        <w:rPr>
          <w:rFonts w:ascii="Arial" w:hAnsi="Arial" w:cs="Arial"/>
          <w:color w:val="222222"/>
          <w:shd w:val="clear" w:color="auto" w:fill="FFFFFF"/>
        </w:rPr>
        <w:t>. Vol. 117. Oxford: Oxford University Press, 1999.</w:t>
      </w:r>
    </w:p>
    <w:p w14:paraId="23DC9075" w14:textId="77777777" w:rsidR="007F5B14" w:rsidRPr="006E7FEC" w:rsidRDefault="007F5B14" w:rsidP="00691AC8">
      <w:pPr>
        <w:spacing w:line="480" w:lineRule="auto"/>
        <w:ind w:left="720" w:hanging="720"/>
        <w:rPr>
          <w:rFonts w:ascii="Arial" w:hAnsi="Arial" w:cs="Arial"/>
          <w:color w:val="222222"/>
          <w:shd w:val="clear" w:color="auto" w:fill="FFFFFF"/>
        </w:rPr>
      </w:pPr>
      <w:r w:rsidRPr="006E7FEC">
        <w:rPr>
          <w:rFonts w:ascii="Arial" w:hAnsi="Arial" w:cs="Arial"/>
          <w:color w:val="222222"/>
          <w:shd w:val="clear" w:color="auto" w:fill="FFFFFF"/>
        </w:rPr>
        <w:t>Macey, J.R., 1986. Promoting public-regarding legislation through statutory interpretation: an interest group model. </w:t>
      </w:r>
      <w:r w:rsidRPr="006E7FEC">
        <w:rPr>
          <w:rFonts w:ascii="Arial" w:hAnsi="Arial" w:cs="Arial"/>
          <w:i/>
          <w:iCs/>
          <w:color w:val="222222"/>
          <w:shd w:val="clear" w:color="auto" w:fill="FFFFFF"/>
        </w:rPr>
        <w:t>Columbia Law Review</w:t>
      </w:r>
      <w:r w:rsidRPr="006E7FEC">
        <w:rPr>
          <w:rFonts w:ascii="Arial" w:hAnsi="Arial" w:cs="Arial"/>
          <w:color w:val="222222"/>
          <w:shd w:val="clear" w:color="auto" w:fill="FFFFFF"/>
        </w:rPr>
        <w:t>, </w:t>
      </w:r>
      <w:r w:rsidRPr="006E7FEC">
        <w:rPr>
          <w:rFonts w:ascii="Arial" w:hAnsi="Arial" w:cs="Arial"/>
          <w:i/>
          <w:iCs/>
          <w:color w:val="222222"/>
          <w:shd w:val="clear" w:color="auto" w:fill="FFFFFF"/>
        </w:rPr>
        <w:t>86</w:t>
      </w:r>
      <w:r w:rsidRPr="006E7FEC">
        <w:rPr>
          <w:rFonts w:ascii="Arial" w:hAnsi="Arial" w:cs="Arial"/>
          <w:color w:val="222222"/>
          <w:shd w:val="clear" w:color="auto" w:fill="FFFFFF"/>
        </w:rPr>
        <w:t>(2), pp.223-268.</w:t>
      </w:r>
    </w:p>
    <w:p w14:paraId="5F9EAE25" w14:textId="77777777" w:rsidR="007F5B14" w:rsidRPr="006E7FEC" w:rsidRDefault="007F5B14" w:rsidP="00691AC8">
      <w:pPr>
        <w:spacing w:line="480" w:lineRule="auto"/>
        <w:ind w:left="720" w:hanging="720"/>
        <w:rPr>
          <w:rFonts w:ascii="Arial" w:hAnsi="Arial" w:cs="Arial"/>
          <w:color w:val="222222"/>
          <w:shd w:val="clear" w:color="auto" w:fill="FFFFFF"/>
        </w:rPr>
      </w:pPr>
      <w:r w:rsidRPr="006E7FEC">
        <w:rPr>
          <w:rFonts w:ascii="Arial" w:hAnsi="Arial" w:cs="Arial"/>
          <w:color w:val="222222"/>
          <w:shd w:val="clear" w:color="auto" w:fill="FFFFFF"/>
        </w:rPr>
        <w:lastRenderedPageBreak/>
        <w:t>Macey, Jonathan R. "Promoting public-regarding legislation through statutory interpretation: an interest group model." </w:t>
      </w:r>
      <w:r w:rsidRPr="006E7FEC">
        <w:rPr>
          <w:rFonts w:ascii="Arial" w:hAnsi="Arial" w:cs="Arial"/>
          <w:i/>
          <w:iCs/>
          <w:color w:val="222222"/>
          <w:shd w:val="clear" w:color="auto" w:fill="FFFFFF"/>
        </w:rPr>
        <w:t>Columbia Law Review</w:t>
      </w:r>
      <w:r w:rsidRPr="006E7FEC">
        <w:rPr>
          <w:rFonts w:ascii="Arial" w:hAnsi="Arial" w:cs="Arial"/>
          <w:color w:val="222222"/>
          <w:shd w:val="clear" w:color="auto" w:fill="FFFFFF"/>
        </w:rPr>
        <w:t> 86, no. 2 (1986): 223-268.</w:t>
      </w:r>
    </w:p>
    <w:p w14:paraId="658BB2E2" w14:textId="77777777" w:rsidR="007F5B14" w:rsidRPr="006E7FEC" w:rsidRDefault="007F5B14" w:rsidP="00691AC8">
      <w:pPr>
        <w:spacing w:line="480" w:lineRule="auto"/>
        <w:ind w:left="720" w:hanging="720"/>
        <w:rPr>
          <w:rFonts w:ascii="Arial" w:hAnsi="Arial" w:cs="Arial"/>
          <w:color w:val="222222"/>
          <w:shd w:val="clear" w:color="auto" w:fill="FFFFFF"/>
        </w:rPr>
      </w:pPr>
      <w:proofErr w:type="spellStart"/>
      <w:r w:rsidRPr="006E7FEC">
        <w:rPr>
          <w:rFonts w:ascii="Arial" w:hAnsi="Arial" w:cs="Arial"/>
          <w:color w:val="222222"/>
          <w:shd w:val="clear" w:color="auto" w:fill="FFFFFF"/>
        </w:rPr>
        <w:t>Motomura</w:t>
      </w:r>
      <w:proofErr w:type="spellEnd"/>
      <w:r w:rsidRPr="006E7FEC">
        <w:rPr>
          <w:rFonts w:ascii="Arial" w:hAnsi="Arial" w:cs="Arial"/>
          <w:color w:val="222222"/>
          <w:shd w:val="clear" w:color="auto" w:fill="FFFFFF"/>
        </w:rPr>
        <w:t>, Hiroshi. "Immigration law after a century of plenary power: Phantom constitutional norms and statutory interpretation." </w:t>
      </w:r>
      <w:r w:rsidRPr="006E7FEC">
        <w:rPr>
          <w:rFonts w:ascii="Arial" w:hAnsi="Arial" w:cs="Arial"/>
          <w:i/>
          <w:iCs/>
          <w:color w:val="222222"/>
          <w:shd w:val="clear" w:color="auto" w:fill="FFFFFF"/>
        </w:rPr>
        <w:t>Yale Law Journal</w:t>
      </w:r>
      <w:r w:rsidRPr="006E7FEC">
        <w:rPr>
          <w:rFonts w:ascii="Arial" w:hAnsi="Arial" w:cs="Arial"/>
          <w:color w:val="222222"/>
          <w:shd w:val="clear" w:color="auto" w:fill="FFFFFF"/>
        </w:rPr>
        <w:t> (1990): 545-613.</w:t>
      </w:r>
    </w:p>
    <w:p w14:paraId="3B5A6217" w14:textId="77777777" w:rsidR="007F5B14" w:rsidRPr="006E7FEC" w:rsidRDefault="007F5B14" w:rsidP="00691AC8">
      <w:pPr>
        <w:spacing w:line="480" w:lineRule="auto"/>
        <w:ind w:left="720" w:hanging="720"/>
        <w:rPr>
          <w:rFonts w:ascii="Arial" w:hAnsi="Arial" w:cs="Arial"/>
          <w:color w:val="222222"/>
          <w:shd w:val="clear" w:color="auto" w:fill="FFFFFF"/>
        </w:rPr>
      </w:pPr>
      <w:r w:rsidRPr="006E7FEC">
        <w:rPr>
          <w:rFonts w:ascii="Arial" w:hAnsi="Arial" w:cs="Arial"/>
          <w:color w:val="222222"/>
          <w:shd w:val="clear" w:color="auto" w:fill="FFFFFF"/>
        </w:rPr>
        <w:t>Nonet, Philippe, and Philip Selznick. </w:t>
      </w:r>
      <w:r w:rsidRPr="006E7FEC">
        <w:rPr>
          <w:rFonts w:ascii="Arial" w:hAnsi="Arial" w:cs="Arial"/>
          <w:i/>
          <w:iCs/>
          <w:color w:val="222222"/>
          <w:shd w:val="clear" w:color="auto" w:fill="FFFFFF"/>
        </w:rPr>
        <w:t>Law &amp; society in transition</w:t>
      </w:r>
      <w:r w:rsidRPr="006E7FEC">
        <w:rPr>
          <w:rFonts w:ascii="Arial" w:hAnsi="Arial" w:cs="Arial"/>
          <w:color w:val="222222"/>
          <w:shd w:val="clear" w:color="auto" w:fill="FFFFFF"/>
        </w:rPr>
        <w:t>. Routledge, 2017.</w:t>
      </w:r>
    </w:p>
    <w:p w14:paraId="1571EBF8" w14:textId="77777777" w:rsidR="007F5B14" w:rsidRPr="006E7FEC" w:rsidRDefault="007F5B14" w:rsidP="00691AC8">
      <w:pPr>
        <w:spacing w:line="480" w:lineRule="auto"/>
        <w:ind w:left="720" w:hanging="720"/>
        <w:rPr>
          <w:rFonts w:ascii="Arial" w:hAnsi="Arial" w:cs="Arial"/>
          <w:color w:val="222222"/>
          <w:shd w:val="clear" w:color="auto" w:fill="FFFFFF"/>
        </w:rPr>
      </w:pPr>
      <w:r w:rsidRPr="006E7FEC">
        <w:rPr>
          <w:rFonts w:ascii="Arial" w:hAnsi="Arial" w:cs="Arial"/>
          <w:color w:val="222222"/>
          <w:shd w:val="clear" w:color="auto" w:fill="FFFFFF"/>
        </w:rPr>
        <w:t>Watson, Alan. </w:t>
      </w:r>
      <w:r w:rsidRPr="006E7FEC">
        <w:rPr>
          <w:rFonts w:ascii="Arial" w:hAnsi="Arial" w:cs="Arial"/>
          <w:i/>
          <w:iCs/>
          <w:color w:val="222222"/>
          <w:shd w:val="clear" w:color="auto" w:fill="FFFFFF"/>
        </w:rPr>
        <w:t>Legal transplants: an approach to comparative law</w:t>
      </w:r>
      <w:r w:rsidRPr="006E7FEC">
        <w:rPr>
          <w:rFonts w:ascii="Arial" w:hAnsi="Arial" w:cs="Arial"/>
          <w:color w:val="222222"/>
          <w:shd w:val="clear" w:color="auto" w:fill="FFFFFF"/>
        </w:rPr>
        <w:t>. University of Georgia Press, 1993.</w:t>
      </w:r>
    </w:p>
    <w:p w14:paraId="406C3BBD" w14:textId="1C5E3393" w:rsidR="00C95460" w:rsidRPr="00691AC8" w:rsidRDefault="00C95460" w:rsidP="00691AC8">
      <w:pPr>
        <w:spacing w:line="480" w:lineRule="auto"/>
        <w:rPr>
          <w:rFonts w:ascii="Times New Roman" w:hAnsi="Times New Roman" w:cs="Times New Roman"/>
          <w:b/>
          <w:bCs/>
          <w:sz w:val="24"/>
          <w:szCs w:val="24"/>
        </w:rPr>
      </w:pPr>
    </w:p>
    <w:sectPr w:rsidR="00C95460" w:rsidRPr="00691AC8" w:rsidSect="006E7FEC">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5CFC7" w14:textId="77777777" w:rsidR="009F2BFD" w:rsidRDefault="009F2BFD" w:rsidP="00C95460">
      <w:pPr>
        <w:spacing w:after="0" w:line="240" w:lineRule="auto"/>
      </w:pPr>
      <w:r>
        <w:separator/>
      </w:r>
    </w:p>
  </w:endnote>
  <w:endnote w:type="continuationSeparator" w:id="0">
    <w:p w14:paraId="3AC55D2C" w14:textId="77777777" w:rsidR="009F2BFD" w:rsidRDefault="009F2BFD" w:rsidP="00C95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772AF" w14:textId="77777777" w:rsidR="009F2BFD" w:rsidRDefault="009F2BFD" w:rsidP="00C95460">
      <w:pPr>
        <w:spacing w:after="0" w:line="240" w:lineRule="auto"/>
      </w:pPr>
      <w:r>
        <w:separator/>
      </w:r>
    </w:p>
  </w:footnote>
  <w:footnote w:type="continuationSeparator" w:id="0">
    <w:p w14:paraId="71D49250" w14:textId="77777777" w:rsidR="009F2BFD" w:rsidRDefault="009F2BFD" w:rsidP="00C95460">
      <w:pPr>
        <w:spacing w:after="0" w:line="240" w:lineRule="auto"/>
      </w:pPr>
      <w:r>
        <w:continuationSeparator/>
      </w:r>
    </w:p>
  </w:footnote>
  <w:footnote w:id="1">
    <w:p w14:paraId="3878C9DA" w14:textId="46F477ED" w:rsidR="00ED697D" w:rsidRPr="0098611A" w:rsidRDefault="00ED697D" w:rsidP="00B021B4">
      <w:pPr>
        <w:pStyle w:val="FootnoteText"/>
        <w:spacing w:line="360" w:lineRule="auto"/>
        <w:rPr>
          <w:rFonts w:ascii="Arial" w:hAnsi="Arial" w:cs="Arial"/>
          <w:sz w:val="18"/>
          <w:szCs w:val="18"/>
        </w:rPr>
      </w:pPr>
      <w:r w:rsidRPr="0098611A">
        <w:rPr>
          <w:rStyle w:val="FootnoteReference"/>
          <w:rFonts w:ascii="Arial" w:hAnsi="Arial" w:cs="Arial"/>
          <w:sz w:val="18"/>
          <w:szCs w:val="18"/>
        </w:rPr>
        <w:footnoteRef/>
      </w:r>
      <w:r w:rsidRPr="0098611A">
        <w:rPr>
          <w:rFonts w:ascii="Arial" w:hAnsi="Arial" w:cs="Arial"/>
          <w:sz w:val="18"/>
          <w:szCs w:val="18"/>
        </w:rPr>
        <w:t xml:space="preserve"> </w:t>
      </w:r>
      <w:r w:rsidRPr="0098611A">
        <w:rPr>
          <w:rFonts w:ascii="Arial" w:hAnsi="Arial" w:cs="Arial"/>
          <w:color w:val="222222"/>
          <w:sz w:val="18"/>
          <w:szCs w:val="18"/>
          <w:shd w:val="clear" w:color="auto" w:fill="FFFFFF"/>
        </w:rPr>
        <w:t>Watson, Alan. </w:t>
      </w:r>
      <w:r w:rsidRPr="0098611A">
        <w:rPr>
          <w:rFonts w:ascii="Arial" w:hAnsi="Arial" w:cs="Arial"/>
          <w:i/>
          <w:iCs/>
          <w:color w:val="222222"/>
          <w:sz w:val="18"/>
          <w:szCs w:val="18"/>
          <w:shd w:val="clear" w:color="auto" w:fill="FFFFFF"/>
        </w:rPr>
        <w:t>Legal transplants: an approach to comparative law</w:t>
      </w:r>
      <w:r w:rsidRPr="0098611A">
        <w:rPr>
          <w:rFonts w:ascii="Arial" w:hAnsi="Arial" w:cs="Arial"/>
          <w:color w:val="222222"/>
          <w:sz w:val="18"/>
          <w:szCs w:val="18"/>
          <w:shd w:val="clear" w:color="auto" w:fill="FFFFFF"/>
        </w:rPr>
        <w:t>. University of Georgia Press, 1993.</w:t>
      </w:r>
    </w:p>
  </w:footnote>
  <w:footnote w:id="2">
    <w:p w14:paraId="4C24CC95" w14:textId="5047B5E2" w:rsidR="00ED697D" w:rsidRPr="0098611A" w:rsidRDefault="00ED697D" w:rsidP="00B021B4">
      <w:pPr>
        <w:pStyle w:val="FootnoteText"/>
        <w:spacing w:line="360" w:lineRule="auto"/>
        <w:rPr>
          <w:rFonts w:ascii="Arial" w:hAnsi="Arial" w:cs="Arial"/>
          <w:sz w:val="18"/>
          <w:szCs w:val="18"/>
        </w:rPr>
      </w:pPr>
      <w:r w:rsidRPr="0098611A">
        <w:rPr>
          <w:rStyle w:val="FootnoteReference"/>
          <w:rFonts w:ascii="Arial" w:hAnsi="Arial" w:cs="Arial"/>
          <w:sz w:val="18"/>
          <w:szCs w:val="18"/>
        </w:rPr>
        <w:footnoteRef/>
      </w:r>
      <w:r w:rsidRPr="0098611A">
        <w:rPr>
          <w:rFonts w:ascii="Arial" w:hAnsi="Arial" w:cs="Arial"/>
          <w:sz w:val="18"/>
          <w:szCs w:val="18"/>
        </w:rPr>
        <w:t xml:space="preserve"> </w:t>
      </w:r>
      <w:r w:rsidRPr="0098611A">
        <w:rPr>
          <w:rFonts w:ascii="Arial" w:hAnsi="Arial" w:cs="Arial"/>
          <w:color w:val="222222"/>
          <w:sz w:val="18"/>
          <w:szCs w:val="18"/>
          <w:shd w:val="clear" w:color="auto" w:fill="FFFFFF"/>
        </w:rPr>
        <w:t>Nonet, Philippe, and Philip Selznick. </w:t>
      </w:r>
      <w:r w:rsidRPr="0098611A">
        <w:rPr>
          <w:rFonts w:ascii="Arial" w:hAnsi="Arial" w:cs="Arial"/>
          <w:i/>
          <w:iCs/>
          <w:color w:val="222222"/>
          <w:sz w:val="18"/>
          <w:szCs w:val="18"/>
          <w:shd w:val="clear" w:color="auto" w:fill="FFFFFF"/>
        </w:rPr>
        <w:t>Law &amp; society in transition</w:t>
      </w:r>
      <w:r w:rsidRPr="0098611A">
        <w:rPr>
          <w:rFonts w:ascii="Arial" w:hAnsi="Arial" w:cs="Arial"/>
          <w:color w:val="222222"/>
          <w:sz w:val="18"/>
          <w:szCs w:val="18"/>
          <w:shd w:val="clear" w:color="auto" w:fill="FFFFFF"/>
        </w:rPr>
        <w:t>. Routledge, 2017.</w:t>
      </w:r>
    </w:p>
  </w:footnote>
  <w:footnote w:id="3">
    <w:p w14:paraId="4267CF7B" w14:textId="27BD4EE7" w:rsidR="00ED697D" w:rsidRPr="00B021B4" w:rsidRDefault="00ED697D" w:rsidP="00B021B4">
      <w:pPr>
        <w:pStyle w:val="FootnoteText"/>
        <w:spacing w:line="360" w:lineRule="auto"/>
        <w:rPr>
          <w:rFonts w:ascii="Times New Roman" w:hAnsi="Times New Roman" w:cs="Times New Roman"/>
          <w:sz w:val="18"/>
          <w:szCs w:val="18"/>
        </w:rPr>
      </w:pPr>
      <w:r w:rsidRPr="0098611A">
        <w:rPr>
          <w:rStyle w:val="FootnoteReference"/>
          <w:rFonts w:ascii="Arial" w:hAnsi="Arial" w:cs="Arial"/>
          <w:sz w:val="18"/>
          <w:szCs w:val="18"/>
        </w:rPr>
        <w:footnoteRef/>
      </w:r>
      <w:r w:rsidRPr="0098611A">
        <w:rPr>
          <w:rFonts w:ascii="Arial" w:hAnsi="Arial" w:cs="Arial"/>
          <w:sz w:val="18"/>
          <w:szCs w:val="18"/>
        </w:rPr>
        <w:t xml:space="preserve"> </w:t>
      </w:r>
      <w:r w:rsidRPr="0098611A">
        <w:rPr>
          <w:rFonts w:ascii="Arial" w:hAnsi="Arial" w:cs="Arial"/>
          <w:color w:val="222222"/>
          <w:sz w:val="18"/>
          <w:szCs w:val="18"/>
          <w:shd w:val="clear" w:color="auto" w:fill="FFFFFF"/>
        </w:rPr>
        <w:t>Motomura, Hiroshi. "Immigration law after a century of plenary power: Phantom constitutional norms and statutory interpretation." </w:t>
      </w:r>
      <w:r w:rsidRPr="0098611A">
        <w:rPr>
          <w:rFonts w:ascii="Arial" w:hAnsi="Arial" w:cs="Arial"/>
          <w:i/>
          <w:iCs/>
          <w:color w:val="222222"/>
          <w:sz w:val="18"/>
          <w:szCs w:val="18"/>
          <w:shd w:val="clear" w:color="auto" w:fill="FFFFFF"/>
        </w:rPr>
        <w:t>Yale Law Journal</w:t>
      </w:r>
      <w:r w:rsidRPr="0098611A">
        <w:rPr>
          <w:rFonts w:ascii="Arial" w:hAnsi="Arial" w:cs="Arial"/>
          <w:color w:val="222222"/>
          <w:sz w:val="18"/>
          <w:szCs w:val="18"/>
          <w:shd w:val="clear" w:color="auto" w:fill="FFFFFF"/>
        </w:rPr>
        <w:t> (1990): 545-613.</w:t>
      </w:r>
    </w:p>
  </w:footnote>
  <w:footnote w:id="4">
    <w:p w14:paraId="77C25EE9" w14:textId="19731EB0" w:rsidR="00ED697D" w:rsidRPr="0098611A" w:rsidRDefault="00ED697D" w:rsidP="00B021B4">
      <w:pPr>
        <w:pStyle w:val="FootnoteText"/>
        <w:spacing w:line="360" w:lineRule="auto"/>
        <w:rPr>
          <w:rFonts w:ascii="Arial" w:hAnsi="Arial" w:cs="Arial"/>
          <w:sz w:val="18"/>
          <w:szCs w:val="18"/>
        </w:rPr>
      </w:pPr>
      <w:r w:rsidRPr="0098611A">
        <w:rPr>
          <w:rStyle w:val="FootnoteReference"/>
          <w:rFonts w:ascii="Arial" w:hAnsi="Arial" w:cs="Arial"/>
          <w:sz w:val="18"/>
          <w:szCs w:val="18"/>
        </w:rPr>
        <w:footnoteRef/>
      </w:r>
      <w:r w:rsidRPr="0098611A">
        <w:rPr>
          <w:rFonts w:ascii="Arial" w:hAnsi="Arial" w:cs="Arial"/>
          <w:sz w:val="18"/>
          <w:szCs w:val="18"/>
        </w:rPr>
        <w:t xml:space="preserve"> </w:t>
      </w:r>
      <w:r w:rsidRPr="0098611A">
        <w:rPr>
          <w:rFonts w:ascii="Arial" w:hAnsi="Arial" w:cs="Arial"/>
          <w:color w:val="222222"/>
          <w:sz w:val="18"/>
          <w:szCs w:val="18"/>
          <w:shd w:val="clear" w:color="auto" w:fill="FFFFFF"/>
        </w:rPr>
        <w:t>Macey, Jonathan R. "Promoting public-regarding legislation through statutory interpretation: an interest group model." </w:t>
      </w:r>
      <w:r w:rsidRPr="0098611A">
        <w:rPr>
          <w:rFonts w:ascii="Arial" w:hAnsi="Arial" w:cs="Arial"/>
          <w:i/>
          <w:iCs/>
          <w:color w:val="222222"/>
          <w:sz w:val="18"/>
          <w:szCs w:val="18"/>
          <w:shd w:val="clear" w:color="auto" w:fill="FFFFFF"/>
        </w:rPr>
        <w:t>Columbia Law Review</w:t>
      </w:r>
      <w:r w:rsidRPr="0098611A">
        <w:rPr>
          <w:rFonts w:ascii="Arial" w:hAnsi="Arial" w:cs="Arial"/>
          <w:color w:val="222222"/>
          <w:sz w:val="18"/>
          <w:szCs w:val="18"/>
          <w:shd w:val="clear" w:color="auto" w:fill="FFFFFF"/>
        </w:rPr>
        <w:t> 86, no. 2 (1986): 223-268.</w:t>
      </w:r>
    </w:p>
  </w:footnote>
  <w:footnote w:id="5">
    <w:p w14:paraId="32B55974" w14:textId="2A1DB206" w:rsidR="00ED697D" w:rsidRPr="0098611A" w:rsidRDefault="00ED697D" w:rsidP="00B021B4">
      <w:pPr>
        <w:pStyle w:val="FootnoteText"/>
        <w:spacing w:line="360" w:lineRule="auto"/>
        <w:rPr>
          <w:rFonts w:ascii="Arial" w:hAnsi="Arial" w:cs="Arial"/>
          <w:sz w:val="18"/>
          <w:szCs w:val="18"/>
        </w:rPr>
      </w:pPr>
      <w:r w:rsidRPr="0098611A">
        <w:rPr>
          <w:rStyle w:val="FootnoteReference"/>
          <w:rFonts w:ascii="Arial" w:hAnsi="Arial" w:cs="Arial"/>
          <w:sz w:val="18"/>
          <w:szCs w:val="18"/>
        </w:rPr>
        <w:footnoteRef/>
      </w:r>
      <w:r w:rsidRPr="0098611A">
        <w:rPr>
          <w:rFonts w:ascii="Arial" w:hAnsi="Arial" w:cs="Arial"/>
          <w:sz w:val="18"/>
          <w:szCs w:val="18"/>
        </w:rPr>
        <w:t xml:space="preserve"> </w:t>
      </w:r>
      <w:r w:rsidRPr="0098611A">
        <w:rPr>
          <w:rFonts w:ascii="Arial" w:hAnsi="Arial" w:cs="Arial"/>
          <w:color w:val="222222"/>
          <w:sz w:val="18"/>
          <w:szCs w:val="18"/>
          <w:shd w:val="clear" w:color="auto" w:fill="FFFFFF"/>
        </w:rPr>
        <w:t>Macey, J.R., 1986. Promoting public-regarding legislation through statutory interpretation: an interest group model. </w:t>
      </w:r>
      <w:r w:rsidRPr="0098611A">
        <w:rPr>
          <w:rFonts w:ascii="Arial" w:hAnsi="Arial" w:cs="Arial"/>
          <w:i/>
          <w:iCs/>
          <w:color w:val="222222"/>
          <w:sz w:val="18"/>
          <w:szCs w:val="18"/>
          <w:shd w:val="clear" w:color="auto" w:fill="FFFFFF"/>
        </w:rPr>
        <w:t>Columbia Law Review</w:t>
      </w:r>
      <w:r w:rsidRPr="0098611A">
        <w:rPr>
          <w:rFonts w:ascii="Arial" w:hAnsi="Arial" w:cs="Arial"/>
          <w:color w:val="222222"/>
          <w:sz w:val="18"/>
          <w:szCs w:val="18"/>
          <w:shd w:val="clear" w:color="auto" w:fill="FFFFFF"/>
        </w:rPr>
        <w:t>, </w:t>
      </w:r>
      <w:r w:rsidRPr="0098611A">
        <w:rPr>
          <w:rFonts w:ascii="Arial" w:hAnsi="Arial" w:cs="Arial"/>
          <w:i/>
          <w:iCs/>
          <w:color w:val="222222"/>
          <w:sz w:val="18"/>
          <w:szCs w:val="18"/>
          <w:shd w:val="clear" w:color="auto" w:fill="FFFFFF"/>
        </w:rPr>
        <w:t>86</w:t>
      </w:r>
      <w:r w:rsidRPr="0098611A">
        <w:rPr>
          <w:rFonts w:ascii="Arial" w:hAnsi="Arial" w:cs="Arial"/>
          <w:color w:val="222222"/>
          <w:sz w:val="18"/>
          <w:szCs w:val="18"/>
          <w:shd w:val="clear" w:color="auto" w:fill="FFFFFF"/>
        </w:rPr>
        <w:t>(2), pp.223-268.</w:t>
      </w:r>
    </w:p>
  </w:footnote>
  <w:footnote w:id="6">
    <w:p w14:paraId="254BD547" w14:textId="6BE7308A" w:rsidR="00ED697D" w:rsidRPr="0098611A" w:rsidRDefault="00ED697D" w:rsidP="00B021B4">
      <w:pPr>
        <w:pStyle w:val="FootnoteText"/>
        <w:spacing w:line="360" w:lineRule="auto"/>
        <w:rPr>
          <w:rFonts w:ascii="Arial" w:hAnsi="Arial" w:cs="Arial"/>
          <w:sz w:val="18"/>
          <w:szCs w:val="18"/>
        </w:rPr>
      </w:pPr>
      <w:r w:rsidRPr="0098611A">
        <w:rPr>
          <w:rStyle w:val="FootnoteReference"/>
          <w:rFonts w:ascii="Arial" w:hAnsi="Arial" w:cs="Arial"/>
          <w:sz w:val="18"/>
          <w:szCs w:val="18"/>
        </w:rPr>
        <w:footnoteRef/>
      </w:r>
      <w:r w:rsidRPr="0098611A">
        <w:rPr>
          <w:rFonts w:ascii="Arial" w:hAnsi="Arial" w:cs="Arial"/>
          <w:sz w:val="18"/>
          <w:szCs w:val="18"/>
        </w:rPr>
        <w:t xml:space="preserve"> </w:t>
      </w:r>
      <w:r w:rsidRPr="0098611A">
        <w:rPr>
          <w:rFonts w:ascii="Arial" w:hAnsi="Arial" w:cs="Arial"/>
          <w:color w:val="222222"/>
          <w:sz w:val="18"/>
          <w:szCs w:val="18"/>
          <w:shd w:val="clear" w:color="auto" w:fill="FFFFFF"/>
        </w:rPr>
        <w:t>MacCormick, Neil. </w:t>
      </w:r>
      <w:r w:rsidRPr="0098611A">
        <w:rPr>
          <w:rFonts w:ascii="Arial" w:hAnsi="Arial" w:cs="Arial"/>
          <w:i/>
          <w:iCs/>
          <w:color w:val="222222"/>
          <w:sz w:val="18"/>
          <w:szCs w:val="18"/>
          <w:shd w:val="clear" w:color="auto" w:fill="FFFFFF"/>
        </w:rPr>
        <w:t>Questioning sovereignty: law, state, and nation in the European Commonwealth</w:t>
      </w:r>
      <w:r w:rsidRPr="0098611A">
        <w:rPr>
          <w:rFonts w:ascii="Arial" w:hAnsi="Arial" w:cs="Arial"/>
          <w:color w:val="222222"/>
          <w:sz w:val="18"/>
          <w:szCs w:val="18"/>
          <w:shd w:val="clear" w:color="auto" w:fill="FFFFFF"/>
        </w:rPr>
        <w:t>. Vol. 117. Oxford: Oxford University Press, 1999.</w:t>
      </w:r>
    </w:p>
  </w:footnote>
  <w:footnote w:id="7">
    <w:p w14:paraId="41C4DBC3" w14:textId="276709A0" w:rsidR="00ED697D" w:rsidRPr="0098611A" w:rsidRDefault="00ED697D" w:rsidP="00B021B4">
      <w:pPr>
        <w:pStyle w:val="FootnoteText"/>
        <w:spacing w:line="360" w:lineRule="auto"/>
        <w:rPr>
          <w:rFonts w:ascii="Arial" w:hAnsi="Arial" w:cs="Arial"/>
          <w:sz w:val="18"/>
          <w:szCs w:val="18"/>
        </w:rPr>
      </w:pPr>
      <w:r w:rsidRPr="0098611A">
        <w:rPr>
          <w:rStyle w:val="FootnoteReference"/>
          <w:rFonts w:ascii="Arial" w:hAnsi="Arial" w:cs="Arial"/>
          <w:sz w:val="18"/>
          <w:szCs w:val="18"/>
        </w:rPr>
        <w:footnoteRef/>
      </w:r>
      <w:r w:rsidRPr="0098611A">
        <w:rPr>
          <w:rFonts w:ascii="Arial" w:hAnsi="Arial" w:cs="Arial"/>
          <w:sz w:val="18"/>
          <w:szCs w:val="18"/>
        </w:rPr>
        <w:t xml:space="preserve"> </w:t>
      </w:r>
      <w:r w:rsidRPr="0098611A">
        <w:rPr>
          <w:rFonts w:ascii="Arial" w:hAnsi="Arial" w:cs="Arial"/>
          <w:color w:val="222222"/>
          <w:sz w:val="18"/>
          <w:szCs w:val="18"/>
          <w:shd w:val="clear" w:color="auto" w:fill="FFFFFF"/>
        </w:rPr>
        <w:t>Klimas, Tadas, and Jurate Vaiciukaite. "The law of recitals in European Community legislation." </w:t>
      </w:r>
      <w:r w:rsidRPr="0098611A">
        <w:rPr>
          <w:rFonts w:ascii="Arial" w:hAnsi="Arial" w:cs="Arial"/>
          <w:i/>
          <w:iCs/>
          <w:color w:val="222222"/>
          <w:sz w:val="18"/>
          <w:szCs w:val="18"/>
          <w:shd w:val="clear" w:color="auto" w:fill="FFFFFF"/>
        </w:rPr>
        <w:t>ILSA J. Int'l &amp; Comp. L.</w:t>
      </w:r>
      <w:r w:rsidRPr="0098611A">
        <w:rPr>
          <w:rFonts w:ascii="Arial" w:hAnsi="Arial" w:cs="Arial"/>
          <w:color w:val="222222"/>
          <w:sz w:val="18"/>
          <w:szCs w:val="18"/>
          <w:shd w:val="clear" w:color="auto" w:fill="FFFFFF"/>
        </w:rPr>
        <w:t> 15 (2008): 61.</w:t>
      </w:r>
    </w:p>
  </w:footnote>
  <w:footnote w:id="8">
    <w:p w14:paraId="1766974D" w14:textId="6E069196" w:rsidR="00ED697D" w:rsidRPr="0098611A" w:rsidRDefault="00ED697D" w:rsidP="00B021B4">
      <w:pPr>
        <w:pStyle w:val="FootnoteText"/>
        <w:spacing w:line="360" w:lineRule="auto"/>
        <w:rPr>
          <w:rFonts w:ascii="Arial" w:hAnsi="Arial" w:cs="Arial"/>
          <w:sz w:val="18"/>
          <w:szCs w:val="18"/>
        </w:rPr>
      </w:pPr>
      <w:r w:rsidRPr="0098611A">
        <w:rPr>
          <w:rStyle w:val="FootnoteReference"/>
          <w:rFonts w:ascii="Arial" w:hAnsi="Arial" w:cs="Arial"/>
          <w:sz w:val="18"/>
          <w:szCs w:val="18"/>
        </w:rPr>
        <w:footnoteRef/>
      </w:r>
      <w:r w:rsidRPr="0098611A">
        <w:rPr>
          <w:rFonts w:ascii="Arial" w:hAnsi="Arial" w:cs="Arial"/>
          <w:sz w:val="18"/>
          <w:szCs w:val="18"/>
        </w:rPr>
        <w:t xml:space="preserve"> </w:t>
      </w:r>
      <w:r w:rsidRPr="0098611A">
        <w:rPr>
          <w:rFonts w:ascii="Arial" w:hAnsi="Arial" w:cs="Arial"/>
          <w:color w:val="222222"/>
          <w:sz w:val="18"/>
          <w:szCs w:val="18"/>
          <w:shd w:val="clear" w:color="auto" w:fill="FFFFFF"/>
        </w:rPr>
        <w:t>Jackson, Robert H. "Full Faith and Credit--The Lawyer's Clause of the Constitution." </w:t>
      </w:r>
      <w:r w:rsidRPr="0098611A">
        <w:rPr>
          <w:rFonts w:ascii="Arial" w:hAnsi="Arial" w:cs="Arial"/>
          <w:i/>
          <w:iCs/>
          <w:color w:val="222222"/>
          <w:sz w:val="18"/>
          <w:szCs w:val="18"/>
          <w:shd w:val="clear" w:color="auto" w:fill="FFFFFF"/>
        </w:rPr>
        <w:t>Colum. L. Rev.</w:t>
      </w:r>
      <w:r w:rsidRPr="0098611A">
        <w:rPr>
          <w:rFonts w:ascii="Arial" w:hAnsi="Arial" w:cs="Arial"/>
          <w:color w:val="222222"/>
          <w:sz w:val="18"/>
          <w:szCs w:val="18"/>
          <w:shd w:val="clear" w:color="auto" w:fill="FFFFFF"/>
        </w:rPr>
        <w:t> 45 (1945): 1.</w:t>
      </w:r>
    </w:p>
  </w:footnote>
  <w:footnote w:id="9">
    <w:p w14:paraId="4E16224A" w14:textId="039C1598" w:rsidR="00ED697D" w:rsidRPr="0098611A" w:rsidRDefault="00ED697D" w:rsidP="00B021B4">
      <w:pPr>
        <w:pStyle w:val="FootnoteText"/>
        <w:spacing w:line="360" w:lineRule="auto"/>
        <w:rPr>
          <w:rFonts w:ascii="Arial" w:hAnsi="Arial" w:cs="Arial"/>
          <w:sz w:val="18"/>
          <w:szCs w:val="18"/>
        </w:rPr>
      </w:pPr>
      <w:r w:rsidRPr="0098611A">
        <w:rPr>
          <w:rStyle w:val="FootnoteReference"/>
          <w:rFonts w:ascii="Arial" w:hAnsi="Arial" w:cs="Arial"/>
          <w:sz w:val="18"/>
          <w:szCs w:val="18"/>
        </w:rPr>
        <w:footnoteRef/>
      </w:r>
      <w:r w:rsidRPr="0098611A">
        <w:rPr>
          <w:rFonts w:ascii="Arial" w:hAnsi="Arial" w:cs="Arial"/>
          <w:sz w:val="18"/>
          <w:szCs w:val="18"/>
        </w:rPr>
        <w:t xml:space="preserve"> </w:t>
      </w:r>
      <w:r w:rsidRPr="0098611A">
        <w:rPr>
          <w:rFonts w:ascii="Arial" w:hAnsi="Arial" w:cs="Arial"/>
          <w:color w:val="222222"/>
          <w:sz w:val="18"/>
          <w:szCs w:val="18"/>
          <w:shd w:val="clear" w:color="auto" w:fill="FFFFFF"/>
        </w:rPr>
        <w:t>Feldman, David. "The nature and significance of “constitutional” legislation." </w:t>
      </w:r>
      <w:r w:rsidRPr="0098611A">
        <w:rPr>
          <w:rFonts w:ascii="Arial" w:hAnsi="Arial" w:cs="Arial"/>
          <w:i/>
          <w:iCs/>
          <w:color w:val="222222"/>
          <w:sz w:val="18"/>
          <w:szCs w:val="18"/>
          <w:shd w:val="clear" w:color="auto" w:fill="FFFFFF"/>
        </w:rPr>
        <w:t>LQR</w:t>
      </w:r>
      <w:r w:rsidRPr="0098611A">
        <w:rPr>
          <w:rFonts w:ascii="Arial" w:hAnsi="Arial" w:cs="Arial"/>
          <w:color w:val="222222"/>
          <w:sz w:val="18"/>
          <w:szCs w:val="18"/>
          <w:shd w:val="clear" w:color="auto" w:fill="FFFFFF"/>
        </w:rPr>
        <w:t> 129 (2013): 343-347.</w:t>
      </w:r>
    </w:p>
  </w:footnote>
  <w:footnote w:id="10">
    <w:p w14:paraId="28824124" w14:textId="6FC201E0" w:rsidR="00ED697D" w:rsidRPr="00B021B4" w:rsidRDefault="00ED697D" w:rsidP="00B021B4">
      <w:pPr>
        <w:pStyle w:val="FootnoteText"/>
        <w:spacing w:line="360" w:lineRule="auto"/>
        <w:rPr>
          <w:rFonts w:ascii="Times New Roman" w:hAnsi="Times New Roman" w:cs="Times New Roman"/>
          <w:sz w:val="18"/>
          <w:szCs w:val="18"/>
        </w:rPr>
      </w:pPr>
      <w:r w:rsidRPr="0098611A">
        <w:rPr>
          <w:rStyle w:val="FootnoteReference"/>
          <w:rFonts w:ascii="Arial" w:hAnsi="Arial" w:cs="Arial"/>
          <w:sz w:val="18"/>
          <w:szCs w:val="18"/>
        </w:rPr>
        <w:footnoteRef/>
      </w:r>
      <w:r w:rsidRPr="0098611A">
        <w:rPr>
          <w:rFonts w:ascii="Arial" w:hAnsi="Arial" w:cs="Arial"/>
          <w:sz w:val="18"/>
          <w:szCs w:val="18"/>
        </w:rPr>
        <w:t xml:space="preserve"> </w:t>
      </w:r>
      <w:r w:rsidRPr="0098611A">
        <w:rPr>
          <w:rFonts w:ascii="Arial" w:hAnsi="Arial" w:cs="Arial"/>
          <w:color w:val="222222"/>
          <w:sz w:val="18"/>
          <w:szCs w:val="18"/>
          <w:shd w:val="clear" w:color="auto" w:fill="FFFFFF"/>
        </w:rPr>
        <w:t>Farina, Cynthia R. "Statutory interpretation and the balance of power in the administrative state." </w:t>
      </w:r>
      <w:r w:rsidRPr="0098611A">
        <w:rPr>
          <w:rFonts w:ascii="Arial" w:hAnsi="Arial" w:cs="Arial"/>
          <w:i/>
          <w:iCs/>
          <w:color w:val="222222"/>
          <w:sz w:val="18"/>
          <w:szCs w:val="18"/>
          <w:shd w:val="clear" w:color="auto" w:fill="FFFFFF"/>
        </w:rPr>
        <w:t>Colum. L. Rev.</w:t>
      </w:r>
      <w:r w:rsidRPr="0098611A">
        <w:rPr>
          <w:rFonts w:ascii="Arial" w:hAnsi="Arial" w:cs="Arial"/>
          <w:color w:val="222222"/>
          <w:sz w:val="18"/>
          <w:szCs w:val="18"/>
          <w:shd w:val="clear" w:color="auto" w:fill="FFFFFF"/>
        </w:rPr>
        <w:t> 89 (1989</w:t>
      </w:r>
      <w:r w:rsidRPr="00B021B4">
        <w:rPr>
          <w:rFonts w:ascii="Times New Roman" w:hAnsi="Times New Roman" w:cs="Times New Roman"/>
          <w:color w:val="222222"/>
          <w:sz w:val="18"/>
          <w:szCs w:val="18"/>
          <w:shd w:val="clear" w:color="auto" w:fill="FFFFFF"/>
        </w:rPr>
        <w:t>): 452.</w:t>
      </w:r>
    </w:p>
  </w:footnote>
  <w:footnote w:id="11">
    <w:p w14:paraId="6DC40863" w14:textId="343F8D90" w:rsidR="00134205" w:rsidRPr="006E7FEC" w:rsidRDefault="00134205" w:rsidP="00B021B4">
      <w:pPr>
        <w:pStyle w:val="FootnoteText"/>
        <w:spacing w:line="360" w:lineRule="auto"/>
        <w:rPr>
          <w:rFonts w:ascii="Arial" w:hAnsi="Arial" w:cs="Arial"/>
          <w:sz w:val="18"/>
          <w:szCs w:val="18"/>
        </w:rPr>
      </w:pPr>
      <w:r w:rsidRPr="006E7FEC">
        <w:rPr>
          <w:rStyle w:val="FootnoteReference"/>
          <w:rFonts w:ascii="Arial" w:hAnsi="Arial" w:cs="Arial"/>
          <w:sz w:val="18"/>
          <w:szCs w:val="18"/>
        </w:rPr>
        <w:footnoteRef/>
      </w:r>
      <w:r w:rsidRPr="006E7FEC">
        <w:rPr>
          <w:rFonts w:ascii="Arial" w:hAnsi="Arial" w:cs="Arial"/>
          <w:sz w:val="18"/>
          <w:szCs w:val="18"/>
        </w:rPr>
        <w:t xml:space="preserve"> </w:t>
      </w:r>
      <w:r w:rsidRPr="006E7FEC">
        <w:rPr>
          <w:rFonts w:ascii="Arial" w:hAnsi="Arial" w:cs="Arial"/>
          <w:color w:val="222222"/>
          <w:sz w:val="18"/>
          <w:szCs w:val="18"/>
          <w:shd w:val="clear" w:color="auto" w:fill="FFFFFF"/>
        </w:rPr>
        <w:t>Eskridge Jr, W.N., 1988. Politics without romance: implications of public choice theory for statutory interpretation. </w:t>
      </w:r>
      <w:r w:rsidRPr="006E7FEC">
        <w:rPr>
          <w:rFonts w:ascii="Arial" w:hAnsi="Arial" w:cs="Arial"/>
          <w:i/>
          <w:iCs/>
          <w:color w:val="222222"/>
          <w:sz w:val="18"/>
          <w:szCs w:val="18"/>
          <w:shd w:val="clear" w:color="auto" w:fill="FFFFFF"/>
        </w:rPr>
        <w:t>Virginia Law Review</w:t>
      </w:r>
      <w:r w:rsidRPr="006E7FEC">
        <w:rPr>
          <w:rFonts w:ascii="Arial" w:hAnsi="Arial" w:cs="Arial"/>
          <w:color w:val="222222"/>
          <w:sz w:val="18"/>
          <w:szCs w:val="18"/>
          <w:shd w:val="clear" w:color="auto" w:fill="FFFFFF"/>
        </w:rPr>
        <w:t>, pp.275-338.</w:t>
      </w:r>
    </w:p>
  </w:footnote>
  <w:footnote w:id="12">
    <w:p w14:paraId="1CBAB5B9" w14:textId="3D793B48" w:rsidR="00134205" w:rsidRPr="00B021B4" w:rsidRDefault="00134205" w:rsidP="00B021B4">
      <w:pPr>
        <w:pStyle w:val="FootnoteText"/>
        <w:spacing w:line="360" w:lineRule="auto"/>
        <w:rPr>
          <w:rFonts w:ascii="Times New Roman" w:hAnsi="Times New Roman" w:cs="Times New Roman"/>
          <w:sz w:val="18"/>
          <w:szCs w:val="18"/>
        </w:rPr>
      </w:pPr>
      <w:r w:rsidRPr="006E7FEC">
        <w:rPr>
          <w:rStyle w:val="FootnoteReference"/>
          <w:rFonts w:ascii="Arial" w:hAnsi="Arial" w:cs="Arial"/>
          <w:sz w:val="18"/>
          <w:szCs w:val="18"/>
        </w:rPr>
        <w:footnoteRef/>
      </w:r>
      <w:r w:rsidRPr="006E7FEC">
        <w:rPr>
          <w:rFonts w:ascii="Arial" w:hAnsi="Arial" w:cs="Arial"/>
          <w:sz w:val="18"/>
          <w:szCs w:val="18"/>
        </w:rPr>
        <w:t xml:space="preserve"> </w:t>
      </w:r>
      <w:r w:rsidRPr="006E7FEC">
        <w:rPr>
          <w:rFonts w:ascii="Arial" w:hAnsi="Arial" w:cs="Arial"/>
          <w:color w:val="222222"/>
          <w:sz w:val="18"/>
          <w:szCs w:val="18"/>
          <w:shd w:val="clear" w:color="auto" w:fill="FFFFFF"/>
        </w:rPr>
        <w:t>Eskridge Jr, W.N., 1988. Politics without romance: implications of public choice theory for statutory interpretation. </w:t>
      </w:r>
      <w:r w:rsidRPr="006E7FEC">
        <w:rPr>
          <w:rFonts w:ascii="Arial" w:hAnsi="Arial" w:cs="Arial"/>
          <w:i/>
          <w:iCs/>
          <w:color w:val="222222"/>
          <w:sz w:val="18"/>
          <w:szCs w:val="18"/>
          <w:shd w:val="clear" w:color="auto" w:fill="FFFFFF"/>
        </w:rPr>
        <w:t>Virginia Law Review</w:t>
      </w:r>
      <w:r w:rsidRPr="006E7FEC">
        <w:rPr>
          <w:rFonts w:ascii="Arial" w:hAnsi="Arial" w:cs="Arial"/>
          <w:color w:val="222222"/>
          <w:sz w:val="18"/>
          <w:szCs w:val="18"/>
          <w:shd w:val="clear" w:color="auto" w:fill="FFFFFF"/>
        </w:rPr>
        <w:t>, pp.275-338.</w:t>
      </w:r>
    </w:p>
  </w:footnote>
  <w:footnote w:id="13">
    <w:p w14:paraId="33C9F055" w14:textId="0F2ACB88" w:rsidR="00134205" w:rsidRPr="006E7FEC" w:rsidRDefault="00134205" w:rsidP="00B021B4">
      <w:pPr>
        <w:pStyle w:val="FootnoteText"/>
        <w:spacing w:line="360" w:lineRule="auto"/>
        <w:rPr>
          <w:rFonts w:ascii="Arial" w:hAnsi="Arial" w:cs="Arial"/>
          <w:sz w:val="18"/>
          <w:szCs w:val="18"/>
        </w:rPr>
      </w:pPr>
      <w:r w:rsidRPr="006E7FEC">
        <w:rPr>
          <w:rStyle w:val="FootnoteReference"/>
          <w:rFonts w:ascii="Arial" w:hAnsi="Arial" w:cs="Arial"/>
          <w:sz w:val="18"/>
          <w:szCs w:val="18"/>
        </w:rPr>
        <w:footnoteRef/>
      </w:r>
      <w:r w:rsidRPr="006E7FEC">
        <w:rPr>
          <w:rFonts w:ascii="Arial" w:hAnsi="Arial" w:cs="Arial"/>
          <w:sz w:val="18"/>
          <w:szCs w:val="18"/>
        </w:rPr>
        <w:t xml:space="preserve"> </w:t>
      </w:r>
      <w:r w:rsidRPr="006E7FEC">
        <w:rPr>
          <w:rFonts w:ascii="Arial" w:hAnsi="Arial" w:cs="Arial"/>
          <w:color w:val="222222"/>
          <w:sz w:val="18"/>
          <w:szCs w:val="18"/>
          <w:shd w:val="clear" w:color="auto" w:fill="FFFFFF"/>
        </w:rPr>
        <w:t>Crawford, Lisa B. "The rule of law in the age of statutes." </w:t>
      </w:r>
      <w:r w:rsidRPr="006E7FEC">
        <w:rPr>
          <w:rFonts w:ascii="Arial" w:hAnsi="Arial" w:cs="Arial"/>
          <w:i/>
          <w:iCs/>
          <w:color w:val="222222"/>
          <w:sz w:val="18"/>
          <w:szCs w:val="18"/>
          <w:shd w:val="clear" w:color="auto" w:fill="FFFFFF"/>
        </w:rPr>
        <w:t>Federal Law Review</w:t>
      </w:r>
      <w:r w:rsidRPr="006E7FEC">
        <w:rPr>
          <w:rFonts w:ascii="Arial" w:hAnsi="Arial" w:cs="Arial"/>
          <w:color w:val="222222"/>
          <w:sz w:val="18"/>
          <w:szCs w:val="18"/>
          <w:shd w:val="clear" w:color="auto" w:fill="FFFFFF"/>
        </w:rPr>
        <w:t> 48, no. 2 (2020): 159-185.</w:t>
      </w:r>
    </w:p>
  </w:footnote>
  <w:footnote w:id="14">
    <w:p w14:paraId="61C325FD" w14:textId="4C8720DF" w:rsidR="00134205" w:rsidRPr="006E7FEC" w:rsidRDefault="00134205" w:rsidP="00B021B4">
      <w:pPr>
        <w:pStyle w:val="FootnoteText"/>
        <w:spacing w:line="360" w:lineRule="auto"/>
        <w:rPr>
          <w:rFonts w:ascii="Arial" w:hAnsi="Arial" w:cs="Arial"/>
          <w:sz w:val="18"/>
          <w:szCs w:val="18"/>
        </w:rPr>
      </w:pPr>
      <w:r w:rsidRPr="006E7FEC">
        <w:rPr>
          <w:rStyle w:val="FootnoteReference"/>
          <w:rFonts w:ascii="Arial" w:hAnsi="Arial" w:cs="Arial"/>
          <w:sz w:val="18"/>
          <w:szCs w:val="18"/>
        </w:rPr>
        <w:footnoteRef/>
      </w:r>
      <w:r w:rsidRPr="006E7FEC">
        <w:rPr>
          <w:rFonts w:ascii="Arial" w:hAnsi="Arial" w:cs="Arial"/>
          <w:sz w:val="18"/>
          <w:szCs w:val="18"/>
        </w:rPr>
        <w:t xml:space="preserve"> </w:t>
      </w:r>
      <w:r w:rsidRPr="006E7FEC">
        <w:rPr>
          <w:rFonts w:ascii="Arial" w:hAnsi="Arial" w:cs="Arial"/>
          <w:color w:val="222222"/>
          <w:sz w:val="18"/>
          <w:szCs w:val="18"/>
          <w:shd w:val="clear" w:color="auto" w:fill="FFFFFF"/>
        </w:rPr>
        <w:t>Allan, Trevor RS. </w:t>
      </w:r>
      <w:r w:rsidRPr="006E7FEC">
        <w:rPr>
          <w:rFonts w:ascii="Arial" w:hAnsi="Arial" w:cs="Arial"/>
          <w:i/>
          <w:iCs/>
          <w:color w:val="222222"/>
          <w:sz w:val="18"/>
          <w:szCs w:val="18"/>
          <w:shd w:val="clear" w:color="auto" w:fill="FFFFFF"/>
        </w:rPr>
        <w:t>Constitutional justice: a liberal theory of the rule of law</w:t>
      </w:r>
      <w:r w:rsidRPr="006E7FEC">
        <w:rPr>
          <w:rFonts w:ascii="Arial" w:hAnsi="Arial" w:cs="Arial"/>
          <w:color w:val="222222"/>
          <w:sz w:val="18"/>
          <w:szCs w:val="18"/>
          <w:shd w:val="clear" w:color="auto" w:fill="FFFFFF"/>
        </w:rPr>
        <w:t>. Oxford University Press on Demand, 2003.</w:t>
      </w:r>
    </w:p>
  </w:footnote>
  <w:footnote w:id="15">
    <w:p w14:paraId="05B175E4" w14:textId="48BABC77" w:rsidR="00134205" w:rsidRPr="006E7FEC" w:rsidRDefault="00134205" w:rsidP="00B021B4">
      <w:pPr>
        <w:pStyle w:val="FootnoteText"/>
        <w:spacing w:line="360" w:lineRule="auto"/>
        <w:rPr>
          <w:rFonts w:ascii="Arial" w:hAnsi="Arial" w:cs="Arial"/>
          <w:sz w:val="18"/>
          <w:szCs w:val="18"/>
        </w:rPr>
      </w:pPr>
      <w:r w:rsidRPr="006E7FEC">
        <w:rPr>
          <w:rStyle w:val="FootnoteReference"/>
          <w:rFonts w:ascii="Arial" w:hAnsi="Arial" w:cs="Arial"/>
          <w:sz w:val="18"/>
          <w:szCs w:val="18"/>
        </w:rPr>
        <w:footnoteRef/>
      </w:r>
      <w:r w:rsidRPr="006E7FEC">
        <w:rPr>
          <w:rFonts w:ascii="Arial" w:hAnsi="Arial" w:cs="Arial"/>
          <w:sz w:val="18"/>
          <w:szCs w:val="18"/>
        </w:rPr>
        <w:t xml:space="preserve"> </w:t>
      </w:r>
      <w:r w:rsidRPr="006E7FEC">
        <w:rPr>
          <w:rFonts w:ascii="Arial" w:hAnsi="Arial" w:cs="Arial"/>
          <w:color w:val="222222"/>
          <w:sz w:val="18"/>
          <w:szCs w:val="18"/>
          <w:shd w:val="clear" w:color="auto" w:fill="FFFFFF"/>
        </w:rPr>
        <w:t>Alder, John, and Keith Syrett. </w:t>
      </w:r>
      <w:r w:rsidRPr="006E7FEC">
        <w:rPr>
          <w:rFonts w:ascii="Arial" w:hAnsi="Arial" w:cs="Arial"/>
          <w:i/>
          <w:iCs/>
          <w:color w:val="222222"/>
          <w:sz w:val="18"/>
          <w:szCs w:val="18"/>
          <w:shd w:val="clear" w:color="auto" w:fill="FFFFFF"/>
        </w:rPr>
        <w:t>Constitutional and administrative law</w:t>
      </w:r>
      <w:r w:rsidRPr="006E7FEC">
        <w:rPr>
          <w:rFonts w:ascii="Arial" w:hAnsi="Arial" w:cs="Arial"/>
          <w:color w:val="222222"/>
          <w:sz w:val="18"/>
          <w:szCs w:val="18"/>
          <w:shd w:val="clear" w:color="auto" w:fill="FFFFFF"/>
        </w:rPr>
        <w:t>. Macmillan International Higher Education, 2007.</w:t>
      </w:r>
    </w:p>
  </w:footnote>
  <w:footnote w:id="16">
    <w:p w14:paraId="0074B8F8" w14:textId="3829AB66" w:rsidR="00134205" w:rsidRPr="00B021B4" w:rsidRDefault="00134205" w:rsidP="00B021B4">
      <w:pPr>
        <w:pStyle w:val="FootnoteText"/>
        <w:spacing w:line="360" w:lineRule="auto"/>
        <w:rPr>
          <w:rFonts w:ascii="Times New Roman" w:hAnsi="Times New Roman" w:cs="Times New Roman"/>
          <w:sz w:val="18"/>
          <w:szCs w:val="18"/>
        </w:rPr>
      </w:pPr>
      <w:r w:rsidRPr="006E7FEC">
        <w:rPr>
          <w:rStyle w:val="FootnoteReference"/>
          <w:rFonts w:ascii="Arial" w:hAnsi="Arial" w:cs="Arial"/>
          <w:sz w:val="18"/>
          <w:szCs w:val="18"/>
        </w:rPr>
        <w:footnoteRef/>
      </w:r>
      <w:r w:rsidRPr="006E7FEC">
        <w:rPr>
          <w:rFonts w:ascii="Arial" w:hAnsi="Arial" w:cs="Arial"/>
          <w:sz w:val="18"/>
          <w:szCs w:val="18"/>
        </w:rPr>
        <w:t xml:space="preserve"> </w:t>
      </w:r>
      <w:r w:rsidRPr="006E7FEC">
        <w:rPr>
          <w:rFonts w:ascii="Arial" w:hAnsi="Arial" w:cs="Arial"/>
          <w:color w:val="222222"/>
          <w:sz w:val="18"/>
          <w:szCs w:val="18"/>
          <w:shd w:val="clear" w:color="auto" w:fill="FFFFFF"/>
        </w:rPr>
        <w:t>Macey, J.R., 1986. Promoting public-regarding legislation through statutory interpretation: an interest group model. </w:t>
      </w:r>
      <w:r w:rsidRPr="006E7FEC">
        <w:rPr>
          <w:rFonts w:ascii="Arial" w:hAnsi="Arial" w:cs="Arial"/>
          <w:i/>
          <w:iCs/>
          <w:color w:val="222222"/>
          <w:sz w:val="18"/>
          <w:szCs w:val="18"/>
          <w:shd w:val="clear" w:color="auto" w:fill="FFFFFF"/>
        </w:rPr>
        <w:t>Columbia Law Review</w:t>
      </w:r>
      <w:r w:rsidRPr="006E7FEC">
        <w:rPr>
          <w:rFonts w:ascii="Arial" w:hAnsi="Arial" w:cs="Arial"/>
          <w:color w:val="222222"/>
          <w:sz w:val="18"/>
          <w:szCs w:val="18"/>
          <w:shd w:val="clear" w:color="auto" w:fill="FFFFFF"/>
        </w:rPr>
        <w:t>, </w:t>
      </w:r>
      <w:r w:rsidRPr="006E7FEC">
        <w:rPr>
          <w:rFonts w:ascii="Arial" w:hAnsi="Arial" w:cs="Arial"/>
          <w:i/>
          <w:iCs/>
          <w:color w:val="222222"/>
          <w:sz w:val="18"/>
          <w:szCs w:val="18"/>
          <w:shd w:val="clear" w:color="auto" w:fill="FFFFFF"/>
        </w:rPr>
        <w:t>86</w:t>
      </w:r>
      <w:r w:rsidRPr="006E7FEC">
        <w:rPr>
          <w:rFonts w:ascii="Arial" w:hAnsi="Arial" w:cs="Arial"/>
          <w:color w:val="222222"/>
          <w:sz w:val="18"/>
          <w:szCs w:val="18"/>
          <w:shd w:val="clear" w:color="auto" w:fill="FFFFFF"/>
        </w:rPr>
        <w:t>(2), pp.223-268.</w:t>
      </w:r>
    </w:p>
  </w:footnote>
  <w:footnote w:id="17">
    <w:p w14:paraId="0AEBE395" w14:textId="7FEEA4FC" w:rsidR="00134205" w:rsidRPr="00B021B4" w:rsidRDefault="00134205" w:rsidP="00B021B4">
      <w:pPr>
        <w:pStyle w:val="FootnoteText"/>
        <w:spacing w:line="360" w:lineRule="auto"/>
        <w:rPr>
          <w:rFonts w:ascii="Times New Roman" w:hAnsi="Times New Roman" w:cs="Times New Roman"/>
          <w:sz w:val="18"/>
          <w:szCs w:val="18"/>
        </w:rPr>
      </w:pPr>
      <w:r w:rsidRPr="00B021B4">
        <w:rPr>
          <w:rStyle w:val="FootnoteReference"/>
          <w:rFonts w:ascii="Times New Roman" w:hAnsi="Times New Roman" w:cs="Times New Roman"/>
          <w:sz w:val="18"/>
          <w:szCs w:val="18"/>
        </w:rPr>
        <w:footnoteRef/>
      </w:r>
      <w:r w:rsidRPr="00B021B4">
        <w:rPr>
          <w:rFonts w:ascii="Times New Roman" w:hAnsi="Times New Roman" w:cs="Times New Roman"/>
          <w:sz w:val="18"/>
          <w:szCs w:val="18"/>
        </w:rPr>
        <w:t xml:space="preserve"> </w:t>
      </w:r>
      <w:r w:rsidRPr="00B021B4">
        <w:rPr>
          <w:rFonts w:ascii="Times New Roman" w:hAnsi="Times New Roman" w:cs="Times New Roman"/>
          <w:color w:val="222222"/>
          <w:sz w:val="18"/>
          <w:szCs w:val="18"/>
          <w:shd w:val="clear" w:color="auto" w:fill="FFFFFF"/>
        </w:rPr>
        <w:t>Klimas, Tadas, and Jurate Vaiciukaite. "The law of recitals in European Community legislation." </w:t>
      </w:r>
      <w:r w:rsidRPr="00B021B4">
        <w:rPr>
          <w:rFonts w:ascii="Times New Roman" w:hAnsi="Times New Roman" w:cs="Times New Roman"/>
          <w:i/>
          <w:iCs/>
          <w:color w:val="222222"/>
          <w:sz w:val="18"/>
          <w:szCs w:val="18"/>
          <w:shd w:val="clear" w:color="auto" w:fill="FFFFFF"/>
        </w:rPr>
        <w:t>ILSA J. Int'l &amp; Comp. L.</w:t>
      </w:r>
      <w:r w:rsidRPr="00B021B4">
        <w:rPr>
          <w:rFonts w:ascii="Times New Roman" w:hAnsi="Times New Roman" w:cs="Times New Roman"/>
          <w:color w:val="222222"/>
          <w:sz w:val="18"/>
          <w:szCs w:val="18"/>
          <w:shd w:val="clear" w:color="auto" w:fill="FFFFFF"/>
        </w:rPr>
        <w:t> 15 (2008): 61.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288"/>
    <w:rsid w:val="00134205"/>
    <w:rsid w:val="00176F9E"/>
    <w:rsid w:val="001A7031"/>
    <w:rsid w:val="00274906"/>
    <w:rsid w:val="003B2C4C"/>
    <w:rsid w:val="003C0C5B"/>
    <w:rsid w:val="00455748"/>
    <w:rsid w:val="00481319"/>
    <w:rsid w:val="005959BB"/>
    <w:rsid w:val="00651288"/>
    <w:rsid w:val="00691AC8"/>
    <w:rsid w:val="006E7FEC"/>
    <w:rsid w:val="007A274A"/>
    <w:rsid w:val="007F5B14"/>
    <w:rsid w:val="008D682E"/>
    <w:rsid w:val="00984432"/>
    <w:rsid w:val="0098611A"/>
    <w:rsid w:val="009968C2"/>
    <w:rsid w:val="009F2BFD"/>
    <w:rsid w:val="00A63E5A"/>
    <w:rsid w:val="00B021B4"/>
    <w:rsid w:val="00B203FD"/>
    <w:rsid w:val="00BC6511"/>
    <w:rsid w:val="00C95460"/>
    <w:rsid w:val="00CD6893"/>
    <w:rsid w:val="00E673F6"/>
    <w:rsid w:val="00EC434F"/>
    <w:rsid w:val="00ED697D"/>
    <w:rsid w:val="00F45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C1C87"/>
  <w15:chartTrackingRefBased/>
  <w15:docId w15:val="{C3A14FAB-B756-4E02-B97A-E7A23457A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55748"/>
    <w:pPr>
      <w:keepNext/>
      <w:keepLines/>
      <w:spacing w:before="240" w:after="0"/>
      <w:outlineLvl w:val="0"/>
    </w:pPr>
    <w:rPr>
      <w:rFonts w:ascii="Times New Roman" w:eastAsiaTheme="majorEastAsia" w:hAnsi="Times New Roman" w:cstheme="majorBidi"/>
      <w:b/>
      <w:i/>
      <w:color w:val="000000" w:themeColor="text1"/>
      <w:sz w:val="24"/>
      <w:szCs w:val="32"/>
    </w:rPr>
  </w:style>
  <w:style w:type="paragraph" w:styleId="Heading2">
    <w:name w:val="heading 2"/>
    <w:basedOn w:val="Normal"/>
    <w:next w:val="Normal"/>
    <w:link w:val="Heading2Char"/>
    <w:autoRedefine/>
    <w:uiPriority w:val="9"/>
    <w:unhideWhenUsed/>
    <w:qFormat/>
    <w:rsid w:val="00455748"/>
    <w:pPr>
      <w:keepNext/>
      <w:keepLines/>
      <w:spacing w:before="40" w:beforeAutospacing="1" w:after="0" w:line="256" w:lineRule="auto"/>
      <w:outlineLvl w:val="1"/>
    </w:pPr>
    <w:rPr>
      <w:rFonts w:ascii="Times New Roman" w:eastAsiaTheme="majorEastAsia" w:hAnsi="Times New Roman" w:cstheme="majorBidi"/>
      <w:i/>
      <w:color w:val="000000" w:themeColor="text1"/>
      <w:kern w:val="2"/>
      <w:sz w:val="24"/>
      <w:szCs w:val="26"/>
    </w:rPr>
  </w:style>
  <w:style w:type="paragraph" w:styleId="Heading3">
    <w:name w:val="heading 3"/>
    <w:basedOn w:val="Normal"/>
    <w:next w:val="Normal"/>
    <w:link w:val="Heading3Char"/>
    <w:autoRedefine/>
    <w:uiPriority w:val="9"/>
    <w:unhideWhenUsed/>
    <w:qFormat/>
    <w:rsid w:val="00EC434F"/>
    <w:pPr>
      <w:keepNext/>
      <w:keepLines/>
      <w:spacing w:before="40" w:after="0"/>
      <w:jc w:val="center"/>
      <w:outlineLvl w:val="2"/>
    </w:pPr>
    <w:rPr>
      <w:rFonts w:ascii="Times New Roman" w:eastAsiaTheme="majorEastAsia" w:hAnsi="Times New Roman" w:cstheme="majorBidi"/>
      <w:color w:val="000000" w:themeColor="text1"/>
      <w:sz w:val="24"/>
      <w:szCs w:val="24"/>
    </w:rPr>
  </w:style>
  <w:style w:type="paragraph" w:styleId="Heading4">
    <w:name w:val="heading 4"/>
    <w:basedOn w:val="Normal"/>
    <w:next w:val="Normal"/>
    <w:link w:val="Heading4Char"/>
    <w:autoRedefine/>
    <w:uiPriority w:val="9"/>
    <w:semiHidden/>
    <w:unhideWhenUsed/>
    <w:qFormat/>
    <w:rsid w:val="009968C2"/>
    <w:pPr>
      <w:keepNext/>
      <w:keepLines/>
      <w:spacing w:before="40" w:after="0"/>
      <w:outlineLvl w:val="3"/>
    </w:pPr>
    <w:rPr>
      <w:rFonts w:ascii="Times New Roman" w:eastAsiaTheme="majorEastAsia" w:hAnsi="Times New Roman" w:cstheme="majorBidi"/>
      <w:i/>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455748"/>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qFormat/>
    <w:rsid w:val="00455748"/>
    <w:rPr>
      <w:rFonts w:ascii="Times New Roman" w:eastAsiaTheme="majorEastAsia" w:hAnsi="Times New Roman" w:cstheme="majorBidi"/>
      <w:i/>
      <w:color w:val="000000" w:themeColor="text1"/>
      <w:kern w:val="2"/>
      <w:sz w:val="24"/>
      <w:szCs w:val="26"/>
    </w:rPr>
  </w:style>
  <w:style w:type="character" w:customStyle="1" w:styleId="Heading3Char">
    <w:name w:val="Heading 3 Char"/>
    <w:basedOn w:val="DefaultParagraphFont"/>
    <w:link w:val="Heading3"/>
    <w:uiPriority w:val="9"/>
    <w:rsid w:val="00EC434F"/>
    <w:rPr>
      <w:rFonts w:ascii="Times New Roman" w:eastAsiaTheme="majorEastAsia" w:hAnsi="Times New Roman" w:cstheme="majorBidi"/>
      <w:color w:val="000000" w:themeColor="text1"/>
      <w:sz w:val="24"/>
      <w:szCs w:val="24"/>
    </w:rPr>
  </w:style>
  <w:style w:type="character" w:customStyle="1" w:styleId="Heading4Char">
    <w:name w:val="Heading 4 Char"/>
    <w:basedOn w:val="DefaultParagraphFont"/>
    <w:link w:val="Heading4"/>
    <w:uiPriority w:val="9"/>
    <w:semiHidden/>
    <w:rsid w:val="009968C2"/>
    <w:rPr>
      <w:rFonts w:ascii="Times New Roman" w:eastAsiaTheme="majorEastAsia" w:hAnsi="Times New Roman" w:cstheme="majorBidi"/>
      <w:i/>
      <w:iCs/>
      <w:sz w:val="24"/>
    </w:rPr>
  </w:style>
  <w:style w:type="paragraph" w:styleId="FootnoteText">
    <w:name w:val="footnote text"/>
    <w:basedOn w:val="Normal"/>
    <w:link w:val="FootnoteTextChar"/>
    <w:uiPriority w:val="99"/>
    <w:semiHidden/>
    <w:unhideWhenUsed/>
    <w:rsid w:val="00C9546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95460"/>
    <w:rPr>
      <w:sz w:val="20"/>
      <w:szCs w:val="20"/>
    </w:rPr>
  </w:style>
  <w:style w:type="character" w:styleId="FootnoteReference">
    <w:name w:val="footnote reference"/>
    <w:basedOn w:val="DefaultParagraphFont"/>
    <w:uiPriority w:val="99"/>
    <w:semiHidden/>
    <w:unhideWhenUsed/>
    <w:rsid w:val="00C95460"/>
    <w:rPr>
      <w:vertAlign w:val="superscript"/>
    </w:rPr>
  </w:style>
  <w:style w:type="paragraph" w:styleId="NoSpacing">
    <w:name w:val="No Spacing"/>
    <w:link w:val="NoSpacingChar"/>
    <w:uiPriority w:val="1"/>
    <w:qFormat/>
    <w:rsid w:val="006E7FEC"/>
    <w:pPr>
      <w:spacing w:after="0" w:line="240" w:lineRule="auto"/>
    </w:pPr>
    <w:rPr>
      <w:rFonts w:eastAsiaTheme="minorEastAsia"/>
    </w:rPr>
  </w:style>
  <w:style w:type="character" w:customStyle="1" w:styleId="NoSpacingChar">
    <w:name w:val="No Spacing Char"/>
    <w:basedOn w:val="DefaultParagraphFont"/>
    <w:link w:val="NoSpacing"/>
    <w:uiPriority w:val="1"/>
    <w:rsid w:val="006E7FEC"/>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1752</Words>
  <Characters>9993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COMPLETED BY: NAZIM AMIN</Company>
  <LinksUpToDate>false</LinksUpToDate>
  <CharactersWithSpaces>11722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PROCESS :BMLW400</dc:title>
  <dc:subject/>
  <dc:creator>na5imamin1@outlook.com</dc:creator>
  <cp:keywords/>
  <dc:description/>
  <cp:lastModifiedBy>na5imamin1@outlook.com</cp:lastModifiedBy>
  <cp:revision>2</cp:revision>
  <dcterms:created xsi:type="dcterms:W3CDTF">2022-07-22T22:57:00Z</dcterms:created>
  <dcterms:modified xsi:type="dcterms:W3CDTF">2022-07-22T22:57:00Z</dcterms:modified>
</cp:coreProperties>
</file>