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525824"/>
        <w:docPartObj>
          <w:docPartGallery w:val="Cover Pages"/>
          <w:docPartUnique/>
        </w:docPartObj>
      </w:sdtPr>
      <w:sdtEndPr/>
      <w:sdtContent>
        <w:p w14:paraId="4413ACB5" w14:textId="012F0CDC" w:rsidR="000B228E" w:rsidRDefault="000B228E">
          <w:r>
            <w:rPr>
              <w:noProof/>
            </w:rPr>
            <mc:AlternateContent>
              <mc:Choice Requires="wpg">
                <w:drawing>
                  <wp:anchor distT="0" distB="0" distL="114300" distR="114300" simplePos="0" relativeHeight="251658243" behindDoc="0" locked="0" layoutInCell="1" allowOverlap="1" wp14:anchorId="41D57ECF" wp14:editId="366EA9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1198A9B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E7BF9C5" wp14:editId="0529D0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EA12AB" w14:textId="6E17E547" w:rsidR="000B228E" w:rsidRDefault="000B228E">
                                    <w:pPr>
                                      <w:pStyle w:val="NoSpacing"/>
                                      <w:jc w:val="right"/>
                                      <w:rPr>
                                        <w:color w:val="595959" w:themeColor="text1" w:themeTint="A6"/>
                                        <w:sz w:val="28"/>
                                        <w:szCs w:val="28"/>
                                      </w:rPr>
                                    </w:pPr>
                                    <w:r>
                                      <w:rPr>
                                        <w:color w:val="595959" w:themeColor="text1" w:themeTint="A6"/>
                                        <w:sz w:val="28"/>
                                        <w:szCs w:val="28"/>
                                      </w:rPr>
                                      <w:t>Kabirat Aderoju Adegbite (2011967)</w:t>
                                    </w:r>
                                  </w:p>
                                </w:sdtContent>
                              </w:sdt>
                              <w:p w14:paraId="59DAE264" w14:textId="2C94ACF4" w:rsidR="000B228E" w:rsidRDefault="000B228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7BF9C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7EA12AB" w14:textId="6E17E547" w:rsidR="000B228E" w:rsidRDefault="000B228E">
                              <w:pPr>
                                <w:pStyle w:val="NoSpacing"/>
                                <w:jc w:val="right"/>
                                <w:rPr>
                                  <w:color w:val="595959" w:themeColor="text1" w:themeTint="A6"/>
                                  <w:sz w:val="28"/>
                                  <w:szCs w:val="28"/>
                                </w:rPr>
                              </w:pPr>
                              <w:r>
                                <w:rPr>
                                  <w:color w:val="595959" w:themeColor="text1" w:themeTint="A6"/>
                                  <w:sz w:val="28"/>
                                  <w:szCs w:val="28"/>
                                </w:rPr>
                                <w:t>Kabirat Aderoju Adegbite (2011967)</w:t>
                              </w:r>
                            </w:p>
                          </w:sdtContent>
                        </w:sdt>
                        <w:p w14:paraId="59DAE264" w14:textId="2C94ACF4" w:rsidR="000B228E" w:rsidRDefault="000B228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030F22E" wp14:editId="60C798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7F801" w14:textId="393F7D66" w:rsidR="000B228E" w:rsidRDefault="000B228E" w:rsidP="006B51E1">
                                <w:pPr>
                                  <w:pStyle w:val="NoSpacing"/>
                                  <w:rPr>
                                    <w:color w:val="4472C4" w:themeColor="accent1"/>
                                    <w:sz w:val="28"/>
                                    <w:szCs w:val="28"/>
                                  </w:rPr>
                                </w:pPr>
                              </w:p>
                              <w:sdt>
                                <w:sdtPr>
                                  <w:rPr>
                                    <w:rFonts w:ascii="Times New Roman" w:hAnsi="Times New Roman" w:cs="Times New Roman"/>
                                    <w:color w:val="4472C4" w:themeColor="accent1"/>
                                    <w:sz w:val="28"/>
                                    <w:szCs w:val="28"/>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C22491" w14:textId="77C7380A" w:rsidR="000B228E" w:rsidRDefault="006B51E1" w:rsidP="006B51E1">
                                    <w:pPr>
                                      <w:pStyle w:val="NoSpacing"/>
                                      <w:jc w:val="right"/>
                                      <w:rPr>
                                        <w:color w:val="595959" w:themeColor="text1" w:themeTint="A6"/>
                                        <w:sz w:val="20"/>
                                        <w:szCs w:val="20"/>
                                      </w:rPr>
                                    </w:pPr>
                                    <w:r w:rsidRPr="006B51E1">
                                      <w:rPr>
                                        <w:rFonts w:ascii="Times New Roman" w:hAnsi="Times New Roman" w:cs="Times New Roman"/>
                                        <w:color w:val="4472C4" w:themeColor="accent1"/>
                                        <w:sz w:val="28"/>
                                        <w:szCs w:val="28"/>
                                        <w:lang w:eastAsia="en-US"/>
                                      </w:rPr>
                                      <w:t xml:space="preserve">Lecturer name- </w:t>
                                    </w:r>
                                    <w:proofErr w:type="spellStart"/>
                                    <w:r w:rsidRPr="006B51E1">
                                      <w:rPr>
                                        <w:rFonts w:ascii="Times New Roman" w:hAnsi="Times New Roman" w:cs="Times New Roman"/>
                                        <w:color w:val="4472C4" w:themeColor="accent1"/>
                                        <w:sz w:val="28"/>
                                        <w:szCs w:val="28"/>
                                        <w:lang w:eastAsia="en-US"/>
                                      </w:rPr>
                                      <w:t>Mentesnot</w:t>
                                    </w:r>
                                    <w:proofErr w:type="spellEnd"/>
                                    <w:r w:rsidRPr="006B51E1">
                                      <w:rPr>
                                        <w:rFonts w:ascii="Times New Roman" w:hAnsi="Times New Roman" w:cs="Times New Roman"/>
                                        <w:color w:val="4472C4" w:themeColor="accent1"/>
                                        <w:sz w:val="28"/>
                                        <w:szCs w:val="28"/>
                                        <w:lang w:eastAsia="en-US"/>
                                      </w:rPr>
                                      <w:t xml:space="preserve"> </w:t>
                                    </w:r>
                                    <w:proofErr w:type="spellStart"/>
                                    <w:r w:rsidRPr="006B51E1">
                                      <w:rPr>
                                        <w:rFonts w:ascii="Times New Roman" w:hAnsi="Times New Roman" w:cs="Times New Roman"/>
                                        <w:color w:val="4472C4" w:themeColor="accent1"/>
                                        <w:sz w:val="28"/>
                                        <w:szCs w:val="28"/>
                                        <w:lang w:eastAsia="en-US"/>
                                      </w:rPr>
                                      <w:t>Mengesha</w:t>
                                    </w:r>
                                    <w:proofErr w:type="spellEnd"/>
                                    <w:r>
                                      <w:rPr>
                                        <w:rFonts w:ascii="Times New Roman" w:hAnsi="Times New Roman" w:cs="Times New Roman"/>
                                        <w:color w:val="4472C4" w:themeColor="accent1"/>
                                        <w:sz w:val="28"/>
                                        <w:szCs w:val="28"/>
                                        <w:lang w:eastAsia="en-US"/>
                                      </w:rPr>
                                      <w:br/>
                                    </w:r>
                                    <w:r w:rsidRPr="006B51E1">
                                      <w:rPr>
                                        <w:rFonts w:ascii="Times New Roman" w:hAnsi="Times New Roman" w:cs="Times New Roman"/>
                                        <w:color w:val="4472C4" w:themeColor="accent1"/>
                                        <w:sz w:val="28"/>
                                        <w:szCs w:val="28"/>
                                        <w:lang w:eastAsia="en-US"/>
                                      </w:rPr>
                                      <w:t>Course Code- BMHP5001_LON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30F22E"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C07F801" w14:textId="393F7D66" w:rsidR="000B228E" w:rsidRDefault="000B228E" w:rsidP="006B51E1">
                          <w:pPr>
                            <w:pStyle w:val="NoSpacing"/>
                            <w:rPr>
                              <w:color w:val="4472C4" w:themeColor="accent1"/>
                              <w:sz w:val="28"/>
                              <w:szCs w:val="28"/>
                            </w:rPr>
                          </w:pPr>
                        </w:p>
                        <w:sdt>
                          <w:sdtPr>
                            <w:rPr>
                              <w:rFonts w:ascii="Times New Roman" w:hAnsi="Times New Roman" w:cs="Times New Roman"/>
                              <w:color w:val="4472C4" w:themeColor="accent1"/>
                              <w:sz w:val="28"/>
                              <w:szCs w:val="28"/>
                              <w:lang w:eastAsia="en-US"/>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8C22491" w14:textId="77C7380A" w:rsidR="000B228E" w:rsidRDefault="006B51E1" w:rsidP="006B51E1">
                              <w:pPr>
                                <w:pStyle w:val="NoSpacing"/>
                                <w:jc w:val="right"/>
                                <w:rPr>
                                  <w:color w:val="595959" w:themeColor="text1" w:themeTint="A6"/>
                                  <w:sz w:val="20"/>
                                  <w:szCs w:val="20"/>
                                </w:rPr>
                              </w:pPr>
                              <w:r w:rsidRPr="006B51E1">
                                <w:rPr>
                                  <w:rFonts w:ascii="Times New Roman" w:hAnsi="Times New Roman" w:cs="Times New Roman"/>
                                  <w:color w:val="4472C4" w:themeColor="accent1"/>
                                  <w:sz w:val="28"/>
                                  <w:szCs w:val="28"/>
                                  <w:lang w:eastAsia="en-US"/>
                                </w:rPr>
                                <w:t xml:space="preserve">Lecturer name- </w:t>
                              </w:r>
                              <w:proofErr w:type="spellStart"/>
                              <w:r w:rsidRPr="006B51E1">
                                <w:rPr>
                                  <w:rFonts w:ascii="Times New Roman" w:hAnsi="Times New Roman" w:cs="Times New Roman"/>
                                  <w:color w:val="4472C4" w:themeColor="accent1"/>
                                  <w:sz w:val="28"/>
                                  <w:szCs w:val="28"/>
                                  <w:lang w:eastAsia="en-US"/>
                                </w:rPr>
                                <w:t>Mentesnot</w:t>
                              </w:r>
                              <w:proofErr w:type="spellEnd"/>
                              <w:r w:rsidRPr="006B51E1">
                                <w:rPr>
                                  <w:rFonts w:ascii="Times New Roman" w:hAnsi="Times New Roman" w:cs="Times New Roman"/>
                                  <w:color w:val="4472C4" w:themeColor="accent1"/>
                                  <w:sz w:val="28"/>
                                  <w:szCs w:val="28"/>
                                  <w:lang w:eastAsia="en-US"/>
                                </w:rPr>
                                <w:t xml:space="preserve"> </w:t>
                              </w:r>
                              <w:proofErr w:type="spellStart"/>
                              <w:r w:rsidRPr="006B51E1">
                                <w:rPr>
                                  <w:rFonts w:ascii="Times New Roman" w:hAnsi="Times New Roman" w:cs="Times New Roman"/>
                                  <w:color w:val="4472C4" w:themeColor="accent1"/>
                                  <w:sz w:val="28"/>
                                  <w:szCs w:val="28"/>
                                  <w:lang w:eastAsia="en-US"/>
                                </w:rPr>
                                <w:t>Mengesha</w:t>
                              </w:r>
                              <w:proofErr w:type="spellEnd"/>
                              <w:r>
                                <w:rPr>
                                  <w:rFonts w:ascii="Times New Roman" w:hAnsi="Times New Roman" w:cs="Times New Roman"/>
                                  <w:color w:val="4472C4" w:themeColor="accent1"/>
                                  <w:sz w:val="28"/>
                                  <w:szCs w:val="28"/>
                                  <w:lang w:eastAsia="en-US"/>
                                </w:rPr>
                                <w:br/>
                              </w:r>
                              <w:r w:rsidRPr="006B51E1">
                                <w:rPr>
                                  <w:rFonts w:ascii="Times New Roman" w:hAnsi="Times New Roman" w:cs="Times New Roman"/>
                                  <w:color w:val="4472C4" w:themeColor="accent1"/>
                                  <w:sz w:val="28"/>
                                  <w:szCs w:val="28"/>
                                  <w:lang w:eastAsia="en-US"/>
                                </w:rPr>
                                <w:t>Course Code- BMHP5001_LON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4275716" wp14:editId="5444D0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4631A9" w14:textId="1A4D1DA3" w:rsidR="000B228E" w:rsidRDefault="00F10AA9">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228E" w:rsidRPr="00AA73D2">
                                      <w:rPr>
                                        <w:caps/>
                                        <w:color w:val="4472C4" w:themeColor="accent1"/>
                                        <w:sz w:val="96"/>
                                        <w:szCs w:val="96"/>
                                      </w:rPr>
                                      <w:t>co</w:t>
                                    </w:r>
                                    <w:r w:rsidR="00AA73D2" w:rsidRPr="00AA73D2">
                                      <w:rPr>
                                        <w:caps/>
                                        <w:color w:val="4472C4" w:themeColor="accent1"/>
                                        <w:sz w:val="96"/>
                                        <w:szCs w:val="96"/>
                                      </w:rPr>
                                      <w:t>mpl</w:t>
                                    </w:r>
                                    <w:r w:rsidR="003C37C0">
                                      <w:rPr>
                                        <w:caps/>
                                        <w:color w:val="4472C4" w:themeColor="accent1"/>
                                        <w:sz w:val="96"/>
                                        <w:szCs w:val="96"/>
                                      </w:rPr>
                                      <w:t>e</w:t>
                                    </w:r>
                                    <w:r w:rsidR="00AA73D2" w:rsidRPr="00AA73D2">
                                      <w:rPr>
                                        <w:caps/>
                                        <w:color w:val="4472C4" w:themeColor="accent1"/>
                                        <w:sz w:val="96"/>
                                        <w:szCs w:val="96"/>
                                      </w:rPr>
                                      <w:t>mentary therapies</w:t>
                                    </w:r>
                                  </w:sdtContent>
                                </w:sdt>
                              </w:p>
                              <w:p w14:paraId="17EC0613" w14:textId="0B018CA9" w:rsidR="000B228E" w:rsidRDefault="00D70FC2">
                                <w:pPr>
                                  <w:jc w:val="right"/>
                                  <w:rPr>
                                    <w:smallCaps/>
                                    <w:color w:val="404040" w:themeColor="text1" w:themeTint="BF"/>
                                    <w:sz w:val="36"/>
                                    <w:szCs w:val="36"/>
                                  </w:rPr>
                                </w:pPr>
                                <w:r>
                                  <w:rPr>
                                    <w:smallCaps/>
                                    <w:color w:val="404040" w:themeColor="text1" w:themeTint="BF"/>
                                    <w:sz w:val="36"/>
                                    <w:szCs w:val="36"/>
                                  </w:rPr>
                                  <w:t>Assessment 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275716"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84631A9" w14:textId="1A4D1DA3" w:rsidR="000B228E" w:rsidRDefault="00F10AA9">
                          <w:pPr>
                            <w:jc w:val="right"/>
                            <w:rPr>
                              <w:color w:val="4472C4" w:themeColor="accent1"/>
                              <w:sz w:val="64"/>
                              <w:szCs w:val="64"/>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228E" w:rsidRPr="00AA73D2">
                                <w:rPr>
                                  <w:caps/>
                                  <w:color w:val="4472C4" w:themeColor="accent1"/>
                                  <w:sz w:val="96"/>
                                  <w:szCs w:val="96"/>
                                </w:rPr>
                                <w:t>co</w:t>
                              </w:r>
                              <w:r w:rsidR="00AA73D2" w:rsidRPr="00AA73D2">
                                <w:rPr>
                                  <w:caps/>
                                  <w:color w:val="4472C4" w:themeColor="accent1"/>
                                  <w:sz w:val="96"/>
                                  <w:szCs w:val="96"/>
                                </w:rPr>
                                <w:t>mpl</w:t>
                              </w:r>
                              <w:r w:rsidR="003C37C0">
                                <w:rPr>
                                  <w:caps/>
                                  <w:color w:val="4472C4" w:themeColor="accent1"/>
                                  <w:sz w:val="96"/>
                                  <w:szCs w:val="96"/>
                                </w:rPr>
                                <w:t>e</w:t>
                              </w:r>
                              <w:r w:rsidR="00AA73D2" w:rsidRPr="00AA73D2">
                                <w:rPr>
                                  <w:caps/>
                                  <w:color w:val="4472C4" w:themeColor="accent1"/>
                                  <w:sz w:val="96"/>
                                  <w:szCs w:val="96"/>
                                </w:rPr>
                                <w:t>mentary therapies</w:t>
                              </w:r>
                            </w:sdtContent>
                          </w:sdt>
                        </w:p>
                        <w:p w14:paraId="17EC0613" w14:textId="0B018CA9" w:rsidR="000B228E" w:rsidRDefault="00D70FC2">
                          <w:pPr>
                            <w:jc w:val="right"/>
                            <w:rPr>
                              <w:smallCaps/>
                              <w:color w:val="404040" w:themeColor="text1" w:themeTint="BF"/>
                              <w:sz w:val="36"/>
                              <w:szCs w:val="36"/>
                            </w:rPr>
                          </w:pPr>
                          <w:r>
                            <w:rPr>
                              <w:smallCaps/>
                              <w:color w:val="404040" w:themeColor="text1" w:themeTint="BF"/>
                              <w:sz w:val="36"/>
                              <w:szCs w:val="36"/>
                            </w:rPr>
                            <w:t>Assessment 2</w:t>
                          </w:r>
                        </w:p>
                      </w:txbxContent>
                    </v:textbox>
                    <w10:wrap type="square" anchorx="page" anchory="page"/>
                  </v:shape>
                </w:pict>
              </mc:Fallback>
            </mc:AlternateContent>
          </w:r>
        </w:p>
        <w:p w14:paraId="5E5787A5" w14:textId="6EFC6226" w:rsidR="000B228E" w:rsidRDefault="000B228E">
          <w:r>
            <w:br w:type="page"/>
          </w:r>
        </w:p>
      </w:sdtContent>
    </w:sdt>
    <w:sdt>
      <w:sdtPr>
        <w:rPr>
          <w:rFonts w:asciiTheme="minorHAnsi" w:eastAsiaTheme="minorHAnsi" w:hAnsiTheme="minorHAnsi" w:cstheme="minorBidi"/>
          <w:color w:val="auto"/>
          <w:sz w:val="22"/>
          <w:szCs w:val="22"/>
          <w:lang w:eastAsia="en-US"/>
        </w:rPr>
        <w:id w:val="1896852190"/>
        <w:docPartObj>
          <w:docPartGallery w:val="Table of Contents"/>
          <w:docPartUnique/>
        </w:docPartObj>
      </w:sdtPr>
      <w:sdtEndPr>
        <w:rPr>
          <w:b/>
          <w:bCs/>
        </w:rPr>
      </w:sdtEndPr>
      <w:sdtContent>
        <w:p w14:paraId="343DF675" w14:textId="63225E49" w:rsidR="00A50D9D" w:rsidRDefault="00A50D9D">
          <w:pPr>
            <w:pStyle w:val="TOCHeading"/>
          </w:pPr>
          <w:r>
            <w:t>Contents</w:t>
          </w:r>
        </w:p>
        <w:p w14:paraId="66436248" w14:textId="36E7BB1B" w:rsidR="00320A9B" w:rsidRDefault="00A50D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657492" w:history="1">
            <w:r w:rsidR="00320A9B" w:rsidRPr="00BE2E83">
              <w:rPr>
                <w:rStyle w:val="Hyperlink"/>
                <w:rFonts w:ascii="Arial" w:hAnsi="Arial" w:cs="Arial"/>
                <w:noProof/>
              </w:rPr>
              <w:t>Introduction</w:t>
            </w:r>
            <w:r w:rsidR="00320A9B">
              <w:rPr>
                <w:noProof/>
                <w:webHidden/>
              </w:rPr>
              <w:tab/>
            </w:r>
            <w:r w:rsidR="00320A9B">
              <w:rPr>
                <w:noProof/>
                <w:webHidden/>
              </w:rPr>
              <w:fldChar w:fldCharType="begin"/>
            </w:r>
            <w:r w:rsidR="00320A9B">
              <w:rPr>
                <w:noProof/>
                <w:webHidden/>
              </w:rPr>
              <w:instrText xml:space="preserve"> PAGEREF _Toc92657492 \h </w:instrText>
            </w:r>
            <w:r w:rsidR="00320A9B">
              <w:rPr>
                <w:noProof/>
                <w:webHidden/>
              </w:rPr>
            </w:r>
            <w:r w:rsidR="00320A9B">
              <w:rPr>
                <w:noProof/>
                <w:webHidden/>
              </w:rPr>
              <w:fldChar w:fldCharType="separate"/>
            </w:r>
            <w:r w:rsidR="00320A9B">
              <w:rPr>
                <w:noProof/>
                <w:webHidden/>
              </w:rPr>
              <w:t>2</w:t>
            </w:r>
            <w:r w:rsidR="00320A9B">
              <w:rPr>
                <w:noProof/>
                <w:webHidden/>
              </w:rPr>
              <w:fldChar w:fldCharType="end"/>
            </w:r>
          </w:hyperlink>
        </w:p>
        <w:p w14:paraId="421E48A3" w14:textId="2ABF7B4C" w:rsidR="00320A9B" w:rsidRDefault="00320A9B">
          <w:pPr>
            <w:pStyle w:val="TOC1"/>
            <w:tabs>
              <w:tab w:val="right" w:leader="dot" w:pos="9016"/>
            </w:tabs>
            <w:rPr>
              <w:rFonts w:eastAsiaTheme="minorEastAsia"/>
              <w:noProof/>
              <w:lang w:eastAsia="en-GB"/>
            </w:rPr>
          </w:pPr>
          <w:hyperlink w:anchor="_Toc92657493" w:history="1">
            <w:r w:rsidRPr="00BE2E83">
              <w:rPr>
                <w:rStyle w:val="Hyperlink"/>
                <w:rFonts w:ascii="Arial" w:hAnsi="Arial" w:cs="Arial"/>
                <w:noProof/>
              </w:rPr>
              <w:t>History, Uses, Efficacy and Contraindications</w:t>
            </w:r>
            <w:r>
              <w:rPr>
                <w:noProof/>
                <w:webHidden/>
              </w:rPr>
              <w:tab/>
            </w:r>
            <w:r>
              <w:rPr>
                <w:noProof/>
                <w:webHidden/>
              </w:rPr>
              <w:fldChar w:fldCharType="begin"/>
            </w:r>
            <w:r>
              <w:rPr>
                <w:noProof/>
                <w:webHidden/>
              </w:rPr>
              <w:instrText xml:space="preserve"> PAGEREF _Toc92657493 \h </w:instrText>
            </w:r>
            <w:r>
              <w:rPr>
                <w:noProof/>
                <w:webHidden/>
              </w:rPr>
            </w:r>
            <w:r>
              <w:rPr>
                <w:noProof/>
                <w:webHidden/>
              </w:rPr>
              <w:fldChar w:fldCharType="separate"/>
            </w:r>
            <w:r>
              <w:rPr>
                <w:noProof/>
                <w:webHidden/>
              </w:rPr>
              <w:t>2</w:t>
            </w:r>
            <w:r>
              <w:rPr>
                <w:noProof/>
                <w:webHidden/>
              </w:rPr>
              <w:fldChar w:fldCharType="end"/>
            </w:r>
          </w:hyperlink>
        </w:p>
        <w:p w14:paraId="1ED55EF2" w14:textId="1AB1A4D3" w:rsidR="00320A9B" w:rsidRDefault="00320A9B">
          <w:pPr>
            <w:pStyle w:val="TOC1"/>
            <w:tabs>
              <w:tab w:val="right" w:leader="dot" w:pos="9016"/>
            </w:tabs>
            <w:rPr>
              <w:rFonts w:eastAsiaTheme="minorEastAsia"/>
              <w:noProof/>
              <w:lang w:eastAsia="en-GB"/>
            </w:rPr>
          </w:pPr>
          <w:hyperlink w:anchor="_Toc92657494" w:history="1">
            <w:r w:rsidRPr="00BE2E83">
              <w:rPr>
                <w:rStyle w:val="Hyperlink"/>
                <w:rFonts w:ascii="Arial" w:hAnsi="Arial" w:cs="Arial"/>
                <w:noProof/>
              </w:rPr>
              <w:t>Self-regulatory Systems</w:t>
            </w:r>
            <w:r>
              <w:rPr>
                <w:noProof/>
                <w:webHidden/>
              </w:rPr>
              <w:tab/>
            </w:r>
            <w:r>
              <w:rPr>
                <w:noProof/>
                <w:webHidden/>
              </w:rPr>
              <w:fldChar w:fldCharType="begin"/>
            </w:r>
            <w:r>
              <w:rPr>
                <w:noProof/>
                <w:webHidden/>
              </w:rPr>
              <w:instrText xml:space="preserve"> PAGEREF _Toc92657494 \h </w:instrText>
            </w:r>
            <w:r>
              <w:rPr>
                <w:noProof/>
                <w:webHidden/>
              </w:rPr>
            </w:r>
            <w:r>
              <w:rPr>
                <w:noProof/>
                <w:webHidden/>
              </w:rPr>
              <w:fldChar w:fldCharType="separate"/>
            </w:r>
            <w:r>
              <w:rPr>
                <w:noProof/>
                <w:webHidden/>
              </w:rPr>
              <w:t>6</w:t>
            </w:r>
            <w:r>
              <w:rPr>
                <w:noProof/>
                <w:webHidden/>
              </w:rPr>
              <w:fldChar w:fldCharType="end"/>
            </w:r>
          </w:hyperlink>
        </w:p>
        <w:p w14:paraId="7AA8398F" w14:textId="2905C0E9" w:rsidR="00320A9B" w:rsidRDefault="00320A9B">
          <w:pPr>
            <w:pStyle w:val="TOC1"/>
            <w:tabs>
              <w:tab w:val="right" w:leader="dot" w:pos="9016"/>
            </w:tabs>
            <w:rPr>
              <w:rFonts w:eastAsiaTheme="minorEastAsia"/>
              <w:noProof/>
              <w:lang w:eastAsia="en-GB"/>
            </w:rPr>
          </w:pPr>
          <w:hyperlink w:anchor="_Toc92657495" w:history="1">
            <w:r w:rsidRPr="00BE2E83">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_Toc92657495 \h </w:instrText>
            </w:r>
            <w:r>
              <w:rPr>
                <w:noProof/>
                <w:webHidden/>
              </w:rPr>
            </w:r>
            <w:r>
              <w:rPr>
                <w:noProof/>
                <w:webHidden/>
              </w:rPr>
              <w:fldChar w:fldCharType="separate"/>
            </w:r>
            <w:r>
              <w:rPr>
                <w:noProof/>
                <w:webHidden/>
              </w:rPr>
              <w:t>6</w:t>
            </w:r>
            <w:r>
              <w:rPr>
                <w:noProof/>
                <w:webHidden/>
              </w:rPr>
              <w:fldChar w:fldCharType="end"/>
            </w:r>
          </w:hyperlink>
        </w:p>
        <w:p w14:paraId="22B52660" w14:textId="057F53B6" w:rsidR="00320A9B" w:rsidRDefault="00320A9B">
          <w:pPr>
            <w:pStyle w:val="TOC1"/>
            <w:tabs>
              <w:tab w:val="right" w:leader="dot" w:pos="9016"/>
            </w:tabs>
            <w:rPr>
              <w:rFonts w:eastAsiaTheme="minorEastAsia"/>
              <w:noProof/>
              <w:lang w:eastAsia="en-GB"/>
            </w:rPr>
          </w:pPr>
          <w:hyperlink w:anchor="_Toc92657496" w:history="1">
            <w:r w:rsidRPr="00BE2E8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_Toc92657496 \h </w:instrText>
            </w:r>
            <w:r>
              <w:rPr>
                <w:noProof/>
                <w:webHidden/>
              </w:rPr>
            </w:r>
            <w:r>
              <w:rPr>
                <w:noProof/>
                <w:webHidden/>
              </w:rPr>
              <w:fldChar w:fldCharType="separate"/>
            </w:r>
            <w:r>
              <w:rPr>
                <w:noProof/>
                <w:webHidden/>
              </w:rPr>
              <w:t>7</w:t>
            </w:r>
            <w:r>
              <w:rPr>
                <w:noProof/>
                <w:webHidden/>
              </w:rPr>
              <w:fldChar w:fldCharType="end"/>
            </w:r>
          </w:hyperlink>
        </w:p>
        <w:p w14:paraId="1A8DFB6E" w14:textId="128E9831" w:rsidR="00320A9B" w:rsidRDefault="00320A9B">
          <w:pPr>
            <w:pStyle w:val="TOC1"/>
            <w:tabs>
              <w:tab w:val="right" w:leader="dot" w:pos="9016"/>
            </w:tabs>
            <w:rPr>
              <w:rFonts w:eastAsiaTheme="minorEastAsia"/>
              <w:noProof/>
              <w:lang w:eastAsia="en-GB"/>
            </w:rPr>
          </w:pPr>
          <w:hyperlink w:anchor="_Toc92657497" w:history="1">
            <w:r w:rsidRPr="00BE2E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_Toc92657497 \h </w:instrText>
            </w:r>
            <w:r>
              <w:rPr>
                <w:noProof/>
                <w:webHidden/>
              </w:rPr>
            </w:r>
            <w:r>
              <w:rPr>
                <w:noProof/>
                <w:webHidden/>
              </w:rPr>
              <w:fldChar w:fldCharType="separate"/>
            </w:r>
            <w:r>
              <w:rPr>
                <w:noProof/>
                <w:webHidden/>
              </w:rPr>
              <w:t>7</w:t>
            </w:r>
            <w:r>
              <w:rPr>
                <w:noProof/>
                <w:webHidden/>
              </w:rPr>
              <w:fldChar w:fldCharType="end"/>
            </w:r>
          </w:hyperlink>
        </w:p>
        <w:p w14:paraId="53F37A89" w14:textId="16480502" w:rsidR="00320A9B" w:rsidRDefault="00320A9B">
          <w:pPr>
            <w:pStyle w:val="TOC1"/>
            <w:tabs>
              <w:tab w:val="right" w:leader="dot" w:pos="9016"/>
            </w:tabs>
            <w:rPr>
              <w:rFonts w:eastAsiaTheme="minorEastAsia"/>
              <w:noProof/>
              <w:lang w:eastAsia="en-GB"/>
            </w:rPr>
          </w:pPr>
          <w:hyperlink w:anchor="_Toc92657498" w:history="1">
            <w:r w:rsidRPr="00BE2E83">
              <w:rPr>
                <w:rStyle w:val="Hyperlink"/>
                <w:rFonts w:ascii="Arial" w:eastAsia="Open Sans" w:hAnsi="Arial" w:cs="Arial"/>
                <w:noProof/>
              </w:rPr>
              <w:t>References</w:t>
            </w:r>
            <w:r>
              <w:rPr>
                <w:noProof/>
                <w:webHidden/>
              </w:rPr>
              <w:tab/>
            </w:r>
            <w:r>
              <w:rPr>
                <w:noProof/>
                <w:webHidden/>
              </w:rPr>
              <w:fldChar w:fldCharType="begin"/>
            </w:r>
            <w:r>
              <w:rPr>
                <w:noProof/>
                <w:webHidden/>
              </w:rPr>
              <w:instrText xml:space="preserve"> PAGEREF _Toc92657498 \h </w:instrText>
            </w:r>
            <w:r>
              <w:rPr>
                <w:noProof/>
                <w:webHidden/>
              </w:rPr>
            </w:r>
            <w:r>
              <w:rPr>
                <w:noProof/>
                <w:webHidden/>
              </w:rPr>
              <w:fldChar w:fldCharType="separate"/>
            </w:r>
            <w:r>
              <w:rPr>
                <w:noProof/>
                <w:webHidden/>
              </w:rPr>
              <w:t>7</w:t>
            </w:r>
            <w:r>
              <w:rPr>
                <w:noProof/>
                <w:webHidden/>
              </w:rPr>
              <w:fldChar w:fldCharType="end"/>
            </w:r>
          </w:hyperlink>
        </w:p>
        <w:p w14:paraId="4824B3C1" w14:textId="3EB0AFDD" w:rsidR="00A50D9D" w:rsidRDefault="00A50D9D">
          <w:r>
            <w:rPr>
              <w:b/>
              <w:bCs/>
            </w:rPr>
            <w:fldChar w:fldCharType="end"/>
          </w:r>
        </w:p>
      </w:sdtContent>
    </w:sdt>
    <w:p w14:paraId="71440C97" w14:textId="77777777" w:rsidR="00A50D9D" w:rsidRDefault="00A50D9D" w:rsidP="005F0A92">
      <w:pPr>
        <w:pStyle w:val="Heading1"/>
        <w:spacing w:line="360" w:lineRule="auto"/>
        <w:rPr>
          <w:rFonts w:ascii="Arial" w:hAnsi="Arial" w:cs="Arial"/>
        </w:rPr>
      </w:pPr>
    </w:p>
    <w:p w14:paraId="5FCE3E97" w14:textId="77777777" w:rsidR="00A50D9D" w:rsidRDefault="00A50D9D" w:rsidP="005F0A92">
      <w:pPr>
        <w:pStyle w:val="Heading1"/>
        <w:spacing w:line="360" w:lineRule="auto"/>
        <w:rPr>
          <w:rFonts w:ascii="Arial" w:hAnsi="Arial" w:cs="Arial"/>
        </w:rPr>
      </w:pPr>
    </w:p>
    <w:p w14:paraId="7E95A7E3" w14:textId="77777777" w:rsidR="00A50D9D" w:rsidRDefault="00A50D9D" w:rsidP="005F0A92">
      <w:pPr>
        <w:pStyle w:val="Heading1"/>
        <w:spacing w:line="360" w:lineRule="auto"/>
        <w:rPr>
          <w:rFonts w:ascii="Arial" w:hAnsi="Arial" w:cs="Arial"/>
        </w:rPr>
      </w:pPr>
    </w:p>
    <w:p w14:paraId="6D423497" w14:textId="77777777" w:rsidR="00A50D9D" w:rsidRDefault="00A50D9D" w:rsidP="005F0A92">
      <w:pPr>
        <w:pStyle w:val="Heading1"/>
        <w:spacing w:line="360" w:lineRule="auto"/>
        <w:rPr>
          <w:rFonts w:ascii="Arial" w:hAnsi="Arial" w:cs="Arial"/>
        </w:rPr>
      </w:pPr>
    </w:p>
    <w:p w14:paraId="32882D56" w14:textId="77777777" w:rsidR="00A50D9D" w:rsidRDefault="00A50D9D" w:rsidP="005F0A92">
      <w:pPr>
        <w:pStyle w:val="Heading1"/>
        <w:spacing w:line="360" w:lineRule="auto"/>
        <w:rPr>
          <w:rFonts w:ascii="Arial" w:hAnsi="Arial" w:cs="Arial"/>
        </w:rPr>
      </w:pPr>
    </w:p>
    <w:p w14:paraId="0F510D28" w14:textId="77777777" w:rsidR="00A50D9D" w:rsidRDefault="00A50D9D" w:rsidP="005F0A92">
      <w:pPr>
        <w:pStyle w:val="Heading1"/>
        <w:spacing w:line="360" w:lineRule="auto"/>
        <w:rPr>
          <w:rFonts w:ascii="Arial" w:hAnsi="Arial" w:cs="Arial"/>
        </w:rPr>
      </w:pPr>
    </w:p>
    <w:p w14:paraId="48C4CEC9" w14:textId="77777777" w:rsidR="00A50D9D" w:rsidRDefault="00A50D9D" w:rsidP="005F0A92">
      <w:pPr>
        <w:pStyle w:val="Heading1"/>
        <w:spacing w:line="360" w:lineRule="auto"/>
        <w:rPr>
          <w:rFonts w:ascii="Arial" w:hAnsi="Arial" w:cs="Arial"/>
        </w:rPr>
      </w:pPr>
    </w:p>
    <w:p w14:paraId="7A58498C" w14:textId="77777777" w:rsidR="00A50D9D" w:rsidRDefault="00A50D9D" w:rsidP="005F0A92">
      <w:pPr>
        <w:pStyle w:val="Heading1"/>
        <w:spacing w:line="360" w:lineRule="auto"/>
        <w:rPr>
          <w:rFonts w:ascii="Arial" w:hAnsi="Arial" w:cs="Arial"/>
        </w:rPr>
      </w:pPr>
    </w:p>
    <w:p w14:paraId="375E0649" w14:textId="77777777" w:rsidR="00A50D9D" w:rsidRDefault="00A50D9D" w:rsidP="005F0A92">
      <w:pPr>
        <w:pStyle w:val="Heading1"/>
        <w:spacing w:line="360" w:lineRule="auto"/>
        <w:rPr>
          <w:rFonts w:ascii="Arial" w:hAnsi="Arial" w:cs="Arial"/>
        </w:rPr>
      </w:pPr>
    </w:p>
    <w:p w14:paraId="5643E6E1" w14:textId="77777777" w:rsidR="00A50D9D" w:rsidRDefault="00A50D9D" w:rsidP="005F0A92">
      <w:pPr>
        <w:pStyle w:val="Heading1"/>
        <w:spacing w:line="360" w:lineRule="auto"/>
        <w:rPr>
          <w:rFonts w:ascii="Arial" w:hAnsi="Arial" w:cs="Arial"/>
        </w:rPr>
      </w:pPr>
    </w:p>
    <w:p w14:paraId="5DB44259" w14:textId="1B24A78A" w:rsidR="00184ABE" w:rsidRDefault="00184ABE" w:rsidP="00EE455B">
      <w:pPr>
        <w:pStyle w:val="Heading1"/>
        <w:spacing w:line="360" w:lineRule="auto"/>
        <w:rPr>
          <w:rFonts w:ascii="Arial" w:hAnsi="Arial" w:cs="Arial"/>
        </w:rPr>
      </w:pPr>
      <w:bookmarkStart w:id="0" w:name="_Toc92657492"/>
    </w:p>
    <w:p w14:paraId="683C22C9" w14:textId="660F6810" w:rsidR="00F10AA9" w:rsidRDefault="00F10AA9" w:rsidP="00F10AA9"/>
    <w:p w14:paraId="78180EFE" w14:textId="77777777" w:rsidR="00F10AA9" w:rsidRPr="00F10AA9" w:rsidRDefault="00F10AA9" w:rsidP="00F10AA9"/>
    <w:p w14:paraId="02932859" w14:textId="5D56958E" w:rsidR="008B4487" w:rsidRPr="00320A9B" w:rsidRDefault="008B4487" w:rsidP="00EE455B">
      <w:pPr>
        <w:pStyle w:val="Heading1"/>
        <w:spacing w:line="360" w:lineRule="auto"/>
        <w:rPr>
          <w:rFonts w:ascii="Arial" w:eastAsiaTheme="minorHAnsi" w:hAnsi="Arial" w:cs="Arial"/>
          <w:color w:val="auto"/>
          <w:sz w:val="22"/>
          <w:szCs w:val="22"/>
        </w:rPr>
      </w:pPr>
      <w:r w:rsidRPr="00320A9B">
        <w:rPr>
          <w:rFonts w:ascii="Arial" w:hAnsi="Arial" w:cs="Arial"/>
        </w:rPr>
        <w:lastRenderedPageBreak/>
        <w:t>Introduction</w:t>
      </w:r>
      <w:bookmarkEnd w:id="0"/>
      <w:r w:rsidRPr="00320A9B">
        <w:rPr>
          <w:rFonts w:ascii="Arial" w:eastAsiaTheme="minorHAnsi" w:hAnsi="Arial" w:cs="Arial"/>
          <w:color w:val="auto"/>
          <w:sz w:val="22"/>
          <w:szCs w:val="22"/>
        </w:rPr>
        <w:t xml:space="preserve"> </w:t>
      </w:r>
    </w:p>
    <w:p w14:paraId="627F904F" w14:textId="77777777" w:rsidR="008B4487" w:rsidRPr="00320A9B" w:rsidRDefault="008B4487" w:rsidP="00EE455B">
      <w:pPr>
        <w:spacing w:after="0" w:line="360" w:lineRule="auto"/>
        <w:rPr>
          <w:rFonts w:ascii="Arial" w:hAnsi="Arial" w:cs="Arial"/>
        </w:rPr>
      </w:pPr>
      <w:r w:rsidRPr="00320A9B">
        <w:rPr>
          <w:rFonts w:ascii="Arial" w:hAnsi="Arial" w:cs="Arial"/>
        </w:rPr>
        <w:t>This assignment will be evaluating the guidance, regulation and provision needed to have access to complimentary within healthcare settings. Analysis of the regulation system will be carefully evaluated ensuring it meets the legislation and polices required for the type of therapy that will be used within healthcare.</w:t>
      </w:r>
    </w:p>
    <w:p w14:paraId="52D00676" w14:textId="77777777" w:rsidR="008B4487" w:rsidRPr="00320A9B" w:rsidRDefault="008B4487" w:rsidP="00EE455B">
      <w:pPr>
        <w:spacing w:after="0" w:line="360" w:lineRule="auto"/>
        <w:rPr>
          <w:rFonts w:ascii="Arial" w:hAnsi="Arial" w:cs="Arial"/>
        </w:rPr>
      </w:pPr>
    </w:p>
    <w:p w14:paraId="1194AC98" w14:textId="77777777" w:rsidR="008B4487" w:rsidRPr="00320A9B" w:rsidRDefault="008B4487" w:rsidP="00EE455B">
      <w:pPr>
        <w:spacing w:after="0" w:line="360" w:lineRule="auto"/>
        <w:rPr>
          <w:rFonts w:ascii="Arial" w:hAnsi="Arial" w:cs="Arial"/>
        </w:rPr>
      </w:pPr>
      <w:r w:rsidRPr="00320A9B">
        <w:rPr>
          <w:rFonts w:ascii="Arial" w:hAnsi="Arial" w:cs="Arial"/>
        </w:rPr>
        <w:t>Complementary therapies are different forms of treatments used alongside medical treatment which is prescribe by doctors. There is no scientific evidence that shows complimentary therapy is safe or not safe. Complimentary therapies are used for maintaining good health and treating the whole body rather than just one part the person is feeling pain. Complimentary therapies are part of some people cultural traditions and beliefs which is the only cure or treatments they know. There is different type of complimentary therapies such as meditation, acupuncture, chiropractic, aromatherapy, osteopathy, herbal medicine, and many more (BetterHealthChannel,2021).</w:t>
      </w:r>
    </w:p>
    <w:p w14:paraId="0FAE00E3" w14:textId="77777777" w:rsidR="008B4487" w:rsidRPr="00320A9B" w:rsidRDefault="008B4487" w:rsidP="00EE455B">
      <w:pPr>
        <w:spacing w:after="0" w:line="360" w:lineRule="auto"/>
        <w:rPr>
          <w:rFonts w:ascii="Arial" w:hAnsi="Arial" w:cs="Arial"/>
        </w:rPr>
      </w:pPr>
    </w:p>
    <w:p w14:paraId="2164CAC0" w14:textId="77777777" w:rsidR="008B4487" w:rsidRPr="00320A9B" w:rsidRDefault="008B4487" w:rsidP="00EE455B">
      <w:pPr>
        <w:spacing w:after="0" w:line="360" w:lineRule="auto"/>
        <w:rPr>
          <w:rFonts w:ascii="Arial" w:hAnsi="Arial" w:cs="Arial"/>
        </w:rPr>
      </w:pPr>
      <w:r w:rsidRPr="00320A9B">
        <w:rPr>
          <w:rFonts w:ascii="Arial" w:hAnsi="Arial" w:cs="Arial"/>
        </w:rPr>
        <w:t xml:space="preserve">To practice conventional medicine the regulated laws ensures that all practitioners are qualified and abide by all the rules or codes of practice which is called statutory professional regulation (NHS Choices, 2018). There are only 2 complementary and alternative therapies who have statutory professional regulations but similar – osteopathy and chiropractic, no other form of CAM practitioners is professionally regulated (NHS Choices, 2018). </w:t>
      </w:r>
    </w:p>
    <w:p w14:paraId="32C2E9C3" w14:textId="77777777" w:rsidR="008B4487" w:rsidRPr="00320A9B" w:rsidRDefault="008B4487" w:rsidP="00EE455B">
      <w:pPr>
        <w:spacing w:after="0" w:line="360" w:lineRule="auto"/>
        <w:rPr>
          <w:rFonts w:ascii="Arial" w:hAnsi="Arial" w:cs="Arial"/>
          <w:color w:val="000000" w:themeColor="text1"/>
          <w:shd w:val="clear" w:color="auto" w:fill="FFFFFF"/>
        </w:rPr>
      </w:pPr>
      <w:r w:rsidRPr="00320A9B">
        <w:rPr>
          <w:rFonts w:ascii="Arial" w:hAnsi="Arial" w:cs="Arial"/>
          <w:color w:val="000000" w:themeColor="text1"/>
          <w:shd w:val="clear" w:color="auto" w:fill="FFFFFF"/>
        </w:rPr>
        <w:t>As many people choose complementary practitioners combined with conventional medical treatments, the public and medical profession are becoming more drawn to the safe practice and efficacy of complementary therapies. Regulations are written to protect consumer with the profession's needs for agreed minimum standards with growth and developments</w:t>
      </w:r>
      <w:r w:rsidRPr="00320A9B">
        <w:rPr>
          <w:rFonts w:ascii="Arial" w:hAnsi="Arial" w:cs="Arial"/>
        </w:rPr>
        <w:t xml:space="preserve"> </w:t>
      </w:r>
      <w:r w:rsidRPr="00320A9B">
        <w:rPr>
          <w:rFonts w:ascii="Arial" w:hAnsi="Arial" w:cs="Arial"/>
          <w:color w:val="000000" w:themeColor="text1"/>
          <w:shd w:val="clear" w:color="auto" w:fill="FFFFFF"/>
        </w:rPr>
        <w:t xml:space="preserve">(National Therapist Register, n.d.). </w:t>
      </w:r>
    </w:p>
    <w:p w14:paraId="7A8EB8A6" w14:textId="77777777" w:rsidR="008B4487" w:rsidRPr="00320A9B" w:rsidRDefault="008B4487" w:rsidP="00EE455B">
      <w:pPr>
        <w:pStyle w:val="Heading1"/>
        <w:spacing w:line="360" w:lineRule="auto"/>
        <w:rPr>
          <w:rFonts w:ascii="Arial" w:hAnsi="Arial" w:cs="Arial"/>
        </w:rPr>
      </w:pPr>
      <w:bookmarkStart w:id="1" w:name="_Toc92657493"/>
      <w:r w:rsidRPr="00320A9B">
        <w:rPr>
          <w:rFonts w:ascii="Arial" w:hAnsi="Arial" w:cs="Arial"/>
        </w:rPr>
        <w:t>History, Uses, Efficacy and Contraindications</w:t>
      </w:r>
      <w:bookmarkEnd w:id="1"/>
    </w:p>
    <w:p w14:paraId="504EBE33" w14:textId="77777777" w:rsidR="008B4487" w:rsidRPr="00320A9B" w:rsidRDefault="008B4487" w:rsidP="00EE455B">
      <w:pPr>
        <w:spacing w:after="0" w:line="360" w:lineRule="auto"/>
        <w:rPr>
          <w:rFonts w:ascii="Arial" w:hAnsi="Arial" w:cs="Arial"/>
        </w:rPr>
      </w:pPr>
      <w:r w:rsidRPr="00320A9B">
        <w:rPr>
          <w:rFonts w:ascii="Arial" w:hAnsi="Arial" w:cs="Arial"/>
        </w:rPr>
        <w:t xml:space="preserve">An American physician and surgeon named Andrew Taylor found osteopathy in the late 1800s. Andrew Taylor approached the body with a manual technique in other for it to affect the way the body functions for it to restore its own health. The name osteopathy was official known in 1885 and in 1892 an American School of Osteopathy was formed in Kirkville, USA which allowed Andrew Taylor to teach his methods of Osteopathy (iOsteopathy,2018). Andrew Taylor was a son of a surgeon whose goal was to restore health into the body naturally with the minimum use of surgery or medication (iOsteopathy,2018). A student named J Martin Littlejohn at the American school of Osteopathy who later became a physiology lecture moved back to the UK with his family in 1913. He worked in ana hospital </w:t>
      </w:r>
      <w:r w:rsidRPr="00320A9B">
        <w:rPr>
          <w:rFonts w:ascii="Arial" w:hAnsi="Arial" w:cs="Arial"/>
        </w:rPr>
        <w:lastRenderedPageBreak/>
        <w:t>with variety of job before his involvement in find the British School of Osteopathy including a journal of osteopathy which helped in laying out the root of Osteopathy in Europe (iOsteopathy,2018). Osteopathy was not legally nor recognised within the UK medicine practice until an Act for osteopath was introduce in 1998 (iOsteopathy,2018). To be classified as an Osteopath it is now a regulation to be qualified practitioner of General Osteopathic Council (iOsteopathy,2018).</w:t>
      </w:r>
    </w:p>
    <w:p w14:paraId="77E39B24" w14:textId="77777777" w:rsidR="008B4487" w:rsidRPr="00320A9B" w:rsidRDefault="008B4487" w:rsidP="00EE455B">
      <w:pPr>
        <w:spacing w:after="0" w:line="360" w:lineRule="auto"/>
        <w:rPr>
          <w:rFonts w:ascii="Arial" w:hAnsi="Arial" w:cs="Arial"/>
        </w:rPr>
      </w:pPr>
    </w:p>
    <w:p w14:paraId="71C3B481" w14:textId="77777777" w:rsidR="008B4487" w:rsidRPr="00320A9B" w:rsidRDefault="008B4487" w:rsidP="00EE455B">
      <w:pPr>
        <w:spacing w:after="0" w:line="360" w:lineRule="auto"/>
        <w:rPr>
          <w:rFonts w:ascii="Arial" w:hAnsi="Arial" w:cs="Arial"/>
        </w:rPr>
      </w:pPr>
      <w:r w:rsidRPr="00320A9B">
        <w:rPr>
          <w:rFonts w:ascii="Arial" w:hAnsi="Arial" w:cs="Arial"/>
          <w:color w:val="000000" w:themeColor="text1"/>
          <w:shd w:val="clear" w:color="auto" w:fill="FFFFFF"/>
        </w:rPr>
        <w:t>Osteopathy is the first complementary therapy to have gone on the statutory regulation by Parliament which gives Osteopaths the same status as doctors and dentists, by ensuring them to have the same professional treatment, protection, and confidentiality without no form of discrimination (Grove, 2014).</w:t>
      </w:r>
      <w:r w:rsidRPr="00320A9B">
        <w:rPr>
          <w:rFonts w:ascii="Arial" w:hAnsi="Arial" w:cs="Arial"/>
        </w:rPr>
        <w:t xml:space="preserve"> The name osteopathy was formed from a Greek word which means bone and disease (CancerReasearchUK,2019). </w:t>
      </w:r>
      <w:r w:rsidRPr="00320A9B">
        <w:rPr>
          <w:rFonts w:ascii="Arial" w:hAnsi="Arial" w:cs="Arial"/>
          <w:color w:val="000000" w:themeColor="text1"/>
          <w:shd w:val="clear" w:color="auto" w:fill="FFFFFF"/>
        </w:rPr>
        <w:t>The NICE guidelines only recommend osteopathy should be used for treating persistent lower back pains. According to the guidelines, there is almost no evidence for effects of the treat on other conditions unrelated to the musculoskeletal system (</w:t>
      </w:r>
      <w:proofErr w:type="spellStart"/>
      <w:r w:rsidRPr="00320A9B">
        <w:rPr>
          <w:rFonts w:ascii="Arial" w:hAnsi="Arial" w:cs="Arial"/>
          <w:color w:val="000000" w:themeColor="text1"/>
          <w:shd w:val="clear" w:color="auto" w:fill="FFFFFF"/>
        </w:rPr>
        <w:t>iao</w:t>
      </w:r>
      <w:proofErr w:type="spellEnd"/>
      <w:r w:rsidRPr="00320A9B">
        <w:rPr>
          <w:rFonts w:ascii="Arial" w:hAnsi="Arial" w:cs="Arial"/>
          <w:color w:val="000000" w:themeColor="text1"/>
          <w:shd w:val="clear" w:color="auto" w:fill="FFFFFF"/>
        </w:rPr>
        <w:t>-master-admin, 2019).</w:t>
      </w:r>
    </w:p>
    <w:p w14:paraId="7BF09F96" w14:textId="77777777" w:rsidR="008B4487" w:rsidRPr="00320A9B" w:rsidRDefault="008B4487" w:rsidP="00EE455B">
      <w:pPr>
        <w:spacing w:after="0" w:line="360" w:lineRule="auto"/>
        <w:rPr>
          <w:rFonts w:ascii="Arial" w:eastAsia="Arial" w:hAnsi="Arial" w:cs="Arial"/>
          <w:color w:val="000000" w:themeColor="text1"/>
        </w:rPr>
      </w:pPr>
      <w:r w:rsidRPr="00320A9B">
        <w:rPr>
          <w:rFonts w:ascii="Arial" w:hAnsi="Arial" w:cs="Arial"/>
        </w:rPr>
        <w:t>Osteopathy is a manual therapy that is drug free, this form of therapy works for the entire body system due to manipulation and enabling the musculoskeletal framework to be stronger. The aim of an osteopathic physician is to positively affect the body, ensuring the joints, muscles and spine is the centre of their focus. The therapy treatment is aimed at the body nervous, circulatory, and lymphatic s</w:t>
      </w:r>
      <w:r w:rsidRPr="00320A9B">
        <w:rPr>
          <w:rFonts w:ascii="Arial" w:eastAsia="Arial" w:hAnsi="Arial" w:cs="Arial"/>
        </w:rPr>
        <w:t xml:space="preserve">ystems (Felman,2017). Osteopaths who are specialised in osteopathy believe bones and muscles are one of the important keys of diagnosing and treating different forms of disorders (CancerReasearchUK,2019). </w:t>
      </w:r>
    </w:p>
    <w:p w14:paraId="59273EE4" w14:textId="77777777" w:rsidR="008B4487" w:rsidRPr="00320A9B" w:rsidRDefault="008B4487" w:rsidP="00EE455B">
      <w:pPr>
        <w:spacing w:after="0" w:line="360" w:lineRule="auto"/>
        <w:rPr>
          <w:rFonts w:ascii="Arial" w:eastAsia="Arial" w:hAnsi="Arial" w:cs="Arial"/>
          <w:color w:val="000000" w:themeColor="text1"/>
        </w:rPr>
      </w:pPr>
    </w:p>
    <w:p w14:paraId="51A4A557" w14:textId="77777777" w:rsidR="008B4487" w:rsidRPr="00320A9B" w:rsidRDefault="008B4487" w:rsidP="00EE455B">
      <w:pPr>
        <w:spacing w:after="0" w:line="360" w:lineRule="auto"/>
        <w:rPr>
          <w:rFonts w:ascii="Arial" w:eastAsia="Arial" w:hAnsi="Arial" w:cs="Arial"/>
          <w:color w:val="000000" w:themeColor="text1"/>
        </w:rPr>
      </w:pPr>
      <w:r w:rsidRPr="00320A9B">
        <w:rPr>
          <w:rFonts w:ascii="Arial" w:eastAsia="Arial" w:hAnsi="Arial" w:cs="Arial"/>
          <w:color w:val="000000" w:themeColor="text1"/>
        </w:rPr>
        <w:t>Osteopaths work to restore your body to a state of balance. The central principle of osteopathy is that the well-being of an individual relies on the way that bones, muscles, ligaments, connective tissue, and internal structures work with each other. Imbalance in one area often leads to dysfunction in another area.</w:t>
      </w:r>
    </w:p>
    <w:p w14:paraId="3467E5C1" w14:textId="77777777" w:rsidR="008B4487" w:rsidRPr="00320A9B" w:rsidRDefault="008B4487" w:rsidP="00EE455B">
      <w:pPr>
        <w:spacing w:line="360" w:lineRule="auto"/>
        <w:rPr>
          <w:rFonts w:ascii="Arial" w:eastAsia="Arial" w:hAnsi="Arial" w:cs="Arial"/>
          <w:color w:val="000000" w:themeColor="text1"/>
        </w:rPr>
      </w:pPr>
      <w:r w:rsidRPr="00320A9B">
        <w:rPr>
          <w:rFonts w:ascii="Arial" w:eastAsia="Arial" w:hAnsi="Arial" w:cs="Arial"/>
          <w:color w:val="000000" w:themeColor="text1"/>
        </w:rPr>
        <w:t xml:space="preserve">Osteopathy has proven to be a very effective method of treatment that helps with managing different ranges of pain (UKHealthCentre,2022). Studies with evidence which has taken place compares the effect of osteopathy has on lower back compared to all other types of medical treatment to the back pain. The regular medical treatment which took place had some anti-inflammatory medication, active physical therapy, hot or cold pack and structural support. During the study osteopathy which was not linked with no difference in how the pain levels were perceived by the participants, the group which were using osteopathy were found to have used less medication and required less physical therapy (Steel,2018). </w:t>
      </w:r>
    </w:p>
    <w:p w14:paraId="10E5ED37" w14:textId="77777777" w:rsidR="008B4487" w:rsidRPr="00320A9B" w:rsidRDefault="008B4487" w:rsidP="00EE455B">
      <w:pPr>
        <w:spacing w:line="360" w:lineRule="auto"/>
        <w:rPr>
          <w:rFonts w:ascii="Arial" w:hAnsi="Arial" w:cs="Arial"/>
          <w:i/>
          <w:iCs/>
          <w:color w:val="000000" w:themeColor="text1"/>
          <w:shd w:val="clear" w:color="auto" w:fill="FFFFFF"/>
        </w:rPr>
      </w:pPr>
      <w:r w:rsidRPr="00320A9B">
        <w:rPr>
          <w:rFonts w:ascii="Arial" w:hAnsi="Arial" w:cs="Arial"/>
          <w:i/>
          <w:iCs/>
          <w:color w:val="000000" w:themeColor="text1"/>
          <w:shd w:val="clear" w:color="auto" w:fill="FFFFFF"/>
        </w:rPr>
        <w:lastRenderedPageBreak/>
        <w:t>Osteopathic trials are the largest randomized controlled trial conducted to assess the efficacy of osteopathic manipulative technique for chronic low back pain. It consisted of a 2 x 2 factorial design, where 455 patients were randomized to osteopathic manipulative technique, ultrasound therapy, or similar therapy. The osteopathic manipulative technique group received six treatments over 8 weeks based on an algorithmic approach that targeted the lumbosacral, iliac, and pubic regions to receive high-velocity, low-amplitude thrusts; moderate-velocity, moderate-amplitude thrusts; soft tissue stretching, kneading, and pressure; myofascial stretching and release; counterstain treatment; and muscle energy techniques. Intention-to-treat analyses conducted at 12 weeks post-randomization found significant reductions in pain intensity with OMT, all in the range of medium treatment effects (risk ratios for moderate and substantial pain improvements ranging from 1.25 to 2.0). Although significant improvements in back-related functioning or general health were not observed in patients in the OMT group, they reported significantly lesser use of prescription medication for low back pain during the trial (</w:t>
      </w:r>
      <w:proofErr w:type="spellStart"/>
      <w:r w:rsidRPr="00320A9B">
        <w:rPr>
          <w:rFonts w:ascii="Arial" w:hAnsi="Arial" w:cs="Arial"/>
          <w:i/>
          <w:iCs/>
          <w:color w:val="000000" w:themeColor="text1"/>
          <w:shd w:val="clear" w:color="auto" w:fill="FFFFFF"/>
        </w:rPr>
        <w:t>Licciardone</w:t>
      </w:r>
      <w:proofErr w:type="spellEnd"/>
      <w:r w:rsidRPr="00320A9B">
        <w:rPr>
          <w:rFonts w:ascii="Arial" w:hAnsi="Arial" w:cs="Arial"/>
          <w:i/>
          <w:iCs/>
          <w:color w:val="000000" w:themeColor="text1"/>
          <w:shd w:val="clear" w:color="auto" w:fill="FFFFFF"/>
        </w:rPr>
        <w:t>, Schultz and Amen, 2020).</w:t>
      </w:r>
    </w:p>
    <w:p w14:paraId="5FCA1120" w14:textId="77777777" w:rsidR="008B4487" w:rsidRPr="00320A9B" w:rsidRDefault="008B4487" w:rsidP="00EE455B">
      <w:pPr>
        <w:spacing w:after="0" w:line="360" w:lineRule="auto"/>
        <w:rPr>
          <w:rFonts w:ascii="Arial" w:hAnsi="Arial" w:cs="Arial"/>
          <w:color w:val="000000" w:themeColor="text1"/>
          <w:shd w:val="clear" w:color="auto" w:fill="FFFFFF"/>
        </w:rPr>
      </w:pPr>
      <w:r w:rsidRPr="00320A9B">
        <w:rPr>
          <w:rFonts w:ascii="Arial" w:hAnsi="Arial" w:cs="Arial"/>
          <w:color w:val="000000" w:themeColor="text1"/>
          <w:shd w:val="clear" w:color="auto" w:fill="FFFFFF"/>
        </w:rPr>
        <w:t>Study found that osteopathic medicine was cost effective in achieving combined physical and mental health outcomes in the patient which their area of mobility were self-care, usual activities, pain/discomfort, and anxiety/depression. However, the study did not provide results that were specific to patients who have chronic pain (</w:t>
      </w:r>
      <w:proofErr w:type="spellStart"/>
      <w:r w:rsidRPr="00320A9B">
        <w:rPr>
          <w:rFonts w:ascii="Arial" w:hAnsi="Arial" w:cs="Arial"/>
          <w:color w:val="000000" w:themeColor="text1"/>
          <w:shd w:val="clear" w:color="auto" w:fill="FFFFFF"/>
        </w:rPr>
        <w:t>Licciardone</w:t>
      </w:r>
      <w:proofErr w:type="spellEnd"/>
      <w:r w:rsidRPr="00320A9B">
        <w:rPr>
          <w:rFonts w:ascii="Arial" w:hAnsi="Arial" w:cs="Arial"/>
          <w:color w:val="000000" w:themeColor="text1"/>
          <w:shd w:val="clear" w:color="auto" w:fill="FFFFFF"/>
        </w:rPr>
        <w:t>, Schultz and Amen, 2020).</w:t>
      </w:r>
    </w:p>
    <w:p w14:paraId="65FFD0AA" w14:textId="77777777" w:rsidR="008B4487" w:rsidRPr="00320A9B" w:rsidRDefault="008B4487" w:rsidP="00EE455B">
      <w:pPr>
        <w:spacing w:after="0" w:line="360" w:lineRule="auto"/>
        <w:rPr>
          <w:rFonts w:ascii="Arial" w:hAnsi="Arial" w:cs="Arial"/>
          <w:color w:val="000000" w:themeColor="text1"/>
          <w:shd w:val="clear" w:color="auto" w:fill="FFFFFF"/>
        </w:rPr>
      </w:pPr>
    </w:p>
    <w:p w14:paraId="4D41B9EE" w14:textId="1555C92B" w:rsidR="008B4487" w:rsidRPr="00320A9B" w:rsidRDefault="007960AE" w:rsidP="00EE455B">
      <w:pPr>
        <w:spacing w:after="0" w:line="360" w:lineRule="auto"/>
        <w:rPr>
          <w:rFonts w:ascii="Arial" w:hAnsi="Arial" w:cs="Arial"/>
        </w:rPr>
      </w:pPr>
      <w:r w:rsidRPr="00320A9B">
        <w:rPr>
          <w:rFonts w:ascii="Arial" w:hAnsi="Arial" w:cs="Arial"/>
        </w:rPr>
        <w:t xml:space="preserve">A study on </w:t>
      </w:r>
      <w:r w:rsidR="00B629B4" w:rsidRPr="00320A9B">
        <w:rPr>
          <w:rFonts w:ascii="Arial" w:hAnsi="Arial" w:cs="Arial"/>
        </w:rPr>
        <w:t xml:space="preserve">osteopathic manipulative </w:t>
      </w:r>
      <w:r w:rsidR="000E2B57" w:rsidRPr="00320A9B">
        <w:rPr>
          <w:rFonts w:ascii="Arial" w:hAnsi="Arial" w:cs="Arial"/>
        </w:rPr>
        <w:t>treatment in</w:t>
      </w:r>
      <w:r w:rsidR="00B629B4" w:rsidRPr="00320A9B">
        <w:rPr>
          <w:rFonts w:ascii="Arial" w:hAnsi="Arial" w:cs="Arial"/>
        </w:rPr>
        <w:t xml:space="preserve"> patients with </w:t>
      </w:r>
      <w:r w:rsidR="000E2B57" w:rsidRPr="00320A9B">
        <w:rPr>
          <w:rFonts w:ascii="Arial" w:hAnsi="Arial" w:cs="Arial"/>
        </w:rPr>
        <w:t>Parkinson’s</w:t>
      </w:r>
      <w:r w:rsidR="00B629B4" w:rsidRPr="00320A9B">
        <w:rPr>
          <w:rFonts w:ascii="Arial" w:hAnsi="Arial" w:cs="Arial"/>
        </w:rPr>
        <w:t xml:space="preserve"> disease was </w:t>
      </w:r>
      <w:r w:rsidR="000E2B57" w:rsidRPr="00320A9B">
        <w:rPr>
          <w:rFonts w:ascii="Arial" w:hAnsi="Arial" w:cs="Arial"/>
        </w:rPr>
        <w:t>carried out which states that e</w:t>
      </w:r>
      <w:r w:rsidR="008B4487" w:rsidRPr="00320A9B">
        <w:rPr>
          <w:rFonts w:ascii="Arial" w:hAnsi="Arial" w:cs="Arial"/>
        </w:rPr>
        <w:t xml:space="preserve">fficacy in patients with neurologic diseases revealed the </w:t>
      </w:r>
      <w:r w:rsidR="000E2B57" w:rsidRPr="00320A9B">
        <w:rPr>
          <w:rFonts w:ascii="Arial" w:hAnsi="Arial" w:cs="Arial"/>
        </w:rPr>
        <w:t>inadequacy</w:t>
      </w:r>
      <w:r w:rsidR="008B4487" w:rsidRPr="00320A9B">
        <w:rPr>
          <w:rFonts w:ascii="Arial" w:hAnsi="Arial" w:cs="Arial"/>
        </w:rPr>
        <w:t xml:space="preserve"> and </w:t>
      </w:r>
      <w:r w:rsidR="000E2B57" w:rsidRPr="00320A9B">
        <w:rPr>
          <w:rFonts w:ascii="Arial" w:hAnsi="Arial" w:cs="Arial"/>
        </w:rPr>
        <w:t>discrepancy</w:t>
      </w:r>
      <w:r w:rsidR="008B4487" w:rsidRPr="00320A9B">
        <w:rPr>
          <w:rFonts w:ascii="Arial" w:hAnsi="Arial" w:cs="Arial"/>
        </w:rPr>
        <w:t xml:space="preserve"> of literature on this topic. One study</w:t>
      </w:r>
      <w:r w:rsidR="00692391" w:rsidRPr="00320A9B">
        <w:rPr>
          <w:rFonts w:ascii="Arial" w:hAnsi="Arial" w:cs="Arial"/>
        </w:rPr>
        <w:t xml:space="preserve"> out</w:t>
      </w:r>
      <w:r w:rsidR="008B4487" w:rsidRPr="00320A9B">
        <w:rPr>
          <w:rFonts w:ascii="Arial" w:hAnsi="Arial" w:cs="Arial"/>
        </w:rPr>
        <w:t xml:space="preserve"> of 27 subjects </w:t>
      </w:r>
      <w:r w:rsidR="00692391" w:rsidRPr="00320A9B">
        <w:rPr>
          <w:rFonts w:ascii="Arial" w:hAnsi="Arial" w:cs="Arial"/>
        </w:rPr>
        <w:t>made used of the</w:t>
      </w:r>
      <w:r w:rsidR="008B4487" w:rsidRPr="00320A9B">
        <w:rPr>
          <w:rFonts w:ascii="Arial" w:hAnsi="Arial" w:cs="Arial"/>
        </w:rPr>
        <w:t xml:space="preserve"> standard-of-care soft-tissue articulatory and muscle energy OMT techniques on PD patients to increase mobility and range of motion. </w:t>
      </w:r>
      <w:r w:rsidR="00692391" w:rsidRPr="00320A9B">
        <w:rPr>
          <w:rFonts w:ascii="Arial" w:hAnsi="Arial" w:cs="Arial"/>
        </w:rPr>
        <w:t>Meanwhile</w:t>
      </w:r>
      <w:r w:rsidR="008B4487" w:rsidRPr="00320A9B">
        <w:rPr>
          <w:rFonts w:ascii="Arial" w:hAnsi="Arial" w:cs="Arial"/>
        </w:rPr>
        <w:t xml:space="preserve"> quantitative pre-post scores did not show statistically significant results between treatment and sham (control) groups, clinically significant trends toward improvement were revealed and patients commented on benefits posttreatment that carried over to other activities of daily living</w:t>
      </w:r>
      <w:r w:rsidR="00692391" w:rsidRPr="00320A9B">
        <w:rPr>
          <w:rFonts w:ascii="Arial" w:hAnsi="Arial" w:cs="Arial"/>
        </w:rPr>
        <w:t xml:space="preserve"> </w:t>
      </w:r>
      <w:r w:rsidR="00692391" w:rsidRPr="00320A9B">
        <w:rPr>
          <w:rFonts w:ascii="Arial" w:hAnsi="Arial" w:cs="Arial"/>
        </w:rPr>
        <w:t>(Li et al., 2021)</w:t>
      </w:r>
      <w:r w:rsidR="008B4487" w:rsidRPr="00320A9B">
        <w:rPr>
          <w:rFonts w:ascii="Arial" w:hAnsi="Arial" w:cs="Arial"/>
        </w:rPr>
        <w:t xml:space="preserve">. Another study comparing 30 </w:t>
      </w:r>
      <w:r w:rsidR="004875F1">
        <w:rPr>
          <w:rFonts w:ascii="Arial" w:hAnsi="Arial" w:cs="Arial"/>
        </w:rPr>
        <w:t>patients</w:t>
      </w:r>
      <w:r w:rsidR="009E4AB2">
        <w:rPr>
          <w:rFonts w:ascii="Arial" w:hAnsi="Arial" w:cs="Arial"/>
        </w:rPr>
        <w:t xml:space="preserve"> with</w:t>
      </w:r>
      <w:r w:rsidR="009E4AB2" w:rsidRPr="00320A9B">
        <w:rPr>
          <w:rFonts w:ascii="Arial" w:hAnsi="Arial" w:cs="Arial"/>
        </w:rPr>
        <w:t xml:space="preserve"> Parkinson’s</w:t>
      </w:r>
      <w:r w:rsidR="008B4487" w:rsidRPr="00320A9B">
        <w:rPr>
          <w:rFonts w:ascii="Arial" w:hAnsi="Arial" w:cs="Arial"/>
        </w:rPr>
        <w:t xml:space="preserve"> Disease</w:t>
      </w:r>
      <w:r w:rsidR="009E4AB2">
        <w:rPr>
          <w:rFonts w:ascii="Arial" w:hAnsi="Arial" w:cs="Arial"/>
        </w:rPr>
        <w:t xml:space="preserve"> and </w:t>
      </w:r>
      <w:r w:rsidR="008B4487" w:rsidRPr="00320A9B">
        <w:rPr>
          <w:rFonts w:ascii="Arial" w:hAnsi="Arial" w:cs="Arial"/>
        </w:rPr>
        <w:t xml:space="preserve">20 controls observed a greater frequency of cranial strain patterns in Parkinson’s Disease patients than the controls, with the frequency decreasing over </w:t>
      </w:r>
      <w:r w:rsidR="004875F1" w:rsidRPr="00320A9B">
        <w:rPr>
          <w:rFonts w:ascii="Arial" w:hAnsi="Arial" w:cs="Arial"/>
        </w:rPr>
        <w:t>consequent</w:t>
      </w:r>
      <w:r w:rsidR="008B4487" w:rsidRPr="00320A9B">
        <w:rPr>
          <w:rFonts w:ascii="Arial" w:hAnsi="Arial" w:cs="Arial"/>
        </w:rPr>
        <w:t xml:space="preserve"> visits and treatments</w:t>
      </w:r>
      <w:r w:rsidR="004875F1">
        <w:rPr>
          <w:rFonts w:ascii="Arial" w:hAnsi="Arial" w:cs="Arial"/>
        </w:rPr>
        <w:t xml:space="preserve"> </w:t>
      </w:r>
      <w:r w:rsidR="004875F1" w:rsidRPr="00320A9B">
        <w:rPr>
          <w:rFonts w:ascii="Arial" w:hAnsi="Arial" w:cs="Arial"/>
        </w:rPr>
        <w:t>(Li et al., 2021)</w:t>
      </w:r>
      <w:r w:rsidR="008B4487" w:rsidRPr="00320A9B">
        <w:rPr>
          <w:rFonts w:ascii="Arial" w:hAnsi="Arial" w:cs="Arial"/>
        </w:rPr>
        <w:t xml:space="preserve">. Autonomic instability is a major component of PD that affects all organ systems of the body yet is often underdiagnosed. OMT influences the autonomic nervous system autonomic nervous system by increasing parasympathetic and decreasing sympathetic activity via a vagal response, leading to autonomic improvements. Unfortunately, while there are extensive treatment options for controlling symptoms such as dysphagia, gastroparesis, </w:t>
      </w:r>
      <w:r w:rsidR="008B4487" w:rsidRPr="00320A9B">
        <w:rPr>
          <w:rFonts w:ascii="Arial" w:hAnsi="Arial" w:cs="Arial"/>
        </w:rPr>
        <w:lastRenderedPageBreak/>
        <w:t>constipation, bladder incontinence, and sexual dysfunction, studies researching the efficacy of OMT on autonomics in PD patients remain very limited</w:t>
      </w:r>
      <w:r w:rsidR="00134B1F" w:rsidRPr="00320A9B">
        <w:rPr>
          <w:rFonts w:ascii="Arial" w:hAnsi="Arial" w:cs="Arial"/>
        </w:rPr>
        <w:t xml:space="preserve"> </w:t>
      </w:r>
      <w:r w:rsidR="00134B1F" w:rsidRPr="00320A9B">
        <w:rPr>
          <w:rFonts w:ascii="Arial" w:hAnsi="Arial" w:cs="Arial"/>
        </w:rPr>
        <w:t>(Li et al., 2021)</w:t>
      </w:r>
      <w:r w:rsidR="008B4487" w:rsidRPr="00320A9B">
        <w:rPr>
          <w:rFonts w:ascii="Arial" w:hAnsi="Arial" w:cs="Arial"/>
        </w:rPr>
        <w:t>.</w:t>
      </w:r>
    </w:p>
    <w:p w14:paraId="6D86CB0E" w14:textId="77777777" w:rsidR="008B4487" w:rsidRPr="00320A9B" w:rsidRDefault="008B4487" w:rsidP="00EE455B">
      <w:pPr>
        <w:spacing w:after="0" w:line="360" w:lineRule="auto"/>
        <w:rPr>
          <w:rFonts w:ascii="Arial" w:eastAsia="Arial" w:hAnsi="Arial" w:cs="Arial"/>
          <w:color w:val="000000" w:themeColor="text1"/>
          <w:shd w:val="clear" w:color="auto" w:fill="FFFFFF"/>
        </w:rPr>
      </w:pPr>
    </w:p>
    <w:p w14:paraId="5798B7DA" w14:textId="68E1DDC4" w:rsidR="004875F1" w:rsidRPr="00320A9B" w:rsidRDefault="008B4487" w:rsidP="00320A9B">
      <w:pPr>
        <w:spacing w:line="360" w:lineRule="auto"/>
        <w:rPr>
          <w:rFonts w:ascii="Arial" w:eastAsia="Arial" w:hAnsi="Arial" w:cs="Arial"/>
          <w:color w:val="000000" w:themeColor="text1"/>
        </w:rPr>
      </w:pPr>
      <w:r w:rsidRPr="00320A9B">
        <w:rPr>
          <w:rFonts w:ascii="Arial" w:eastAsia="Arial" w:hAnsi="Arial" w:cs="Arial"/>
          <w:color w:val="000000" w:themeColor="text1"/>
        </w:rPr>
        <w:t>In all aspects of any form of treatments there are complications and side effects although Osteopathy is said to be a very gentle technique used on musculoskeletal, but there few things to consider before proceeding with this technique. There are two types of contraindications which are “absolute” and “relative” contraindication (Hu, 2015). Absolute contraindication means any form therapy should not be used on other condition that could result in high-risk consequences (Hu, 2015). Relative contraindication ensures that all measures of the therapy have been accessed accurately to make sure it’s of benefit for the patient and will be highly effective after being initiated (Hu, 2015).</w:t>
      </w:r>
    </w:p>
    <w:tbl>
      <w:tblPr>
        <w:tblStyle w:val="TableGrid"/>
        <w:tblW w:w="0" w:type="auto"/>
        <w:tblLook w:val="04A0" w:firstRow="1" w:lastRow="0" w:firstColumn="1" w:lastColumn="0" w:noHBand="0" w:noVBand="1"/>
      </w:tblPr>
      <w:tblGrid>
        <w:gridCol w:w="4508"/>
        <w:gridCol w:w="4508"/>
      </w:tblGrid>
      <w:tr w:rsidR="008B4487" w:rsidRPr="00320A9B" w14:paraId="592D5DE7" w14:textId="77777777" w:rsidTr="008E6761">
        <w:tc>
          <w:tcPr>
            <w:tcW w:w="4508" w:type="dxa"/>
          </w:tcPr>
          <w:p w14:paraId="240CEB7F" w14:textId="77777777" w:rsidR="008B4487" w:rsidRPr="00320A9B" w:rsidRDefault="008B4487" w:rsidP="00EE455B">
            <w:pPr>
              <w:spacing w:line="360" w:lineRule="auto"/>
              <w:rPr>
                <w:rFonts w:ascii="Arial" w:eastAsia="Arial" w:hAnsi="Arial" w:cs="Arial"/>
                <w:b/>
                <w:bCs/>
                <w:color w:val="000000" w:themeColor="text1"/>
              </w:rPr>
            </w:pPr>
            <w:r w:rsidRPr="00320A9B">
              <w:rPr>
                <w:rFonts w:ascii="Arial" w:hAnsi="Arial" w:cs="Arial"/>
                <w:b/>
                <w:bCs/>
              </w:rPr>
              <w:t>Absolute contraindications of Osteopathy</w:t>
            </w:r>
          </w:p>
        </w:tc>
        <w:tc>
          <w:tcPr>
            <w:tcW w:w="4508" w:type="dxa"/>
          </w:tcPr>
          <w:p w14:paraId="1EB32208" w14:textId="77777777" w:rsidR="008B4487" w:rsidRPr="00320A9B" w:rsidRDefault="008B4487" w:rsidP="00EE455B">
            <w:pPr>
              <w:spacing w:line="360" w:lineRule="auto"/>
              <w:rPr>
                <w:rFonts w:ascii="Arial" w:eastAsia="Arial" w:hAnsi="Arial" w:cs="Arial"/>
                <w:b/>
                <w:bCs/>
                <w:color w:val="000000" w:themeColor="text1"/>
              </w:rPr>
            </w:pPr>
            <w:r w:rsidRPr="00320A9B">
              <w:rPr>
                <w:rFonts w:ascii="Arial" w:hAnsi="Arial" w:cs="Arial"/>
                <w:b/>
                <w:bCs/>
              </w:rPr>
              <w:t>Relative contraindications of Osteopathy</w:t>
            </w:r>
          </w:p>
        </w:tc>
      </w:tr>
      <w:tr w:rsidR="008B4487" w:rsidRPr="00320A9B" w14:paraId="43F8C43D" w14:textId="77777777" w:rsidTr="008E6761">
        <w:tc>
          <w:tcPr>
            <w:tcW w:w="4508" w:type="dxa"/>
          </w:tcPr>
          <w:p w14:paraId="3C784E52" w14:textId="77777777" w:rsidR="008B4487" w:rsidRPr="00320A9B" w:rsidRDefault="008B4487" w:rsidP="00EE455B">
            <w:pPr>
              <w:spacing w:line="360" w:lineRule="auto"/>
              <w:rPr>
                <w:rFonts w:ascii="Arial" w:hAnsi="Arial" w:cs="Arial"/>
              </w:rPr>
            </w:pPr>
            <w:r w:rsidRPr="00320A9B">
              <w:rPr>
                <w:rFonts w:ascii="Arial" w:hAnsi="Arial" w:cs="Arial"/>
              </w:rPr>
              <w:t>Permission not given by patient to carry out therapy on them.</w:t>
            </w:r>
          </w:p>
          <w:p w14:paraId="6E616CBD" w14:textId="77777777" w:rsidR="008B4487" w:rsidRPr="00320A9B" w:rsidRDefault="008B4487" w:rsidP="00EE455B">
            <w:pPr>
              <w:spacing w:line="360" w:lineRule="auto"/>
              <w:rPr>
                <w:rFonts w:ascii="Arial" w:hAnsi="Arial" w:cs="Arial"/>
              </w:rPr>
            </w:pPr>
            <w:r w:rsidRPr="00320A9B">
              <w:rPr>
                <w:rFonts w:ascii="Arial" w:hAnsi="Arial" w:cs="Arial"/>
              </w:rPr>
              <w:t>General medical history assessment not being conducted to see if there are underlying medical/surgical emergency, acute abdominal pain.</w:t>
            </w:r>
          </w:p>
        </w:tc>
        <w:tc>
          <w:tcPr>
            <w:tcW w:w="4508" w:type="dxa"/>
          </w:tcPr>
          <w:p w14:paraId="2A957D68" w14:textId="77777777" w:rsidR="008B4487" w:rsidRPr="00320A9B" w:rsidRDefault="008B4487" w:rsidP="00EE455B">
            <w:pPr>
              <w:spacing w:line="360" w:lineRule="auto"/>
              <w:rPr>
                <w:rFonts w:ascii="Arial" w:eastAsia="Arial" w:hAnsi="Arial" w:cs="Arial"/>
                <w:color w:val="000000" w:themeColor="text1"/>
              </w:rPr>
            </w:pPr>
            <w:r w:rsidRPr="00320A9B">
              <w:rPr>
                <w:rFonts w:ascii="Arial" w:eastAsia="Arial" w:hAnsi="Arial" w:cs="Arial"/>
                <w:color w:val="000000" w:themeColor="text1"/>
              </w:rPr>
              <w:t>Safety concerns from patient due to the therapist posing has a risk to them</w:t>
            </w:r>
          </w:p>
        </w:tc>
      </w:tr>
      <w:tr w:rsidR="008B4487" w:rsidRPr="00320A9B" w14:paraId="113D778E" w14:textId="77777777" w:rsidTr="008E6761">
        <w:tc>
          <w:tcPr>
            <w:tcW w:w="4508" w:type="dxa"/>
          </w:tcPr>
          <w:p w14:paraId="398D409C" w14:textId="77777777" w:rsidR="008B4487" w:rsidRPr="00320A9B" w:rsidRDefault="008B4487" w:rsidP="00EE455B">
            <w:pPr>
              <w:spacing w:line="360" w:lineRule="auto"/>
              <w:rPr>
                <w:rFonts w:ascii="Arial" w:eastAsia="Arial" w:hAnsi="Arial" w:cs="Arial"/>
                <w:color w:val="000000" w:themeColor="text1"/>
              </w:rPr>
            </w:pPr>
            <w:r w:rsidRPr="00320A9B">
              <w:rPr>
                <w:rFonts w:ascii="Arial" w:hAnsi="Arial" w:cs="Arial"/>
              </w:rPr>
              <w:t>Cardiovascular disorders such Hypertensive crisis and untreated cardiac insufficiency and arrhythmia.</w:t>
            </w:r>
          </w:p>
        </w:tc>
        <w:tc>
          <w:tcPr>
            <w:tcW w:w="4508" w:type="dxa"/>
          </w:tcPr>
          <w:p w14:paraId="7AF48273" w14:textId="77777777" w:rsidR="008B4487" w:rsidRPr="00320A9B" w:rsidRDefault="008B4487" w:rsidP="00EE455B">
            <w:pPr>
              <w:spacing w:line="360" w:lineRule="auto"/>
              <w:rPr>
                <w:rFonts w:ascii="Arial" w:eastAsia="Arial" w:hAnsi="Arial" w:cs="Arial"/>
                <w:color w:val="000000" w:themeColor="text1"/>
              </w:rPr>
            </w:pPr>
            <w:r w:rsidRPr="00320A9B">
              <w:rPr>
                <w:rFonts w:ascii="Arial" w:eastAsia="Arial" w:hAnsi="Arial" w:cs="Arial"/>
                <w:color w:val="000000" w:themeColor="text1"/>
              </w:rPr>
              <w:t>Therapy ineffective on patient and they are not benefitting from it.</w:t>
            </w:r>
          </w:p>
        </w:tc>
      </w:tr>
      <w:tr w:rsidR="008B4487" w:rsidRPr="00320A9B" w14:paraId="77B035E8" w14:textId="77777777" w:rsidTr="008E6761">
        <w:tc>
          <w:tcPr>
            <w:tcW w:w="4508" w:type="dxa"/>
          </w:tcPr>
          <w:p w14:paraId="7E204D23" w14:textId="77777777" w:rsidR="008B4487" w:rsidRPr="00320A9B" w:rsidRDefault="008B4487" w:rsidP="00EE455B">
            <w:pPr>
              <w:spacing w:line="360" w:lineRule="auto"/>
              <w:rPr>
                <w:rFonts w:ascii="Arial" w:eastAsia="Arial" w:hAnsi="Arial" w:cs="Arial"/>
                <w:color w:val="000000" w:themeColor="text1"/>
              </w:rPr>
            </w:pPr>
            <w:r w:rsidRPr="00320A9B">
              <w:rPr>
                <w:rFonts w:ascii="Arial" w:hAnsi="Arial" w:cs="Arial"/>
              </w:rPr>
              <w:t xml:space="preserve">Neurological/vascular disorders (Acute, intense headache, acute neck stiffness, strong unexplained vertigo, acute vascular obliterations, and unexplained sudden visual disturbance) </w:t>
            </w:r>
          </w:p>
        </w:tc>
        <w:tc>
          <w:tcPr>
            <w:tcW w:w="4508" w:type="dxa"/>
          </w:tcPr>
          <w:p w14:paraId="383C2DA7" w14:textId="77777777" w:rsidR="008B4487" w:rsidRPr="00320A9B" w:rsidRDefault="008B4487" w:rsidP="00EE455B">
            <w:pPr>
              <w:spacing w:line="360" w:lineRule="auto"/>
              <w:rPr>
                <w:rFonts w:ascii="Arial" w:eastAsia="Arial" w:hAnsi="Arial" w:cs="Arial"/>
                <w:color w:val="000000" w:themeColor="text1"/>
              </w:rPr>
            </w:pPr>
          </w:p>
        </w:tc>
      </w:tr>
      <w:tr w:rsidR="008B4487" w:rsidRPr="00320A9B" w14:paraId="3968A126" w14:textId="77777777" w:rsidTr="008E6761">
        <w:tc>
          <w:tcPr>
            <w:tcW w:w="4508" w:type="dxa"/>
          </w:tcPr>
          <w:p w14:paraId="3E11081B" w14:textId="77777777" w:rsidR="008B4487" w:rsidRPr="00320A9B" w:rsidRDefault="008B4487" w:rsidP="00EE455B">
            <w:pPr>
              <w:spacing w:line="360" w:lineRule="auto"/>
              <w:rPr>
                <w:rFonts w:ascii="Arial" w:hAnsi="Arial" w:cs="Arial"/>
              </w:rPr>
            </w:pPr>
            <w:r w:rsidRPr="00320A9B">
              <w:rPr>
                <w:rFonts w:ascii="Arial" w:hAnsi="Arial" w:cs="Arial"/>
              </w:rPr>
              <w:t xml:space="preserve">Gynaecological disorders that could cause a loss </w:t>
            </w:r>
            <w:proofErr w:type="spellStart"/>
            <w:r w:rsidRPr="00320A9B">
              <w:rPr>
                <w:rFonts w:ascii="Arial" w:hAnsi="Arial" w:cs="Arial"/>
              </w:rPr>
              <w:t>Fetal</w:t>
            </w:r>
            <w:proofErr w:type="spellEnd"/>
            <w:r w:rsidRPr="00320A9B">
              <w:rPr>
                <w:rFonts w:ascii="Arial" w:hAnsi="Arial" w:cs="Arial"/>
              </w:rPr>
              <w:t xml:space="preserve"> through contractions and vaginal bleeding. </w:t>
            </w:r>
          </w:p>
        </w:tc>
        <w:tc>
          <w:tcPr>
            <w:tcW w:w="4508" w:type="dxa"/>
          </w:tcPr>
          <w:p w14:paraId="2E70D358" w14:textId="77777777" w:rsidR="008B4487" w:rsidRPr="00320A9B" w:rsidRDefault="008B4487" w:rsidP="00EE455B">
            <w:pPr>
              <w:spacing w:line="360" w:lineRule="auto"/>
              <w:rPr>
                <w:rFonts w:ascii="Arial" w:eastAsia="Arial" w:hAnsi="Arial" w:cs="Arial"/>
                <w:color w:val="000000" w:themeColor="text1"/>
              </w:rPr>
            </w:pPr>
          </w:p>
        </w:tc>
      </w:tr>
      <w:tr w:rsidR="008B4487" w:rsidRPr="00320A9B" w14:paraId="7CA9ED43" w14:textId="77777777" w:rsidTr="008E6761">
        <w:tc>
          <w:tcPr>
            <w:tcW w:w="4508" w:type="dxa"/>
          </w:tcPr>
          <w:p w14:paraId="7DFB01E6" w14:textId="77777777" w:rsidR="008B4487" w:rsidRPr="00320A9B" w:rsidRDefault="008B4487" w:rsidP="00EE455B">
            <w:pPr>
              <w:spacing w:line="360" w:lineRule="auto"/>
              <w:rPr>
                <w:rFonts w:ascii="Arial" w:eastAsia="Arial" w:hAnsi="Arial" w:cs="Arial"/>
                <w:color w:val="000000" w:themeColor="text1"/>
              </w:rPr>
            </w:pPr>
            <w:r w:rsidRPr="00320A9B">
              <w:rPr>
                <w:rFonts w:ascii="Arial" w:hAnsi="Arial" w:cs="Arial"/>
              </w:rPr>
              <w:t>Psychiatric disorders such as having untreated psychosis episodes or having incompetent patients who are under-age being unable to give consent and suicidal patients.</w:t>
            </w:r>
          </w:p>
        </w:tc>
        <w:tc>
          <w:tcPr>
            <w:tcW w:w="4508" w:type="dxa"/>
          </w:tcPr>
          <w:p w14:paraId="2184BF41" w14:textId="77777777" w:rsidR="008B4487" w:rsidRPr="00320A9B" w:rsidRDefault="008B4487" w:rsidP="00EE455B">
            <w:pPr>
              <w:spacing w:line="360" w:lineRule="auto"/>
              <w:rPr>
                <w:rFonts w:ascii="Arial" w:eastAsia="Arial" w:hAnsi="Arial" w:cs="Arial"/>
                <w:color w:val="000000" w:themeColor="text1"/>
              </w:rPr>
            </w:pPr>
          </w:p>
        </w:tc>
      </w:tr>
    </w:tbl>
    <w:p w14:paraId="1E001C94" w14:textId="77777777" w:rsidR="008B4487" w:rsidRPr="00320A9B" w:rsidRDefault="008B4487" w:rsidP="00EE455B">
      <w:pPr>
        <w:spacing w:line="360" w:lineRule="auto"/>
        <w:rPr>
          <w:rFonts w:ascii="Arial" w:eastAsia="Arial" w:hAnsi="Arial" w:cs="Arial"/>
          <w:color w:val="000000" w:themeColor="text1"/>
        </w:rPr>
      </w:pPr>
      <w:r w:rsidRPr="00320A9B">
        <w:rPr>
          <w:rFonts w:ascii="Arial" w:eastAsia="Arial" w:hAnsi="Arial" w:cs="Arial"/>
          <w:color w:val="000000" w:themeColor="text1"/>
        </w:rPr>
        <w:t>(</w:t>
      </w:r>
      <w:proofErr w:type="spellStart"/>
      <w:r w:rsidRPr="00320A9B">
        <w:rPr>
          <w:rFonts w:ascii="Arial" w:eastAsia="Arial" w:hAnsi="Arial" w:cs="Arial"/>
          <w:color w:val="000000" w:themeColor="text1"/>
        </w:rPr>
        <w:t>Gatterbauer</w:t>
      </w:r>
      <w:proofErr w:type="spellEnd"/>
      <w:r w:rsidRPr="00320A9B">
        <w:rPr>
          <w:rFonts w:ascii="Arial" w:eastAsia="Arial" w:hAnsi="Arial" w:cs="Arial"/>
          <w:color w:val="000000" w:themeColor="text1"/>
        </w:rPr>
        <w:t>, 2009)</w:t>
      </w:r>
    </w:p>
    <w:p w14:paraId="05550959" w14:textId="77777777" w:rsidR="008B4487" w:rsidRPr="00320A9B" w:rsidRDefault="008B4487" w:rsidP="00EE455B">
      <w:pPr>
        <w:pStyle w:val="Heading1"/>
        <w:spacing w:line="360" w:lineRule="auto"/>
        <w:rPr>
          <w:rFonts w:ascii="Arial" w:hAnsi="Arial" w:cs="Arial"/>
        </w:rPr>
      </w:pPr>
      <w:bookmarkStart w:id="2" w:name="_Toc92657494"/>
      <w:r w:rsidRPr="00320A9B">
        <w:rPr>
          <w:rFonts w:ascii="Arial" w:hAnsi="Arial" w:cs="Arial"/>
        </w:rPr>
        <w:lastRenderedPageBreak/>
        <w:t>Self-regulatory Systems</w:t>
      </w:r>
      <w:bookmarkEnd w:id="2"/>
    </w:p>
    <w:p w14:paraId="2A545BEC" w14:textId="77777777" w:rsidR="008B4487" w:rsidRPr="00320A9B" w:rsidRDefault="008B4487" w:rsidP="00EE455B">
      <w:pPr>
        <w:spacing w:after="0" w:line="360" w:lineRule="auto"/>
        <w:rPr>
          <w:rFonts w:ascii="Arial" w:hAnsi="Arial" w:cs="Arial"/>
          <w:i/>
          <w:iCs/>
          <w:color w:val="000000"/>
          <w:shd w:val="clear" w:color="auto" w:fill="FFFFFF"/>
        </w:rPr>
      </w:pPr>
      <w:r w:rsidRPr="00320A9B">
        <w:rPr>
          <w:rFonts w:ascii="Arial" w:hAnsi="Arial" w:cs="Arial"/>
          <w:i/>
          <w:iCs/>
          <w:color w:val="000000"/>
          <w:shd w:val="clear" w:color="auto" w:fill="FFFFFF"/>
        </w:rPr>
        <w:t>An Act to establish a body to be known as the General Osteopathic Council; to provide for the regulation of the profession of osteopathy, including making provision as to the registration of osteopaths and as to their professional education and conduct; to make provision in connection with the development and promotion of the profession; and for connected purposes (Osteopaths Act 1993).</w:t>
      </w:r>
    </w:p>
    <w:p w14:paraId="0157363E" w14:textId="77777777" w:rsidR="008B4487" w:rsidRPr="00320A9B" w:rsidRDefault="008B4487" w:rsidP="00EE455B">
      <w:pPr>
        <w:spacing w:after="0" w:line="360" w:lineRule="auto"/>
        <w:rPr>
          <w:rFonts w:ascii="Arial" w:hAnsi="Arial" w:cs="Arial"/>
          <w:i/>
          <w:iCs/>
        </w:rPr>
      </w:pPr>
    </w:p>
    <w:p w14:paraId="09C8A345" w14:textId="77777777" w:rsidR="008B4487" w:rsidRPr="00320A9B" w:rsidRDefault="008B4487" w:rsidP="00EE455B">
      <w:pPr>
        <w:spacing w:after="0" w:line="360" w:lineRule="auto"/>
        <w:rPr>
          <w:rFonts w:ascii="Arial" w:hAnsi="Arial" w:cs="Arial"/>
          <w:i/>
          <w:iCs/>
        </w:rPr>
      </w:pPr>
      <w:r w:rsidRPr="00320A9B">
        <w:rPr>
          <w:rFonts w:ascii="Arial" w:hAnsi="Arial" w:cs="Arial"/>
          <w:i/>
          <w:iCs/>
        </w:rPr>
        <w:t xml:space="preserve">The </w:t>
      </w:r>
      <w:proofErr w:type="spellStart"/>
      <w:r w:rsidRPr="00320A9B">
        <w:rPr>
          <w:rFonts w:ascii="Arial" w:hAnsi="Arial" w:cs="Arial"/>
          <w:i/>
          <w:iCs/>
        </w:rPr>
        <w:t>GOsC</w:t>
      </w:r>
      <w:proofErr w:type="spellEnd"/>
      <w:r w:rsidRPr="00320A9B">
        <w:rPr>
          <w:rFonts w:ascii="Arial" w:hAnsi="Arial" w:cs="Arial"/>
          <w:i/>
          <w:iCs/>
        </w:rPr>
        <w:t xml:space="preserve"> is also a charity registered in England and Wales (1172749) and its charitable purposes are those set out in the Osteopaths Act 1993 (as amended). The </w:t>
      </w:r>
      <w:proofErr w:type="spellStart"/>
      <w:r w:rsidRPr="00320A9B">
        <w:rPr>
          <w:rFonts w:ascii="Arial" w:hAnsi="Arial" w:cs="Arial"/>
          <w:i/>
          <w:iCs/>
        </w:rPr>
        <w:t>GOsC’s</w:t>
      </w:r>
      <w:proofErr w:type="spellEnd"/>
      <w:r w:rsidRPr="00320A9B">
        <w:rPr>
          <w:rFonts w:ascii="Arial" w:hAnsi="Arial" w:cs="Arial"/>
          <w:i/>
          <w:iCs/>
        </w:rPr>
        <w:t xml:space="preserve"> Council members undertake the role of charity trustees (General Osteopathic Council, 2021).</w:t>
      </w:r>
    </w:p>
    <w:p w14:paraId="712C5120" w14:textId="77777777" w:rsidR="008B4487" w:rsidRPr="00320A9B" w:rsidRDefault="008B4487" w:rsidP="00EE455B">
      <w:pPr>
        <w:spacing w:after="0" w:line="360" w:lineRule="auto"/>
        <w:rPr>
          <w:rFonts w:ascii="Arial" w:hAnsi="Arial" w:cs="Arial"/>
        </w:rPr>
      </w:pPr>
      <w:r w:rsidRPr="00320A9B">
        <w:rPr>
          <w:rFonts w:ascii="Arial" w:hAnsi="Arial" w:cs="Arial"/>
        </w:rPr>
        <w:t xml:space="preserve">The General Osteopathic Council regulates the practice of osteopathy in the United Kingdom, to be an osteopath you must be registered with the General Osteopathic Council to be able to practice in the UK (General Osteopathic Council, 2020). The role of The General Osteopathic council was handed to them under the Osteopath Act 19993 by the Parliament (General Osteopathic Council, 2020).  The role of the </w:t>
      </w:r>
      <w:proofErr w:type="spellStart"/>
      <w:r w:rsidRPr="00320A9B">
        <w:rPr>
          <w:rFonts w:ascii="Arial" w:hAnsi="Arial" w:cs="Arial"/>
        </w:rPr>
        <w:t>GOsC</w:t>
      </w:r>
      <w:proofErr w:type="spellEnd"/>
      <w:r w:rsidRPr="00320A9B">
        <w:rPr>
          <w:rFonts w:ascii="Arial" w:hAnsi="Arial" w:cs="Arial"/>
        </w:rPr>
        <w:t xml:space="preserve"> is to ensure all osteopath are following all rules and guidelines and that they are also protected under the law.</w:t>
      </w:r>
    </w:p>
    <w:p w14:paraId="4C3133C5" w14:textId="77777777" w:rsidR="008B4487" w:rsidRPr="00320A9B" w:rsidRDefault="008B4487" w:rsidP="00EE455B">
      <w:pPr>
        <w:spacing w:after="0" w:line="360" w:lineRule="auto"/>
        <w:rPr>
          <w:rFonts w:ascii="Arial" w:hAnsi="Arial" w:cs="Arial"/>
        </w:rPr>
      </w:pPr>
      <w:r w:rsidRPr="00320A9B">
        <w:rPr>
          <w:rFonts w:ascii="Arial" w:hAnsi="Arial" w:cs="Arial"/>
        </w:rPr>
        <w:t xml:space="preserve">The Osteopaths Act 1993 of the </w:t>
      </w:r>
      <w:proofErr w:type="spellStart"/>
      <w:r w:rsidRPr="00320A9B">
        <w:rPr>
          <w:rFonts w:ascii="Arial" w:hAnsi="Arial" w:cs="Arial"/>
        </w:rPr>
        <w:t>GOsC</w:t>
      </w:r>
      <w:proofErr w:type="spellEnd"/>
      <w:r w:rsidRPr="00320A9B">
        <w:rPr>
          <w:rFonts w:ascii="Arial" w:hAnsi="Arial" w:cs="Arial"/>
        </w:rPr>
        <w:t xml:space="preserve"> ensure the public is protected by promoting and maintaining the health and safety of the public and their wellbeing. They are ensuring that the public confidence in the professions of osteopathy is well maintained and promoted (General Osteopathic Council, 2020). The </w:t>
      </w:r>
      <w:proofErr w:type="spellStart"/>
      <w:r w:rsidRPr="00320A9B">
        <w:rPr>
          <w:rFonts w:ascii="Arial" w:hAnsi="Arial" w:cs="Arial"/>
        </w:rPr>
        <w:t>GOsC</w:t>
      </w:r>
      <w:proofErr w:type="spellEnd"/>
      <w:r w:rsidRPr="00320A9B">
        <w:rPr>
          <w:rFonts w:ascii="Arial" w:hAnsi="Arial" w:cs="Arial"/>
        </w:rPr>
        <w:t xml:space="preserve"> work includes setting and maintaining standards of osteopathic practice and conduct, Qualified professionals register are well maintained, ensuring all forms of osteopathic educations provided are of high standard quality, responding to patients promptly regarding osteopath and removing everyone who unprofessional/unfit to the practice (General Osteopathic Council, 2020).</w:t>
      </w:r>
    </w:p>
    <w:p w14:paraId="169BE775" w14:textId="77777777" w:rsidR="008B4487" w:rsidRPr="00320A9B" w:rsidRDefault="008B4487" w:rsidP="00EE455B">
      <w:pPr>
        <w:pStyle w:val="Heading1"/>
        <w:spacing w:line="360" w:lineRule="auto"/>
        <w:rPr>
          <w:rFonts w:ascii="Arial" w:hAnsi="Arial" w:cs="Arial"/>
        </w:rPr>
      </w:pPr>
      <w:bookmarkStart w:id="3" w:name="_Toc92657495"/>
      <w:r w:rsidRPr="00320A9B">
        <w:rPr>
          <w:rFonts w:ascii="Arial" w:hAnsi="Arial" w:cs="Arial"/>
        </w:rPr>
        <w:t>Ethical considerations</w:t>
      </w:r>
      <w:bookmarkEnd w:id="3"/>
    </w:p>
    <w:p w14:paraId="760B33A4" w14:textId="77777777" w:rsidR="008B4487" w:rsidRPr="00320A9B" w:rsidRDefault="008B4487" w:rsidP="00EE455B">
      <w:pPr>
        <w:spacing w:after="0" w:line="360" w:lineRule="auto"/>
        <w:rPr>
          <w:rFonts w:ascii="Arial" w:hAnsi="Arial" w:cs="Arial"/>
          <w:color w:val="000000" w:themeColor="text1"/>
        </w:rPr>
      </w:pPr>
      <w:r w:rsidRPr="00320A9B">
        <w:rPr>
          <w:rFonts w:ascii="Arial" w:hAnsi="Arial" w:cs="Arial"/>
          <w:color w:val="0D0D0D" w:themeColor="text1" w:themeTint="F2"/>
        </w:rPr>
        <w:t xml:space="preserve">The Code of Ethics for osteopathy profession allows the social contract layout the </w:t>
      </w:r>
      <w:r w:rsidRPr="00320A9B">
        <w:rPr>
          <w:rFonts w:ascii="Arial" w:hAnsi="Arial" w:cs="Arial"/>
          <w:color w:val="000000" w:themeColor="text1"/>
        </w:rPr>
        <w:t>responsibilities manual for patient, the public including the profession itself. Being that the social contract dictates responsibilities, it then maintains a high principle that is vital for the manual which osteopath’s professional service patients will benefit from (International Osteopathic Association, 2011).</w:t>
      </w:r>
    </w:p>
    <w:p w14:paraId="26C90700" w14:textId="77777777" w:rsidR="008B4487" w:rsidRPr="00320A9B" w:rsidRDefault="008B4487" w:rsidP="00EE455B">
      <w:pPr>
        <w:spacing w:after="0" w:line="360" w:lineRule="auto"/>
        <w:rPr>
          <w:rFonts w:ascii="Arial" w:hAnsi="Arial" w:cs="Arial"/>
          <w:color w:val="000000" w:themeColor="text1"/>
        </w:rPr>
      </w:pPr>
    </w:p>
    <w:p w14:paraId="091E5E8C" w14:textId="77777777" w:rsidR="008B4487" w:rsidRPr="00320A9B" w:rsidRDefault="008B4487" w:rsidP="00EE455B">
      <w:pPr>
        <w:spacing w:after="384" w:line="360" w:lineRule="auto"/>
        <w:jc w:val="both"/>
        <w:textAlignment w:val="baseline"/>
        <w:rPr>
          <w:rFonts w:ascii="Arial" w:hAnsi="Arial" w:cs="Arial"/>
          <w:color w:val="000000" w:themeColor="text1"/>
        </w:rPr>
      </w:pPr>
      <w:r w:rsidRPr="00320A9B">
        <w:rPr>
          <w:rFonts w:ascii="Arial" w:eastAsia="Times New Roman" w:hAnsi="Arial" w:cs="Arial"/>
          <w:color w:val="000000" w:themeColor="text1"/>
          <w:lang w:eastAsia="en-GB"/>
        </w:rPr>
        <w:t xml:space="preserve">The osteopaths code of practice sets out the professionalism expected of every practising osteopath. The code guidelines touch on hygiene, communication skills and discrimination acts and for all osteopaths to be registered with the General Osteopathic Council to practice </w:t>
      </w:r>
      <w:r w:rsidRPr="00320A9B">
        <w:rPr>
          <w:rFonts w:ascii="Arial" w:eastAsia="Times New Roman" w:hAnsi="Arial" w:cs="Arial"/>
          <w:color w:val="000000" w:themeColor="text1"/>
          <w:lang w:eastAsia="en-GB"/>
        </w:rPr>
        <w:lastRenderedPageBreak/>
        <w:t>in the UK. All osteopaths must adhere to this code of practice which means that you can always expect a certain level of professionalism and care from your osteopath (</w:t>
      </w:r>
      <w:proofErr w:type="spellStart"/>
      <w:r w:rsidRPr="00320A9B">
        <w:rPr>
          <w:rFonts w:ascii="Arial" w:eastAsia="Times New Roman" w:hAnsi="Arial" w:cs="Arial"/>
          <w:color w:val="000000" w:themeColor="text1"/>
          <w:lang w:eastAsia="en-GB"/>
        </w:rPr>
        <w:t>Uk</w:t>
      </w:r>
      <w:proofErr w:type="spellEnd"/>
      <w:r w:rsidRPr="00320A9B">
        <w:rPr>
          <w:rFonts w:ascii="Arial" w:eastAsia="Times New Roman" w:hAnsi="Arial" w:cs="Arial"/>
          <w:color w:val="000000" w:themeColor="text1"/>
          <w:lang w:eastAsia="en-GB"/>
        </w:rPr>
        <w:t xml:space="preserve"> Health Centre, n.d.). </w:t>
      </w:r>
    </w:p>
    <w:p w14:paraId="6D1DE8A3" w14:textId="77777777" w:rsidR="008B4487" w:rsidRPr="00320A9B" w:rsidRDefault="008B4487" w:rsidP="00EE455B">
      <w:pPr>
        <w:spacing w:after="384" w:line="360" w:lineRule="auto"/>
        <w:jc w:val="both"/>
        <w:textAlignment w:val="baseline"/>
        <w:rPr>
          <w:rFonts w:ascii="Arial" w:hAnsi="Arial" w:cs="Arial"/>
          <w:color w:val="000000" w:themeColor="text1"/>
        </w:rPr>
      </w:pPr>
      <w:r w:rsidRPr="00320A9B">
        <w:rPr>
          <w:rFonts w:ascii="Arial" w:hAnsi="Arial" w:cs="Arial"/>
          <w:color w:val="000000" w:themeColor="text1"/>
        </w:rPr>
        <w:t xml:space="preserve">Codes of conduct are set out to provide guidance for any who is a member of The General Osteopathic Council and are in line with the statutory functions which is accepted by the standards of public service presently (General Osteopathic Council, 2022). </w:t>
      </w:r>
    </w:p>
    <w:p w14:paraId="5EB7DAD7" w14:textId="77777777" w:rsidR="008B4487" w:rsidRPr="00320A9B" w:rsidRDefault="008B4487" w:rsidP="00EE455B">
      <w:pPr>
        <w:pStyle w:val="Heading1"/>
        <w:spacing w:line="360" w:lineRule="auto"/>
        <w:rPr>
          <w:rFonts w:ascii="Arial" w:hAnsi="Arial" w:cs="Arial"/>
        </w:rPr>
      </w:pPr>
      <w:bookmarkStart w:id="4" w:name="_Toc92657496"/>
      <w:r w:rsidRPr="00320A9B">
        <w:rPr>
          <w:rFonts w:ascii="Arial" w:hAnsi="Arial" w:cs="Arial"/>
        </w:rPr>
        <w:t>Recommendations</w:t>
      </w:r>
      <w:bookmarkEnd w:id="4"/>
    </w:p>
    <w:p w14:paraId="4E53581A" w14:textId="77777777" w:rsidR="008B4487" w:rsidRPr="00320A9B" w:rsidRDefault="008B4487" w:rsidP="00EE455B">
      <w:pPr>
        <w:spacing w:line="360" w:lineRule="auto"/>
        <w:rPr>
          <w:rFonts w:ascii="Arial" w:hAnsi="Arial" w:cs="Arial"/>
        </w:rPr>
      </w:pPr>
      <w:r w:rsidRPr="00320A9B">
        <w:rPr>
          <w:rFonts w:ascii="Arial" w:hAnsi="Arial" w:cs="Arial"/>
        </w:rPr>
        <w:t>To better understand the role of osteopathy in UK health service delivery, study recommendation states that the profession needs to do more research with patients to understand their needs and their expected outcomes of care, and for this to inform osteopathic practice and education (Plunkett, Fawkes, and Carnes, 2021).</w:t>
      </w:r>
    </w:p>
    <w:p w14:paraId="6E67A9CB" w14:textId="77777777" w:rsidR="008B4487" w:rsidRPr="00320A9B" w:rsidRDefault="008B4487" w:rsidP="00EE455B">
      <w:pPr>
        <w:spacing w:after="0" w:line="360" w:lineRule="auto"/>
        <w:rPr>
          <w:rFonts w:ascii="Arial" w:hAnsi="Arial" w:cs="Arial"/>
        </w:rPr>
      </w:pPr>
      <w:r w:rsidRPr="00320A9B">
        <w:rPr>
          <w:rFonts w:ascii="Arial" w:hAnsi="Arial" w:cs="Arial"/>
          <w:color w:val="000000" w:themeColor="text1"/>
          <w:shd w:val="clear" w:color="auto" w:fill="FFFFFF"/>
        </w:rPr>
        <w:t>This study recommends that research conducted in future should consider further the best way complementary and alternative services for musculoskeletal pain can be provided by the NHS and the extent to which these services should be integrated. However, </w:t>
      </w:r>
      <w:r w:rsidRPr="00320A9B">
        <w:rPr>
          <w:rFonts w:ascii="Arial" w:hAnsi="Arial" w:cs="Arial"/>
          <w:i/>
          <w:iCs/>
          <w:color w:val="000000" w:themeColor="text1"/>
          <w:shd w:val="clear" w:color="auto" w:fill="FFFFFF"/>
        </w:rPr>
        <w:t>integration</w:t>
      </w:r>
      <w:r w:rsidRPr="00320A9B">
        <w:rPr>
          <w:rFonts w:ascii="Arial" w:hAnsi="Arial" w:cs="Arial"/>
          <w:color w:val="000000" w:themeColor="text1"/>
          <w:shd w:val="clear" w:color="auto" w:fill="FFFFFF"/>
        </w:rPr>
        <w:t> is not about merely providing CAM on the NHS; full integration of CAM services would involve conventional and CAM practitioners having a better understanding and appreciation of each other’s practices and working closely together for the benefit of the patient (Cheshire et al., 2011).</w:t>
      </w:r>
    </w:p>
    <w:p w14:paraId="19E9D479" w14:textId="77777777" w:rsidR="008B4487" w:rsidRPr="00320A9B" w:rsidRDefault="008B4487" w:rsidP="00EE455B">
      <w:pPr>
        <w:pStyle w:val="Heading1"/>
        <w:spacing w:line="360" w:lineRule="auto"/>
        <w:rPr>
          <w:rFonts w:ascii="Arial" w:hAnsi="Arial" w:cs="Arial"/>
        </w:rPr>
      </w:pPr>
      <w:bookmarkStart w:id="5" w:name="_Toc92657497"/>
      <w:r w:rsidRPr="00320A9B">
        <w:rPr>
          <w:rFonts w:ascii="Arial" w:hAnsi="Arial" w:cs="Arial"/>
        </w:rPr>
        <w:t>Conclusion</w:t>
      </w:r>
      <w:bookmarkEnd w:id="5"/>
    </w:p>
    <w:p w14:paraId="25587759" w14:textId="7731210B" w:rsidR="00867099" w:rsidRPr="00320A9B" w:rsidRDefault="008B4487" w:rsidP="004A3DC7">
      <w:pPr>
        <w:spacing w:line="360" w:lineRule="auto"/>
        <w:rPr>
          <w:rFonts w:ascii="Arial" w:hAnsi="Arial" w:cs="Arial"/>
          <w:color w:val="000000" w:themeColor="text1"/>
          <w:shd w:val="clear" w:color="auto" w:fill="FFFFFF"/>
        </w:rPr>
      </w:pPr>
      <w:r w:rsidRPr="00320A9B">
        <w:rPr>
          <w:rFonts w:ascii="Arial" w:hAnsi="Arial" w:cs="Arial"/>
          <w:color w:val="000000" w:themeColor="text1"/>
          <w:shd w:val="clear" w:color="auto" w:fill="FFFFFF"/>
        </w:rPr>
        <w:t>There are a lot of research online that has studied different illness or pain osteopathy can be used for and if it is effective or not but there is still no evidence that specifically indicate that osteopathy is a better therapy to go for when in pain rather than that it is suggested that it can help reduce pain but not cure it as that will mean the pain will never occur. Osteopathy is better to use in maintaining pains and postures it more like a faster route for recovery which could help all other areas of the body increase good health. There is still more research that should be conducted about the effectiveness just to ensure that patient can try different methods of therapies that will work their body rather than going through different therapy methods, it will be good if they are suggested to go for one type that will surely do the job.</w:t>
      </w:r>
    </w:p>
    <w:p w14:paraId="32CD9E7B" w14:textId="77777777" w:rsidR="00320A9B" w:rsidRPr="00692391" w:rsidRDefault="00320A9B" w:rsidP="004A3DC7">
      <w:pPr>
        <w:spacing w:line="360" w:lineRule="auto"/>
        <w:rPr>
          <w:rFonts w:ascii="Arial" w:hAnsi="Arial" w:cs="Arial"/>
          <w:color w:val="000000" w:themeColor="text1"/>
        </w:rPr>
      </w:pPr>
    </w:p>
    <w:p w14:paraId="364FF6CE" w14:textId="246CA5BC" w:rsidR="00E32EFC" w:rsidRPr="00E32EFC" w:rsidRDefault="00E32EFC" w:rsidP="00E32EFC">
      <w:pPr>
        <w:pStyle w:val="Heading1"/>
        <w:spacing w:line="360" w:lineRule="auto"/>
        <w:rPr>
          <w:rFonts w:ascii="Arial" w:eastAsia="Open Sans" w:hAnsi="Arial" w:cs="Arial"/>
        </w:rPr>
      </w:pPr>
      <w:bookmarkStart w:id="6" w:name="_Toc92657498"/>
      <w:r w:rsidRPr="00E32EFC">
        <w:rPr>
          <w:rFonts w:ascii="Arial" w:eastAsia="Open Sans" w:hAnsi="Arial" w:cs="Arial"/>
        </w:rPr>
        <w:lastRenderedPageBreak/>
        <w:t>References</w:t>
      </w:r>
      <w:bookmarkEnd w:id="6"/>
      <w:r w:rsidRPr="00E32EFC">
        <w:rPr>
          <w:rFonts w:ascii="Arial" w:eastAsia="Open Sans" w:hAnsi="Arial" w:cs="Arial"/>
        </w:rPr>
        <w:t xml:space="preserve"> </w:t>
      </w:r>
    </w:p>
    <w:p w14:paraId="30F05C95" w14:textId="10E1FD72" w:rsidR="6C035CC9" w:rsidRPr="00EE4BC3" w:rsidRDefault="6C035CC9" w:rsidP="00E32EFC">
      <w:pPr>
        <w:spacing w:line="360" w:lineRule="auto"/>
        <w:rPr>
          <w:rFonts w:ascii="Arial" w:eastAsia="Arial" w:hAnsi="Arial" w:cs="Arial"/>
        </w:rPr>
      </w:pPr>
      <w:proofErr w:type="spellStart"/>
      <w:r w:rsidRPr="00EE4BC3">
        <w:rPr>
          <w:rFonts w:ascii="Arial" w:eastAsia="Open Sans" w:hAnsi="Arial" w:cs="Arial"/>
          <w:color w:val="000000" w:themeColor="text1"/>
        </w:rPr>
        <w:t>BetterHealthChannel</w:t>
      </w:r>
      <w:proofErr w:type="spellEnd"/>
      <w:r w:rsidRPr="00EE4BC3">
        <w:rPr>
          <w:rFonts w:ascii="Arial" w:eastAsia="Open Sans" w:hAnsi="Arial" w:cs="Arial"/>
          <w:color w:val="000000" w:themeColor="text1"/>
        </w:rPr>
        <w:t xml:space="preserve">, 2021. </w:t>
      </w:r>
      <w:r w:rsidRPr="00EE4BC3">
        <w:rPr>
          <w:rFonts w:ascii="Arial" w:eastAsia="Open Sans" w:hAnsi="Arial" w:cs="Arial"/>
          <w:i/>
          <w:iCs/>
          <w:color w:val="000000" w:themeColor="text1"/>
        </w:rPr>
        <w:t>Complementary therapies - Better Health Channel</w:t>
      </w:r>
      <w:r w:rsidRPr="00EE4BC3">
        <w:rPr>
          <w:rFonts w:ascii="Arial" w:eastAsia="Open Sans" w:hAnsi="Arial" w:cs="Arial"/>
          <w:color w:val="000000" w:themeColor="text1"/>
        </w:rPr>
        <w:t xml:space="preserve">. [online] Betterhealth.vic.gov.au. Available at: </w:t>
      </w:r>
      <w:hyperlink r:id="rId9" w:history="1">
        <w:r w:rsidR="00B439F5" w:rsidRPr="00727F78">
          <w:rPr>
            <w:rStyle w:val="Hyperlink"/>
            <w:rFonts w:ascii="Arial" w:eastAsia="Open Sans" w:hAnsi="Arial" w:cs="Arial"/>
          </w:rPr>
          <w:t>https://www.betterhealth.vic.gov.au/health/conditionsandtreatments/complementary-therapies</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28 December 2021].</w:t>
      </w:r>
    </w:p>
    <w:p w14:paraId="7E71C83B" w14:textId="77777777" w:rsidR="00EE4BC3" w:rsidRPr="00EE4BC3" w:rsidRDefault="00EE4BC3" w:rsidP="00E32EFC">
      <w:pPr>
        <w:spacing w:line="360" w:lineRule="auto"/>
        <w:rPr>
          <w:rFonts w:ascii="Arial" w:eastAsia="Open Sans" w:hAnsi="Arial" w:cs="Arial"/>
          <w:color w:val="000000" w:themeColor="text1"/>
        </w:rPr>
      </w:pPr>
      <w:proofErr w:type="spellStart"/>
      <w:r w:rsidRPr="00EE4BC3">
        <w:rPr>
          <w:rFonts w:ascii="Arial" w:eastAsia="Times New Roman" w:hAnsi="Arial" w:cs="Arial"/>
        </w:rPr>
        <w:t>Bronfort</w:t>
      </w:r>
      <w:proofErr w:type="spellEnd"/>
      <w:r w:rsidRPr="00EE4BC3">
        <w:rPr>
          <w:rFonts w:ascii="Arial" w:eastAsia="Times New Roman" w:hAnsi="Arial" w:cs="Arial"/>
        </w:rPr>
        <w:t xml:space="preserve">, G., Haas, M., Evans, R., Leininger, B. and </w:t>
      </w:r>
      <w:proofErr w:type="spellStart"/>
      <w:r w:rsidRPr="00EE4BC3">
        <w:rPr>
          <w:rFonts w:ascii="Arial" w:eastAsia="Times New Roman" w:hAnsi="Arial" w:cs="Arial"/>
        </w:rPr>
        <w:t>Triano</w:t>
      </w:r>
      <w:proofErr w:type="spellEnd"/>
      <w:r w:rsidRPr="00EE4BC3">
        <w:rPr>
          <w:rFonts w:ascii="Arial" w:eastAsia="Times New Roman" w:hAnsi="Arial" w:cs="Arial"/>
        </w:rPr>
        <w:t xml:space="preserve">, J. (2010). Effectiveness of manual therapies: the UK evidence report. </w:t>
      </w:r>
      <w:r w:rsidRPr="00EE4BC3">
        <w:rPr>
          <w:rFonts w:ascii="Arial" w:eastAsia="Times New Roman" w:hAnsi="Arial" w:cs="Arial"/>
          <w:i/>
          <w:iCs/>
        </w:rPr>
        <w:t>Chiropractic &amp; Osteopathy</w:t>
      </w:r>
      <w:r w:rsidRPr="00EE4BC3">
        <w:rPr>
          <w:rFonts w:ascii="Arial" w:eastAsia="Times New Roman" w:hAnsi="Arial" w:cs="Arial"/>
        </w:rPr>
        <w:t xml:space="preserve">, [Journal] 18(1). Available at: </w:t>
      </w:r>
      <w:hyperlink r:id="rId10">
        <w:r w:rsidRPr="00EE4BC3">
          <w:rPr>
            <w:rStyle w:val="Hyperlink"/>
            <w:rFonts w:ascii="Arial" w:eastAsia="Times New Roman" w:hAnsi="Arial" w:cs="Arial"/>
          </w:rPr>
          <w:t>https://www.ncbi.nlm.nih.gov/pmc/articles/PMC2841070/</w:t>
        </w:r>
      </w:hyperlink>
      <w:r w:rsidRPr="00EE4BC3">
        <w:rPr>
          <w:rFonts w:ascii="Arial" w:eastAsia="Times New Roman" w:hAnsi="Arial" w:cs="Arial"/>
        </w:rPr>
        <w:t xml:space="preserve"> [Accessed 3 Jan. 2022].</w:t>
      </w:r>
      <w:r w:rsidRPr="00EE4BC3">
        <w:rPr>
          <w:rFonts w:ascii="Arial" w:eastAsia="Open Sans" w:hAnsi="Arial" w:cs="Arial"/>
          <w:color w:val="000000" w:themeColor="text1"/>
        </w:rPr>
        <w:t xml:space="preserve"> </w:t>
      </w:r>
    </w:p>
    <w:p w14:paraId="72E7CE19" w14:textId="5E23CE28" w:rsidR="275CBECC" w:rsidRPr="00DE6F68" w:rsidRDefault="275CBECC" w:rsidP="004A3DC7">
      <w:pPr>
        <w:spacing w:line="360" w:lineRule="auto"/>
        <w:rPr>
          <w:rFonts w:ascii="Arial" w:eastAsia="Open Sans" w:hAnsi="Arial" w:cs="Arial"/>
          <w:color w:val="000000" w:themeColor="text1"/>
        </w:rPr>
      </w:pPr>
      <w:r w:rsidRPr="00EE4BC3">
        <w:rPr>
          <w:rFonts w:ascii="Arial" w:eastAsia="Open Sans" w:hAnsi="Arial" w:cs="Arial"/>
          <w:color w:val="000000" w:themeColor="text1"/>
        </w:rPr>
        <w:t xml:space="preserve">Cancerresearchuk.org. 2019. </w:t>
      </w:r>
      <w:r w:rsidRPr="00EE4BC3">
        <w:rPr>
          <w:rFonts w:ascii="Arial" w:eastAsia="Open Sans" w:hAnsi="Arial" w:cs="Arial"/>
          <w:i/>
          <w:iCs/>
          <w:color w:val="000000" w:themeColor="text1"/>
        </w:rPr>
        <w:t>Osteopathy | Complementary and Alternative therapies | Cancer Research UK</w:t>
      </w:r>
      <w:r w:rsidRPr="00EE4BC3">
        <w:rPr>
          <w:rFonts w:ascii="Arial" w:eastAsia="Open Sans" w:hAnsi="Arial" w:cs="Arial"/>
          <w:color w:val="000000" w:themeColor="text1"/>
        </w:rPr>
        <w:t xml:space="preserve">. [online] Available at: </w:t>
      </w:r>
      <w:hyperlink r:id="rId11" w:history="1">
        <w:r w:rsidR="00DE6F68" w:rsidRPr="0041203E">
          <w:rPr>
            <w:rStyle w:val="Hyperlink"/>
            <w:rFonts w:ascii="Arial" w:eastAsia="Open Sans" w:hAnsi="Arial" w:cs="Arial"/>
          </w:rPr>
          <w:t>https://www.cancerresearchuk.org/about-cancer/cancer-in-general/treatment/complementary-alternative-therapies/individual-therapies/osteopathy</w:t>
        </w:r>
      </w:hyperlink>
      <w:r w:rsidRPr="00EE4BC3">
        <w:rPr>
          <w:rFonts w:ascii="Arial" w:eastAsia="Open Sans" w:hAnsi="Arial" w:cs="Arial"/>
          <w:color w:val="000000" w:themeColor="text1"/>
        </w:rPr>
        <w:t xml:space="preserve"> [Accessed 2 January 2022].</w:t>
      </w:r>
    </w:p>
    <w:p w14:paraId="1821EE52" w14:textId="537B2DE9" w:rsidR="00EE4BC3" w:rsidRPr="00EE4BC3" w:rsidRDefault="00EE4BC3" w:rsidP="00EE4BC3">
      <w:pPr>
        <w:spacing w:after="240" w:line="360" w:lineRule="auto"/>
        <w:rPr>
          <w:rFonts w:ascii="Arial" w:eastAsia="Times New Roman" w:hAnsi="Arial" w:cs="Arial"/>
          <w:sz w:val="24"/>
          <w:szCs w:val="24"/>
          <w:lang w:eastAsia="en-GB"/>
        </w:rPr>
      </w:pPr>
      <w:r w:rsidRPr="00EE4BC3">
        <w:rPr>
          <w:rFonts w:ascii="Arial" w:eastAsia="Times New Roman" w:hAnsi="Arial" w:cs="Arial"/>
          <w:sz w:val="24"/>
          <w:szCs w:val="24"/>
          <w:lang w:eastAsia="en-GB"/>
        </w:rPr>
        <w:t xml:space="preserve">Cheshire, A., </w:t>
      </w:r>
      <w:proofErr w:type="spellStart"/>
      <w:r w:rsidRPr="00EE4BC3">
        <w:rPr>
          <w:rFonts w:ascii="Arial" w:eastAsia="Times New Roman" w:hAnsi="Arial" w:cs="Arial"/>
          <w:sz w:val="24"/>
          <w:szCs w:val="24"/>
          <w:lang w:eastAsia="en-GB"/>
        </w:rPr>
        <w:t>Polley</w:t>
      </w:r>
      <w:proofErr w:type="spellEnd"/>
      <w:r w:rsidRPr="00EE4BC3">
        <w:rPr>
          <w:rFonts w:ascii="Arial" w:eastAsia="Times New Roman" w:hAnsi="Arial" w:cs="Arial"/>
          <w:sz w:val="24"/>
          <w:szCs w:val="24"/>
          <w:lang w:eastAsia="en-GB"/>
        </w:rPr>
        <w:t xml:space="preserve">, M., Peters, D. and Ridge, D. (2011). Is It Feasible and Effective to Provide Osteopathy and Acupuncture for Patients with Musculoskeletal Problems in a GP setting? a Service Evaluation. </w:t>
      </w:r>
      <w:r w:rsidRPr="00EE4BC3">
        <w:rPr>
          <w:rFonts w:ascii="Arial" w:eastAsia="Times New Roman" w:hAnsi="Arial" w:cs="Arial"/>
          <w:i/>
          <w:iCs/>
          <w:sz w:val="24"/>
          <w:szCs w:val="24"/>
          <w:lang w:eastAsia="en-GB"/>
        </w:rPr>
        <w:t>BMC Family Practice</w:t>
      </w:r>
      <w:r w:rsidRPr="00EE4BC3">
        <w:rPr>
          <w:rFonts w:ascii="Arial" w:eastAsia="Times New Roman" w:hAnsi="Arial" w:cs="Arial"/>
          <w:sz w:val="24"/>
          <w:szCs w:val="24"/>
          <w:lang w:eastAsia="en-GB"/>
        </w:rPr>
        <w:t>, 12(1).</w:t>
      </w:r>
    </w:p>
    <w:p w14:paraId="42FC8737" w14:textId="0EFD52FE" w:rsidR="57A28168" w:rsidRPr="00EE4BC3" w:rsidRDefault="006A38BE" w:rsidP="004A3DC7">
      <w:pPr>
        <w:spacing w:line="360" w:lineRule="auto"/>
        <w:rPr>
          <w:rFonts w:ascii="Arial" w:eastAsia="Open Sans" w:hAnsi="Arial" w:cs="Arial"/>
          <w:color w:val="000000" w:themeColor="text1"/>
        </w:rPr>
      </w:pPr>
      <w:proofErr w:type="spellStart"/>
      <w:r w:rsidRPr="00EE4BC3">
        <w:rPr>
          <w:rFonts w:ascii="Arial" w:eastAsia="Open Sans" w:hAnsi="Arial" w:cs="Arial"/>
          <w:color w:val="000000" w:themeColor="text1"/>
        </w:rPr>
        <w:t>Felman</w:t>
      </w:r>
      <w:proofErr w:type="spellEnd"/>
      <w:r w:rsidRPr="00EE4BC3">
        <w:rPr>
          <w:rFonts w:ascii="Arial" w:eastAsia="Open Sans" w:hAnsi="Arial" w:cs="Arial"/>
          <w:color w:val="000000" w:themeColor="text1"/>
        </w:rPr>
        <w:t xml:space="preserve">, A., 2017. [online] Available at: </w:t>
      </w:r>
      <w:hyperlink r:id="rId12" w:history="1">
        <w:r w:rsidR="00DE6F68" w:rsidRPr="0041203E">
          <w:rPr>
            <w:rStyle w:val="Hyperlink"/>
            <w:rFonts w:ascii="Arial" w:eastAsia="Open Sans" w:hAnsi="Arial" w:cs="Arial"/>
          </w:rPr>
          <w:t>https://www.medicalnewstoday.com/articles/70381</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1 January 2022].</w:t>
      </w:r>
    </w:p>
    <w:p w14:paraId="2C2D4126" w14:textId="29194D47" w:rsidR="00D17521" w:rsidRDefault="00D17521" w:rsidP="004A3DC7">
      <w:pPr>
        <w:pStyle w:val="NormalWeb"/>
        <w:spacing w:before="0" w:beforeAutospacing="0" w:after="240" w:afterAutospacing="0" w:line="360" w:lineRule="auto"/>
        <w:rPr>
          <w:rFonts w:ascii="Arial" w:hAnsi="Arial" w:cs="Arial"/>
          <w:sz w:val="22"/>
          <w:szCs w:val="22"/>
        </w:rPr>
      </w:pPr>
      <w:proofErr w:type="spellStart"/>
      <w:r w:rsidRPr="00EE4BC3">
        <w:rPr>
          <w:rFonts w:ascii="Arial" w:hAnsi="Arial" w:cs="Arial"/>
          <w:sz w:val="22"/>
          <w:szCs w:val="22"/>
        </w:rPr>
        <w:t>Gatterbauer</w:t>
      </w:r>
      <w:proofErr w:type="spellEnd"/>
      <w:r w:rsidRPr="00EE4BC3">
        <w:rPr>
          <w:rFonts w:ascii="Arial" w:hAnsi="Arial" w:cs="Arial"/>
          <w:sz w:val="22"/>
          <w:szCs w:val="22"/>
        </w:rPr>
        <w:t xml:space="preserve">, A. (2009). </w:t>
      </w:r>
      <w:r w:rsidRPr="00EE4BC3">
        <w:rPr>
          <w:rFonts w:ascii="Arial" w:hAnsi="Arial" w:cs="Arial"/>
          <w:i/>
          <w:iCs/>
          <w:sz w:val="22"/>
          <w:szCs w:val="22"/>
        </w:rPr>
        <w:t>Contraindications in Osteopathy</w:t>
      </w:r>
      <w:r w:rsidRPr="00EE4BC3">
        <w:rPr>
          <w:rFonts w:ascii="Arial" w:hAnsi="Arial" w:cs="Arial"/>
          <w:sz w:val="22"/>
          <w:szCs w:val="22"/>
        </w:rPr>
        <w:t xml:space="preserve">. [online] pp.1–106. Available at: </w:t>
      </w:r>
      <w:hyperlink r:id="rId13" w:history="1">
        <w:r w:rsidR="00DE6F68" w:rsidRPr="0041203E">
          <w:rPr>
            <w:rStyle w:val="Hyperlink"/>
            <w:rFonts w:ascii="Arial" w:hAnsi="Arial" w:cs="Arial"/>
            <w:sz w:val="22"/>
            <w:szCs w:val="22"/>
          </w:rPr>
          <w:t>https://www.osteopathicresearch.com/files/original/d697c35aa0d31043db7bb635bb6684d6a15d286d.pdf</w:t>
        </w:r>
      </w:hyperlink>
      <w:r w:rsidR="00DE6F68">
        <w:rPr>
          <w:rFonts w:ascii="Arial" w:hAnsi="Arial" w:cs="Arial"/>
          <w:sz w:val="22"/>
          <w:szCs w:val="22"/>
        </w:rPr>
        <w:t xml:space="preserve"> </w:t>
      </w:r>
      <w:r w:rsidRPr="00EE4BC3">
        <w:rPr>
          <w:rFonts w:ascii="Arial" w:hAnsi="Arial" w:cs="Arial"/>
          <w:sz w:val="22"/>
          <w:szCs w:val="22"/>
        </w:rPr>
        <w:t>[Accessed 5 Jan. 2022].</w:t>
      </w:r>
    </w:p>
    <w:p w14:paraId="4AB65E48" w14:textId="609594C8" w:rsidR="00930AEA" w:rsidRPr="00930AEA" w:rsidRDefault="00930AEA" w:rsidP="00930AEA">
      <w:pPr>
        <w:spacing w:after="240" w:line="360" w:lineRule="auto"/>
        <w:rPr>
          <w:rFonts w:ascii="Times New Roman" w:eastAsia="Times New Roman" w:hAnsi="Times New Roman" w:cs="Times New Roman"/>
          <w:sz w:val="24"/>
          <w:szCs w:val="24"/>
          <w:lang w:eastAsia="en-GB"/>
        </w:rPr>
      </w:pPr>
      <w:r w:rsidRPr="00930AEA">
        <w:rPr>
          <w:rFonts w:ascii="Times New Roman" w:eastAsia="Times New Roman" w:hAnsi="Times New Roman" w:cs="Times New Roman"/>
          <w:sz w:val="24"/>
          <w:szCs w:val="24"/>
          <w:lang w:eastAsia="en-GB"/>
        </w:rPr>
        <w:t xml:space="preserve">Grove, H. (2014). </w:t>
      </w:r>
      <w:r w:rsidRPr="00930AEA">
        <w:rPr>
          <w:rFonts w:ascii="Times New Roman" w:eastAsia="Times New Roman" w:hAnsi="Times New Roman" w:cs="Times New Roman"/>
          <w:i/>
          <w:iCs/>
          <w:sz w:val="24"/>
          <w:szCs w:val="24"/>
          <w:lang w:eastAsia="en-GB"/>
        </w:rPr>
        <w:t>About Osteopathy</w:t>
      </w:r>
      <w:r w:rsidRPr="00930AEA">
        <w:rPr>
          <w:rFonts w:ascii="Times New Roman" w:eastAsia="Times New Roman" w:hAnsi="Times New Roman" w:cs="Times New Roman"/>
          <w:sz w:val="24"/>
          <w:szCs w:val="24"/>
          <w:lang w:eastAsia="en-GB"/>
        </w:rPr>
        <w:t xml:space="preserve">. [online] Hazel Grove Clinic. Available at: </w:t>
      </w:r>
      <w:hyperlink r:id="rId14" w:history="1">
        <w:r w:rsidRPr="00930AEA">
          <w:rPr>
            <w:rStyle w:val="Hyperlink"/>
            <w:rFonts w:ascii="Times New Roman" w:eastAsia="Times New Roman" w:hAnsi="Times New Roman" w:cs="Times New Roman"/>
            <w:sz w:val="24"/>
            <w:szCs w:val="24"/>
            <w:lang w:eastAsia="en-GB"/>
          </w:rPr>
          <w:t>https://www.stockportosteopaths.co.uk/about-osteopathy/</w:t>
        </w:r>
      </w:hyperlink>
      <w:r>
        <w:rPr>
          <w:rFonts w:ascii="Times New Roman" w:eastAsia="Times New Roman" w:hAnsi="Times New Roman" w:cs="Times New Roman"/>
          <w:sz w:val="24"/>
          <w:szCs w:val="24"/>
          <w:lang w:eastAsia="en-GB"/>
        </w:rPr>
        <w:t xml:space="preserve"> </w:t>
      </w:r>
      <w:r w:rsidRPr="00930AEA">
        <w:rPr>
          <w:rFonts w:ascii="Times New Roman" w:eastAsia="Times New Roman" w:hAnsi="Times New Roman" w:cs="Times New Roman"/>
          <w:sz w:val="24"/>
          <w:szCs w:val="24"/>
          <w:lang w:eastAsia="en-GB"/>
        </w:rPr>
        <w:t xml:space="preserve"> [Accessed 8 Jan. 2022].</w:t>
      </w:r>
    </w:p>
    <w:p w14:paraId="16D871AF" w14:textId="4B9EE08D" w:rsidR="00930AEA" w:rsidRPr="00EE4BC3" w:rsidRDefault="342EBC1F" w:rsidP="004A3DC7">
      <w:pPr>
        <w:spacing w:line="360" w:lineRule="auto"/>
        <w:rPr>
          <w:rFonts w:ascii="Arial" w:eastAsia="Open Sans" w:hAnsi="Arial" w:cs="Arial"/>
          <w:color w:val="000000" w:themeColor="text1"/>
        </w:rPr>
      </w:pPr>
      <w:r w:rsidRPr="00EE4BC3">
        <w:rPr>
          <w:rFonts w:ascii="Arial" w:eastAsia="Open Sans" w:hAnsi="Arial" w:cs="Arial"/>
          <w:color w:val="000000" w:themeColor="text1"/>
        </w:rPr>
        <w:t xml:space="preserve">Healthcentre.org.uk. 2022. </w:t>
      </w:r>
      <w:r w:rsidRPr="00EE4BC3">
        <w:rPr>
          <w:rFonts w:ascii="Arial" w:eastAsia="Open Sans" w:hAnsi="Arial" w:cs="Arial"/>
          <w:i/>
          <w:iCs/>
          <w:color w:val="000000" w:themeColor="text1"/>
        </w:rPr>
        <w:t>How Effective is Osteopathic Treatment Effectiveness</w:t>
      </w:r>
      <w:r w:rsidRPr="00EE4BC3">
        <w:rPr>
          <w:rFonts w:ascii="Arial" w:eastAsia="Open Sans" w:hAnsi="Arial" w:cs="Arial"/>
          <w:color w:val="000000" w:themeColor="text1"/>
        </w:rPr>
        <w:t xml:space="preserve">. [online] Available at: </w:t>
      </w:r>
      <w:hyperlink r:id="rId15" w:history="1">
        <w:r w:rsidR="00DE6F68" w:rsidRPr="0041203E">
          <w:rPr>
            <w:rStyle w:val="Hyperlink"/>
            <w:rFonts w:ascii="Arial" w:eastAsia="Open Sans" w:hAnsi="Arial" w:cs="Arial"/>
          </w:rPr>
          <w:t>https://www.healthcentre.org.uk/osteopaths/osteopath-how-effective.html</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4 January 2022].</w:t>
      </w:r>
    </w:p>
    <w:p w14:paraId="298B8F72" w14:textId="09A1534C" w:rsidR="00B66A37" w:rsidRPr="00EE4BC3" w:rsidRDefault="00B66A37" w:rsidP="004A3DC7">
      <w:pPr>
        <w:pStyle w:val="NormalWeb"/>
        <w:spacing w:before="0" w:beforeAutospacing="0" w:after="240" w:afterAutospacing="0" w:line="360" w:lineRule="auto"/>
        <w:rPr>
          <w:rFonts w:ascii="Arial" w:hAnsi="Arial" w:cs="Arial"/>
          <w:sz w:val="22"/>
          <w:szCs w:val="22"/>
        </w:rPr>
      </w:pPr>
      <w:r w:rsidRPr="00EE4BC3">
        <w:rPr>
          <w:rFonts w:ascii="Arial" w:hAnsi="Arial" w:cs="Arial"/>
          <w:sz w:val="22"/>
          <w:szCs w:val="22"/>
        </w:rPr>
        <w:t xml:space="preserve">Hu, J. (2015). </w:t>
      </w:r>
      <w:r w:rsidRPr="00EE4BC3">
        <w:rPr>
          <w:rFonts w:ascii="Arial" w:hAnsi="Arial" w:cs="Arial"/>
          <w:i/>
          <w:iCs/>
          <w:sz w:val="22"/>
          <w:szCs w:val="22"/>
        </w:rPr>
        <w:t>Potential Risks and Side Effects of Osteopathic Manual Therapy Potential Risks and Side Effects of Osteopathic Manual Therapy |</w:t>
      </w:r>
      <w:r w:rsidRPr="00EE4BC3">
        <w:rPr>
          <w:rFonts w:ascii="Arial" w:hAnsi="Arial" w:cs="Arial"/>
          <w:sz w:val="22"/>
          <w:szCs w:val="22"/>
        </w:rPr>
        <w:t xml:space="preserve">. [online] pp.1–10. Available at: </w:t>
      </w:r>
      <w:hyperlink r:id="rId16" w:history="1">
        <w:r w:rsidR="00DE6F68" w:rsidRPr="0041203E">
          <w:rPr>
            <w:rStyle w:val="Hyperlink"/>
            <w:rFonts w:ascii="Arial" w:hAnsi="Arial" w:cs="Arial"/>
            <w:sz w:val="22"/>
            <w:szCs w:val="22"/>
          </w:rPr>
          <w:t>https://nationalacademyofosteopathy.com/wp-content/uploads/2019/12/Potential-Risks-and-Side-Effects-of-Osteopathic-Manual-Therapy.pdf</w:t>
        </w:r>
      </w:hyperlink>
      <w:r w:rsidR="00DE6F68">
        <w:rPr>
          <w:rFonts w:ascii="Arial" w:hAnsi="Arial" w:cs="Arial"/>
          <w:sz w:val="22"/>
          <w:szCs w:val="22"/>
        </w:rPr>
        <w:t xml:space="preserve">  </w:t>
      </w:r>
      <w:r w:rsidRPr="00EE4BC3">
        <w:rPr>
          <w:rFonts w:ascii="Arial" w:hAnsi="Arial" w:cs="Arial"/>
          <w:sz w:val="22"/>
          <w:szCs w:val="22"/>
        </w:rPr>
        <w:t>[Accessed 4 Jan. 2022].</w:t>
      </w:r>
    </w:p>
    <w:p w14:paraId="13C33E00" w14:textId="6FAD7CEF" w:rsidR="3CB4D41E" w:rsidRPr="00EE4BC3" w:rsidRDefault="3CB4D41E" w:rsidP="004A3DC7">
      <w:pPr>
        <w:spacing w:line="360" w:lineRule="auto"/>
        <w:rPr>
          <w:rFonts w:ascii="Arial" w:eastAsia="Open Sans" w:hAnsi="Arial" w:cs="Arial"/>
          <w:color w:val="000000" w:themeColor="text1"/>
        </w:rPr>
      </w:pPr>
      <w:proofErr w:type="spellStart"/>
      <w:r w:rsidRPr="00EE4BC3">
        <w:rPr>
          <w:rFonts w:ascii="Arial" w:eastAsia="Open Sans" w:hAnsi="Arial" w:cs="Arial"/>
          <w:color w:val="000000" w:themeColor="text1"/>
        </w:rPr>
        <w:lastRenderedPageBreak/>
        <w:t>iOsteopathy</w:t>
      </w:r>
      <w:proofErr w:type="spellEnd"/>
      <w:r w:rsidRPr="00EE4BC3">
        <w:rPr>
          <w:rFonts w:ascii="Arial" w:eastAsia="Open Sans" w:hAnsi="Arial" w:cs="Arial"/>
          <w:color w:val="000000" w:themeColor="text1"/>
        </w:rPr>
        <w:t xml:space="preserve">, 2018. </w:t>
      </w:r>
      <w:r w:rsidRPr="00EE4BC3">
        <w:rPr>
          <w:rFonts w:ascii="Arial" w:eastAsia="Open Sans" w:hAnsi="Arial" w:cs="Arial"/>
          <w:i/>
          <w:iCs/>
          <w:color w:val="000000" w:themeColor="text1"/>
        </w:rPr>
        <w:t>History of Osteopathy | Institute of Osteopathy</w:t>
      </w:r>
      <w:r w:rsidRPr="00EE4BC3">
        <w:rPr>
          <w:rFonts w:ascii="Arial" w:eastAsia="Open Sans" w:hAnsi="Arial" w:cs="Arial"/>
          <w:color w:val="000000" w:themeColor="text1"/>
        </w:rPr>
        <w:t xml:space="preserve">. [online] Iosteopathy.org. Available at: </w:t>
      </w:r>
      <w:hyperlink r:id="rId17" w:history="1">
        <w:r w:rsidR="00DE6F68" w:rsidRPr="0041203E">
          <w:rPr>
            <w:rStyle w:val="Hyperlink"/>
            <w:rFonts w:ascii="Arial" w:eastAsia="Open Sans" w:hAnsi="Arial" w:cs="Arial"/>
          </w:rPr>
          <w:t>https://www.iosteopathy.org/the-io/history-of-osteopathy/</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 xml:space="preserve"> [Accessed 31 December 2021].</w:t>
      </w:r>
    </w:p>
    <w:p w14:paraId="3D017D81" w14:textId="55CA1A0E" w:rsidR="00BF256B" w:rsidRDefault="00BF256B"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International Osteopathic Association (2011). </w:t>
      </w:r>
      <w:r w:rsidRPr="00EE4BC3">
        <w:rPr>
          <w:rFonts w:ascii="Arial" w:eastAsia="Times New Roman" w:hAnsi="Arial" w:cs="Arial"/>
          <w:i/>
          <w:iCs/>
          <w:lang w:eastAsia="en-GB"/>
        </w:rPr>
        <w:t>Code of Ethics - INTERNATIONAL OSTEOPATHIC ASSOCIATION</w:t>
      </w:r>
      <w:r w:rsidRPr="00EE4BC3">
        <w:rPr>
          <w:rFonts w:ascii="Arial" w:eastAsia="Times New Roman" w:hAnsi="Arial" w:cs="Arial"/>
          <w:lang w:eastAsia="en-GB"/>
        </w:rPr>
        <w:t xml:space="preserve">. [online] www.internationalosteopathicassociation.org. Available at: </w:t>
      </w:r>
      <w:hyperlink r:id="rId18" w:history="1">
        <w:r w:rsidR="00DE6F68" w:rsidRPr="0041203E">
          <w:rPr>
            <w:rStyle w:val="Hyperlink"/>
            <w:rFonts w:ascii="Arial" w:eastAsia="Times New Roman" w:hAnsi="Arial" w:cs="Arial"/>
            <w:lang w:eastAsia="en-GB"/>
          </w:rPr>
          <w:t>https://www.internationalosteopathicassociation.org/code_of_ethics.html</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5 Jan. 2022].</w:t>
      </w:r>
    </w:p>
    <w:p w14:paraId="455667EC" w14:textId="51F341EC" w:rsidR="00063982" w:rsidRPr="00063982" w:rsidRDefault="00063982" w:rsidP="004A3DC7">
      <w:pPr>
        <w:spacing w:after="240" w:line="360" w:lineRule="auto"/>
        <w:rPr>
          <w:rFonts w:ascii="Times New Roman" w:eastAsia="Times New Roman" w:hAnsi="Times New Roman" w:cs="Times New Roman"/>
          <w:sz w:val="24"/>
          <w:szCs w:val="24"/>
          <w:lang w:eastAsia="en-GB"/>
        </w:rPr>
      </w:pPr>
      <w:proofErr w:type="spellStart"/>
      <w:r w:rsidRPr="00063982">
        <w:rPr>
          <w:rFonts w:ascii="Times New Roman" w:eastAsia="Times New Roman" w:hAnsi="Times New Roman" w:cs="Times New Roman"/>
          <w:sz w:val="24"/>
          <w:szCs w:val="24"/>
          <w:lang w:eastAsia="en-GB"/>
        </w:rPr>
        <w:t>iao</w:t>
      </w:r>
      <w:proofErr w:type="spellEnd"/>
      <w:r w:rsidRPr="00063982">
        <w:rPr>
          <w:rFonts w:ascii="Times New Roman" w:eastAsia="Times New Roman" w:hAnsi="Times New Roman" w:cs="Times New Roman"/>
          <w:sz w:val="24"/>
          <w:szCs w:val="24"/>
          <w:lang w:eastAsia="en-GB"/>
        </w:rPr>
        <w:t xml:space="preserve">-master-admin (2019). </w:t>
      </w:r>
      <w:r w:rsidRPr="00063982">
        <w:rPr>
          <w:rFonts w:ascii="Times New Roman" w:eastAsia="Times New Roman" w:hAnsi="Times New Roman" w:cs="Times New Roman"/>
          <w:i/>
          <w:iCs/>
          <w:sz w:val="24"/>
          <w:szCs w:val="24"/>
          <w:lang w:eastAsia="en-GB"/>
        </w:rPr>
        <w:t>Efficacy of Osteopathic Manipulative Treatment in Paediatric Otitis media: a Systematic review.</w:t>
      </w:r>
      <w:r w:rsidRPr="00063982">
        <w:rPr>
          <w:rFonts w:ascii="Times New Roman" w:eastAsia="Times New Roman" w:hAnsi="Times New Roman" w:cs="Times New Roman"/>
          <w:sz w:val="24"/>
          <w:szCs w:val="24"/>
          <w:lang w:eastAsia="en-GB"/>
        </w:rPr>
        <w:t xml:space="preserve"> [online] The International Academy of Osteopathy IAO. Available at: </w:t>
      </w:r>
      <w:hyperlink r:id="rId19" w:history="1">
        <w:r w:rsidRPr="00063982">
          <w:rPr>
            <w:rStyle w:val="Hyperlink"/>
            <w:rFonts w:ascii="Times New Roman" w:eastAsia="Times New Roman" w:hAnsi="Times New Roman" w:cs="Times New Roman"/>
            <w:sz w:val="24"/>
            <w:szCs w:val="24"/>
            <w:lang w:eastAsia="en-GB"/>
          </w:rPr>
          <w:t>https://www2.osteopathie.eu/en/publications/abstract-master-thesis/efficacy-osteopathic-manipulative-treatment-paediatric-otitis-media-systematic-review</w:t>
        </w:r>
      </w:hyperlink>
      <w:r>
        <w:rPr>
          <w:rFonts w:ascii="Times New Roman" w:eastAsia="Times New Roman" w:hAnsi="Times New Roman" w:cs="Times New Roman"/>
          <w:sz w:val="24"/>
          <w:szCs w:val="24"/>
          <w:lang w:eastAsia="en-GB"/>
        </w:rPr>
        <w:t xml:space="preserve"> </w:t>
      </w:r>
      <w:r w:rsidRPr="00063982">
        <w:rPr>
          <w:rFonts w:ascii="Times New Roman" w:eastAsia="Times New Roman" w:hAnsi="Times New Roman" w:cs="Times New Roman"/>
          <w:sz w:val="24"/>
          <w:szCs w:val="24"/>
          <w:lang w:eastAsia="en-GB"/>
        </w:rPr>
        <w:t xml:space="preserve"> [Accessed 8 Jan. 2022].</w:t>
      </w:r>
    </w:p>
    <w:p w14:paraId="585842CA" w14:textId="4EF90B5A" w:rsidR="004C6397" w:rsidRPr="00EE4BC3" w:rsidRDefault="004C6397" w:rsidP="004A3DC7">
      <w:pPr>
        <w:pStyle w:val="NormalWeb"/>
        <w:spacing w:before="0" w:beforeAutospacing="0" w:after="240" w:afterAutospacing="0" w:line="360" w:lineRule="auto"/>
        <w:rPr>
          <w:rFonts w:ascii="Arial" w:hAnsi="Arial" w:cs="Arial"/>
          <w:sz w:val="22"/>
          <w:szCs w:val="22"/>
        </w:rPr>
      </w:pPr>
      <w:r w:rsidRPr="00EE4BC3">
        <w:rPr>
          <w:rFonts w:ascii="Arial" w:hAnsi="Arial" w:cs="Arial"/>
          <w:sz w:val="22"/>
          <w:szCs w:val="22"/>
        </w:rPr>
        <w:t xml:space="preserve">General Osteopathic Council (2020). </w:t>
      </w:r>
      <w:r w:rsidRPr="00EE4BC3">
        <w:rPr>
          <w:rFonts w:ascii="Arial" w:hAnsi="Arial" w:cs="Arial"/>
          <w:i/>
          <w:iCs/>
          <w:sz w:val="22"/>
          <w:szCs w:val="22"/>
        </w:rPr>
        <w:t>About us - General Osteopathic Council</w:t>
      </w:r>
      <w:r w:rsidRPr="00EE4BC3">
        <w:rPr>
          <w:rFonts w:ascii="Arial" w:hAnsi="Arial" w:cs="Arial"/>
          <w:sz w:val="22"/>
          <w:szCs w:val="22"/>
        </w:rPr>
        <w:t xml:space="preserve">. [online] Osteopathy.org.uk. Available at: </w:t>
      </w:r>
      <w:hyperlink r:id="rId20" w:history="1">
        <w:r w:rsidR="00DE6F68" w:rsidRPr="0041203E">
          <w:rPr>
            <w:rStyle w:val="Hyperlink"/>
            <w:rFonts w:ascii="Arial" w:hAnsi="Arial" w:cs="Arial"/>
            <w:sz w:val="22"/>
            <w:szCs w:val="22"/>
          </w:rPr>
          <w:t>https://www.osteopathy.org.uk/about-us/</w:t>
        </w:r>
      </w:hyperlink>
      <w:r w:rsidR="00DE6F68">
        <w:rPr>
          <w:rFonts w:ascii="Arial" w:hAnsi="Arial" w:cs="Arial"/>
          <w:sz w:val="22"/>
          <w:szCs w:val="22"/>
        </w:rPr>
        <w:t xml:space="preserve"> </w:t>
      </w:r>
      <w:r w:rsidRPr="00EE4BC3">
        <w:rPr>
          <w:rFonts w:ascii="Arial" w:hAnsi="Arial" w:cs="Arial"/>
          <w:sz w:val="22"/>
          <w:szCs w:val="22"/>
        </w:rPr>
        <w:t xml:space="preserve"> [Accessed 5 Jan. 2022].</w:t>
      </w:r>
    </w:p>
    <w:p w14:paraId="15B91EF3" w14:textId="174A5FC2" w:rsidR="00DE7F92" w:rsidRPr="00EE4BC3" w:rsidRDefault="00DE7F92"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General Osteopathic Council (2021). </w:t>
      </w:r>
      <w:r w:rsidRPr="00EE4BC3">
        <w:rPr>
          <w:rFonts w:ascii="Arial" w:eastAsia="Times New Roman" w:hAnsi="Arial" w:cs="Arial"/>
          <w:i/>
          <w:iCs/>
          <w:lang w:eastAsia="en-GB"/>
        </w:rPr>
        <w:t>General Osteopathic Council</w:t>
      </w:r>
      <w:r w:rsidRPr="00EE4BC3">
        <w:rPr>
          <w:rFonts w:ascii="Arial" w:eastAsia="Times New Roman" w:hAnsi="Arial" w:cs="Arial"/>
          <w:lang w:eastAsia="en-GB"/>
        </w:rPr>
        <w:t xml:space="preserve">. [online] </w:t>
      </w:r>
      <w:r w:rsidRPr="00EE4BC3">
        <w:rPr>
          <w:rFonts w:ascii="Arial" w:eastAsia="Times New Roman" w:hAnsi="Arial" w:cs="Arial"/>
          <w:i/>
          <w:iCs/>
          <w:lang w:eastAsia="en-GB"/>
        </w:rPr>
        <w:t>General Osteopathic Council</w:t>
      </w:r>
      <w:r w:rsidRPr="00EE4BC3">
        <w:rPr>
          <w:rFonts w:ascii="Arial" w:eastAsia="Times New Roman" w:hAnsi="Arial" w:cs="Arial"/>
          <w:lang w:eastAsia="en-GB"/>
        </w:rPr>
        <w:t xml:space="preserve">, pp.1–102. Available at: </w:t>
      </w:r>
      <w:hyperlink r:id="rId21" w:history="1">
        <w:r w:rsidR="00DE6F68" w:rsidRPr="0041203E">
          <w:rPr>
            <w:rStyle w:val="Hyperlink"/>
            <w:rFonts w:ascii="Arial" w:eastAsia="Times New Roman" w:hAnsi="Arial" w:cs="Arial"/>
            <w:lang w:eastAsia="en-GB"/>
          </w:rPr>
          <w:t>https://www.osteopathy.org.uk/news-and-resources/document-library/about-the-gosc/governance-handbook/</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6 Jan. 2022].</w:t>
      </w:r>
    </w:p>
    <w:p w14:paraId="64A12BC3" w14:textId="06E0C823" w:rsidR="004A3DC7" w:rsidRDefault="004A3DC7" w:rsidP="004A3DC7">
      <w:pPr>
        <w:spacing w:after="240" w:line="360" w:lineRule="auto"/>
        <w:rPr>
          <w:rFonts w:ascii="Arial" w:eastAsia="Times New Roman" w:hAnsi="Arial" w:cs="Arial"/>
          <w:lang w:eastAsia="en-GB"/>
        </w:rPr>
      </w:pPr>
      <w:r w:rsidRPr="00EE4BC3">
        <w:rPr>
          <w:rFonts w:ascii="Arial" w:eastAsia="Times New Roman" w:hAnsi="Arial" w:cs="Arial"/>
          <w:lang w:eastAsia="en-GB"/>
        </w:rPr>
        <w:t xml:space="preserve">General Osteopathic Council (2022). </w:t>
      </w:r>
      <w:r w:rsidRPr="00EE4BC3">
        <w:rPr>
          <w:rFonts w:ascii="Arial" w:eastAsia="Times New Roman" w:hAnsi="Arial" w:cs="Arial"/>
          <w:i/>
          <w:iCs/>
          <w:lang w:eastAsia="en-GB"/>
        </w:rPr>
        <w:t>Code of conduct - General Osteopathic Council</w:t>
      </w:r>
      <w:r w:rsidRPr="00EE4BC3">
        <w:rPr>
          <w:rFonts w:ascii="Arial" w:eastAsia="Times New Roman" w:hAnsi="Arial" w:cs="Arial"/>
          <w:lang w:eastAsia="en-GB"/>
        </w:rPr>
        <w:t xml:space="preserve">. [online] www.osteopathy.org.uk. Available at: </w:t>
      </w:r>
      <w:hyperlink r:id="rId22" w:history="1">
        <w:r w:rsidR="00DE6F68" w:rsidRPr="0041203E">
          <w:rPr>
            <w:rStyle w:val="Hyperlink"/>
            <w:rFonts w:ascii="Arial" w:eastAsia="Times New Roman" w:hAnsi="Arial" w:cs="Arial"/>
            <w:lang w:eastAsia="en-GB"/>
          </w:rPr>
          <w:t>https://www.osteopathy.org.uk/about-us/the-organisation/code-of-conduct/</w:t>
        </w:r>
      </w:hyperlink>
      <w:r w:rsidR="00DE6F68">
        <w:rPr>
          <w:rFonts w:ascii="Arial" w:eastAsia="Times New Roman" w:hAnsi="Arial" w:cs="Arial"/>
          <w:lang w:eastAsia="en-GB"/>
        </w:rPr>
        <w:t xml:space="preserve"> </w:t>
      </w:r>
      <w:r w:rsidRPr="00EE4BC3">
        <w:rPr>
          <w:rFonts w:ascii="Arial" w:eastAsia="Times New Roman" w:hAnsi="Arial" w:cs="Arial"/>
          <w:lang w:eastAsia="en-GB"/>
        </w:rPr>
        <w:t>[Accessed 6 Jan. 2022].</w:t>
      </w:r>
    </w:p>
    <w:p w14:paraId="786AA653" w14:textId="73507974" w:rsidR="00FE7DAF" w:rsidRDefault="00FE7DAF" w:rsidP="004A3DC7">
      <w:pPr>
        <w:spacing w:after="240" w:line="360" w:lineRule="auto"/>
        <w:rPr>
          <w:rFonts w:ascii="Times New Roman" w:eastAsia="Times New Roman" w:hAnsi="Times New Roman" w:cs="Times New Roman"/>
          <w:sz w:val="24"/>
          <w:szCs w:val="24"/>
          <w:lang w:eastAsia="en-GB"/>
        </w:rPr>
      </w:pPr>
      <w:proofErr w:type="spellStart"/>
      <w:r w:rsidRPr="00FE7DAF">
        <w:rPr>
          <w:rFonts w:ascii="Times New Roman" w:eastAsia="Times New Roman" w:hAnsi="Times New Roman" w:cs="Times New Roman"/>
          <w:sz w:val="24"/>
          <w:szCs w:val="24"/>
          <w:lang w:eastAsia="en-GB"/>
        </w:rPr>
        <w:t>Licciardone</w:t>
      </w:r>
      <w:proofErr w:type="spellEnd"/>
      <w:r w:rsidRPr="00FE7DAF">
        <w:rPr>
          <w:rFonts w:ascii="Times New Roman" w:eastAsia="Times New Roman" w:hAnsi="Times New Roman" w:cs="Times New Roman"/>
          <w:sz w:val="24"/>
          <w:szCs w:val="24"/>
          <w:lang w:eastAsia="en-GB"/>
        </w:rPr>
        <w:t xml:space="preserve">, J.C., Schultz, M.J. and Amen, B. (2020). Osteopathic Manipulation in the Management of Chronic Pain: Current Perspectives. </w:t>
      </w:r>
      <w:r w:rsidRPr="00FE7DAF">
        <w:rPr>
          <w:rFonts w:ascii="Times New Roman" w:eastAsia="Times New Roman" w:hAnsi="Times New Roman" w:cs="Times New Roman"/>
          <w:i/>
          <w:iCs/>
          <w:sz w:val="24"/>
          <w:szCs w:val="24"/>
          <w:lang w:eastAsia="en-GB"/>
        </w:rPr>
        <w:t>Journal of Pain Research</w:t>
      </w:r>
      <w:r w:rsidRPr="00FE7DAF">
        <w:rPr>
          <w:rFonts w:ascii="Times New Roman" w:eastAsia="Times New Roman" w:hAnsi="Times New Roman" w:cs="Times New Roman"/>
          <w:sz w:val="24"/>
          <w:szCs w:val="24"/>
          <w:lang w:eastAsia="en-GB"/>
        </w:rPr>
        <w:t>, Volume 13, pp.1839–1847.</w:t>
      </w:r>
    </w:p>
    <w:p w14:paraId="71505684" w14:textId="29FC39E0" w:rsidR="0058536E" w:rsidRPr="00FE7DAF" w:rsidRDefault="0058536E" w:rsidP="004A3DC7">
      <w:pPr>
        <w:spacing w:after="240" w:line="360" w:lineRule="auto"/>
        <w:rPr>
          <w:rFonts w:ascii="Times New Roman" w:eastAsia="Times New Roman" w:hAnsi="Times New Roman" w:cs="Times New Roman"/>
          <w:sz w:val="24"/>
          <w:szCs w:val="24"/>
          <w:lang w:eastAsia="en-GB"/>
        </w:rPr>
      </w:pPr>
      <w:r w:rsidRPr="0058536E">
        <w:rPr>
          <w:rFonts w:ascii="Times New Roman" w:eastAsia="Times New Roman" w:hAnsi="Times New Roman" w:cs="Times New Roman"/>
          <w:sz w:val="24"/>
          <w:szCs w:val="24"/>
          <w:lang w:eastAsia="en-GB"/>
        </w:rPr>
        <w:t xml:space="preserve">Li, R., Jose, A., Poon, J., Zou, C., </w:t>
      </w:r>
      <w:proofErr w:type="spellStart"/>
      <w:r w:rsidRPr="0058536E">
        <w:rPr>
          <w:rFonts w:ascii="Times New Roman" w:eastAsia="Times New Roman" w:hAnsi="Times New Roman" w:cs="Times New Roman"/>
          <w:sz w:val="24"/>
          <w:szCs w:val="24"/>
          <w:lang w:eastAsia="en-GB"/>
        </w:rPr>
        <w:t>Istafanos</w:t>
      </w:r>
      <w:proofErr w:type="spellEnd"/>
      <w:r w:rsidRPr="0058536E">
        <w:rPr>
          <w:rFonts w:ascii="Times New Roman" w:eastAsia="Times New Roman" w:hAnsi="Times New Roman" w:cs="Times New Roman"/>
          <w:sz w:val="24"/>
          <w:szCs w:val="24"/>
          <w:lang w:eastAsia="en-GB"/>
        </w:rPr>
        <w:t xml:space="preserve">, M. and Yao, S.C. (2021). Efficacy of osteopathic manipulative treatment in patients with Parkinson’s disease: a narrative review. </w:t>
      </w:r>
      <w:r w:rsidRPr="0058536E">
        <w:rPr>
          <w:rFonts w:ascii="Times New Roman" w:eastAsia="Times New Roman" w:hAnsi="Times New Roman" w:cs="Times New Roman"/>
          <w:i/>
          <w:iCs/>
          <w:sz w:val="24"/>
          <w:szCs w:val="24"/>
          <w:lang w:eastAsia="en-GB"/>
        </w:rPr>
        <w:t>Journal of Osteopathic Medicine</w:t>
      </w:r>
      <w:r w:rsidRPr="0058536E">
        <w:rPr>
          <w:rFonts w:ascii="Times New Roman" w:eastAsia="Times New Roman" w:hAnsi="Times New Roman" w:cs="Times New Roman"/>
          <w:sz w:val="24"/>
          <w:szCs w:val="24"/>
          <w:lang w:eastAsia="en-GB"/>
        </w:rPr>
        <w:t>, 121(12), pp.891–898.</w:t>
      </w:r>
    </w:p>
    <w:p w14:paraId="7B495495" w14:textId="654C18A9" w:rsidR="00BA424A" w:rsidRDefault="00BA424A" w:rsidP="004A3DC7">
      <w:pPr>
        <w:spacing w:after="240" w:line="360" w:lineRule="auto"/>
        <w:rPr>
          <w:rFonts w:ascii="Arial" w:eastAsia="Times New Roman" w:hAnsi="Arial" w:cs="Arial"/>
          <w:lang w:eastAsia="en-GB"/>
        </w:rPr>
      </w:pPr>
      <w:r w:rsidRPr="00BA424A">
        <w:rPr>
          <w:rFonts w:ascii="Arial" w:eastAsia="Times New Roman" w:hAnsi="Arial" w:cs="Arial"/>
          <w:lang w:eastAsia="en-GB"/>
        </w:rPr>
        <w:t xml:space="preserve">National Therapist Register (n.d.). </w:t>
      </w:r>
      <w:r w:rsidRPr="00BA424A">
        <w:rPr>
          <w:rFonts w:ascii="Arial" w:eastAsia="Times New Roman" w:hAnsi="Arial" w:cs="Arial"/>
          <w:i/>
          <w:iCs/>
          <w:lang w:eastAsia="en-GB"/>
        </w:rPr>
        <w:t>Regulations for Therapists</w:t>
      </w:r>
      <w:r w:rsidRPr="00BA424A">
        <w:rPr>
          <w:rFonts w:ascii="Arial" w:eastAsia="Times New Roman" w:hAnsi="Arial" w:cs="Arial"/>
          <w:lang w:eastAsia="en-GB"/>
        </w:rPr>
        <w:t xml:space="preserve">. [online] therapyregister.net. Available at: </w:t>
      </w:r>
      <w:hyperlink r:id="rId23" w:history="1">
        <w:r w:rsidRPr="00BA424A">
          <w:rPr>
            <w:rStyle w:val="Hyperlink"/>
            <w:rFonts w:ascii="Arial" w:eastAsia="Times New Roman" w:hAnsi="Arial" w:cs="Arial"/>
            <w:lang w:eastAsia="en-GB"/>
          </w:rPr>
          <w:t>https://therapyregister.net/regulations/</w:t>
        </w:r>
      </w:hyperlink>
      <w:r>
        <w:rPr>
          <w:rFonts w:ascii="Arial" w:eastAsia="Times New Roman" w:hAnsi="Arial" w:cs="Arial"/>
          <w:lang w:eastAsia="en-GB"/>
        </w:rPr>
        <w:t xml:space="preserve"> </w:t>
      </w:r>
      <w:r w:rsidRPr="00BA424A">
        <w:rPr>
          <w:rFonts w:ascii="Arial" w:eastAsia="Times New Roman" w:hAnsi="Arial" w:cs="Arial"/>
          <w:lang w:eastAsia="en-GB"/>
        </w:rPr>
        <w:t>[Accessed 8 Jan. 2022].</w:t>
      </w:r>
    </w:p>
    <w:p w14:paraId="335AF365" w14:textId="4A67EA61" w:rsidR="008D6326" w:rsidRPr="008D6326" w:rsidRDefault="008D6326" w:rsidP="004A3DC7">
      <w:pPr>
        <w:spacing w:after="240" w:line="360" w:lineRule="auto"/>
        <w:rPr>
          <w:rFonts w:ascii="Times New Roman" w:eastAsia="Times New Roman" w:hAnsi="Times New Roman" w:cs="Times New Roman"/>
          <w:sz w:val="24"/>
          <w:szCs w:val="24"/>
          <w:lang w:eastAsia="en-GB"/>
        </w:rPr>
      </w:pPr>
      <w:r w:rsidRPr="008D6326">
        <w:rPr>
          <w:rFonts w:ascii="Times New Roman" w:eastAsia="Times New Roman" w:hAnsi="Times New Roman" w:cs="Times New Roman"/>
          <w:sz w:val="24"/>
          <w:szCs w:val="24"/>
          <w:lang w:eastAsia="en-GB"/>
        </w:rPr>
        <w:lastRenderedPageBreak/>
        <w:t xml:space="preserve">NHS Choices (2018). </w:t>
      </w:r>
      <w:r w:rsidRPr="008D6326">
        <w:rPr>
          <w:rFonts w:ascii="Times New Roman" w:eastAsia="Times New Roman" w:hAnsi="Times New Roman" w:cs="Times New Roman"/>
          <w:i/>
          <w:iCs/>
          <w:sz w:val="24"/>
          <w:szCs w:val="24"/>
          <w:lang w:eastAsia="en-GB"/>
        </w:rPr>
        <w:t>Complementary and alternative medicine</w:t>
      </w:r>
      <w:r w:rsidRPr="008D6326">
        <w:rPr>
          <w:rFonts w:ascii="Times New Roman" w:eastAsia="Times New Roman" w:hAnsi="Times New Roman" w:cs="Times New Roman"/>
          <w:sz w:val="24"/>
          <w:szCs w:val="24"/>
          <w:lang w:eastAsia="en-GB"/>
        </w:rPr>
        <w:t>. [online] NHS. Available at: https://www.nhs.uk/conditions/complementary-and-alternative-medicine/ [Accessed 7 Jan. 2022].</w:t>
      </w:r>
    </w:p>
    <w:p w14:paraId="708B4A06" w14:textId="438381D7" w:rsidR="006A38BE" w:rsidRPr="00EE4BC3" w:rsidRDefault="006A38BE" w:rsidP="00522CC6">
      <w:pPr>
        <w:pStyle w:val="NormalWeb"/>
        <w:spacing w:before="0" w:beforeAutospacing="0" w:after="0" w:afterAutospacing="0" w:line="360" w:lineRule="auto"/>
        <w:rPr>
          <w:rFonts w:ascii="Arial" w:hAnsi="Arial" w:cs="Arial"/>
          <w:sz w:val="22"/>
          <w:szCs w:val="22"/>
        </w:rPr>
      </w:pPr>
      <w:r w:rsidRPr="00EE4BC3">
        <w:rPr>
          <w:rFonts w:ascii="Arial" w:hAnsi="Arial" w:cs="Arial"/>
          <w:i/>
          <w:iCs/>
          <w:sz w:val="22"/>
          <w:szCs w:val="22"/>
        </w:rPr>
        <w:t>Osteopaths Act 1993</w:t>
      </w:r>
      <w:r w:rsidRPr="00EE4BC3">
        <w:rPr>
          <w:rFonts w:ascii="Arial" w:hAnsi="Arial" w:cs="Arial"/>
          <w:sz w:val="22"/>
          <w:szCs w:val="22"/>
        </w:rPr>
        <w:t xml:space="preserve">.21 [online] Available at: </w:t>
      </w:r>
      <w:hyperlink r:id="rId24" w:anchor=":~:text=An%20Act%20to%20establish%20a%20body%20to%20be,promotion%20of%20the%20profession%3B%20and%20for%20connected%20purposes" w:history="1">
        <w:r w:rsidR="00DE6F68" w:rsidRPr="0041203E">
          <w:rPr>
            <w:rStyle w:val="Hyperlink"/>
            <w:rFonts w:ascii="Arial" w:hAnsi="Arial" w:cs="Arial"/>
            <w:sz w:val="22"/>
            <w:szCs w:val="22"/>
          </w:rPr>
          <w:t>https://www.legislation.gov.uk/ukpga/1993/21#:~:text=An%20Act%20to%20establish%20a%20body%20to%20be,promotion%20of%20the%20profession%3B%20and%20for%20connected%20purposes</w:t>
        </w:r>
      </w:hyperlink>
      <w:r w:rsidRPr="00EE4BC3">
        <w:rPr>
          <w:rFonts w:ascii="Arial" w:hAnsi="Arial" w:cs="Arial"/>
          <w:sz w:val="22"/>
          <w:szCs w:val="22"/>
        </w:rPr>
        <w:t>.</w:t>
      </w:r>
      <w:r w:rsidR="00DE6F68">
        <w:rPr>
          <w:rFonts w:ascii="Arial" w:hAnsi="Arial" w:cs="Arial"/>
          <w:sz w:val="22"/>
          <w:szCs w:val="22"/>
        </w:rPr>
        <w:t xml:space="preserve"> </w:t>
      </w:r>
      <w:r w:rsidRPr="00EE4BC3">
        <w:rPr>
          <w:rFonts w:ascii="Arial" w:hAnsi="Arial" w:cs="Arial"/>
          <w:sz w:val="22"/>
          <w:szCs w:val="22"/>
        </w:rPr>
        <w:t>[Accessed 5 Jan. 2022].</w:t>
      </w:r>
    </w:p>
    <w:p w14:paraId="41AECC44" w14:textId="77777777" w:rsidR="00522CC6" w:rsidRPr="00EE4BC3" w:rsidRDefault="00522CC6" w:rsidP="00522CC6">
      <w:pPr>
        <w:pStyle w:val="NormalWeb"/>
        <w:spacing w:before="0" w:beforeAutospacing="0" w:after="0" w:afterAutospacing="0" w:line="360" w:lineRule="auto"/>
        <w:rPr>
          <w:rFonts w:ascii="Arial" w:hAnsi="Arial" w:cs="Arial"/>
          <w:sz w:val="22"/>
          <w:szCs w:val="22"/>
        </w:rPr>
      </w:pPr>
    </w:p>
    <w:p w14:paraId="6D53D93F" w14:textId="02F7F9C7" w:rsidR="00094182" w:rsidRPr="00094182" w:rsidRDefault="00094182" w:rsidP="00522CC6">
      <w:pPr>
        <w:spacing w:after="0" w:line="360" w:lineRule="auto"/>
        <w:rPr>
          <w:rFonts w:ascii="Arial" w:eastAsia="Times New Roman" w:hAnsi="Arial" w:cs="Arial"/>
          <w:lang w:eastAsia="en-GB"/>
        </w:rPr>
      </w:pPr>
      <w:r w:rsidRPr="00094182">
        <w:rPr>
          <w:rFonts w:ascii="Arial" w:eastAsia="Times New Roman" w:hAnsi="Arial" w:cs="Arial"/>
          <w:lang w:eastAsia="en-GB"/>
        </w:rPr>
        <w:t xml:space="preserve">Plunkett, A., Fawkes, C. and Carnes, D. (2021). UK Osteopathic Practice in 2019: a Retrospective Analysis of Practice Data. </w:t>
      </w:r>
      <w:r w:rsidRPr="00094182">
        <w:rPr>
          <w:rFonts w:ascii="Arial" w:eastAsia="Times New Roman" w:hAnsi="Arial" w:cs="Arial"/>
          <w:i/>
          <w:iCs/>
          <w:lang w:eastAsia="en-GB"/>
        </w:rPr>
        <w:t>UK Osteopathic Practice in 2019: a Retrospective Analysis of Practice Data</w:t>
      </w:r>
      <w:r w:rsidRPr="00094182">
        <w:rPr>
          <w:rFonts w:ascii="Arial" w:eastAsia="Times New Roman" w:hAnsi="Arial" w:cs="Arial"/>
          <w:lang w:eastAsia="en-GB"/>
        </w:rPr>
        <w:t xml:space="preserve">. [online] Available at: </w:t>
      </w:r>
      <w:hyperlink r:id="rId25" w:history="1">
        <w:r w:rsidR="00DE6F68" w:rsidRPr="00094182">
          <w:rPr>
            <w:rStyle w:val="Hyperlink"/>
            <w:rFonts w:ascii="Arial" w:eastAsia="Times New Roman" w:hAnsi="Arial" w:cs="Arial"/>
            <w:lang w:eastAsia="en-GB"/>
          </w:rPr>
          <w:t>https://www.medrxiv.org/content/10.1101/2021.01.28.21250601v1</w:t>
        </w:r>
      </w:hyperlink>
      <w:r w:rsidR="00DE6F68">
        <w:rPr>
          <w:rFonts w:ascii="Arial" w:eastAsia="Times New Roman" w:hAnsi="Arial" w:cs="Arial"/>
          <w:lang w:eastAsia="en-GB"/>
        </w:rPr>
        <w:t xml:space="preserve"> </w:t>
      </w:r>
      <w:r w:rsidRPr="00094182">
        <w:rPr>
          <w:rFonts w:ascii="Arial" w:eastAsia="Times New Roman" w:hAnsi="Arial" w:cs="Arial"/>
          <w:lang w:eastAsia="en-GB"/>
        </w:rPr>
        <w:t>[Accessed 6 Jan. 2022].</w:t>
      </w:r>
    </w:p>
    <w:p w14:paraId="368B20F7" w14:textId="77777777" w:rsidR="00F63BA6" w:rsidRPr="00EE4BC3" w:rsidRDefault="00F63BA6" w:rsidP="00522CC6">
      <w:pPr>
        <w:pStyle w:val="NormalWeb"/>
        <w:spacing w:before="0" w:beforeAutospacing="0" w:after="0" w:afterAutospacing="0" w:line="360" w:lineRule="auto"/>
        <w:rPr>
          <w:rFonts w:ascii="Arial" w:hAnsi="Arial" w:cs="Arial"/>
          <w:sz w:val="22"/>
          <w:szCs w:val="22"/>
        </w:rPr>
      </w:pPr>
    </w:p>
    <w:p w14:paraId="4FC1CBC5" w14:textId="404593FD" w:rsidR="2D99B84F" w:rsidRPr="00EE4BC3" w:rsidRDefault="2D99B84F" w:rsidP="00522CC6">
      <w:pPr>
        <w:spacing w:after="0" w:line="360" w:lineRule="auto"/>
        <w:rPr>
          <w:rFonts w:ascii="Arial" w:eastAsia="Open Sans" w:hAnsi="Arial" w:cs="Arial"/>
        </w:rPr>
      </w:pPr>
      <w:r w:rsidRPr="00EE4BC3">
        <w:rPr>
          <w:rFonts w:ascii="Arial" w:eastAsia="Open Sans" w:hAnsi="Arial" w:cs="Arial"/>
          <w:color w:val="000000" w:themeColor="text1"/>
        </w:rPr>
        <w:t xml:space="preserve">Steel, A., 2018. </w:t>
      </w:r>
      <w:r w:rsidRPr="00EE4BC3">
        <w:rPr>
          <w:rFonts w:ascii="Arial" w:eastAsia="Open Sans" w:hAnsi="Arial" w:cs="Arial"/>
          <w:i/>
          <w:iCs/>
          <w:color w:val="000000" w:themeColor="text1"/>
        </w:rPr>
        <w:t xml:space="preserve">Does osteopathy </w:t>
      </w:r>
      <w:r w:rsidR="63A8E78E" w:rsidRPr="00EE4BC3">
        <w:rPr>
          <w:rFonts w:ascii="Arial" w:eastAsia="Open Sans" w:hAnsi="Arial" w:cs="Arial"/>
          <w:i/>
          <w:iCs/>
          <w:color w:val="000000" w:themeColor="text1"/>
        </w:rPr>
        <w:t>work.</w:t>
      </w:r>
      <w:r w:rsidRPr="00EE4BC3">
        <w:rPr>
          <w:rFonts w:ascii="Arial" w:eastAsia="Open Sans" w:hAnsi="Arial" w:cs="Arial"/>
          <w:color w:val="000000" w:themeColor="text1"/>
        </w:rPr>
        <w:t xml:space="preserve"> [online] The Conversation. Available at: </w:t>
      </w:r>
      <w:hyperlink r:id="rId26" w:history="1">
        <w:r w:rsidR="00DE6F68" w:rsidRPr="0041203E">
          <w:rPr>
            <w:rStyle w:val="Hyperlink"/>
            <w:rFonts w:ascii="Arial" w:eastAsia="Open Sans" w:hAnsi="Arial" w:cs="Arial"/>
          </w:rPr>
          <w:t>https://theconversation.com/does-osteopathy-work-98848</w:t>
        </w:r>
      </w:hyperlink>
      <w:r w:rsidR="00DE6F68">
        <w:rPr>
          <w:rFonts w:ascii="Arial" w:eastAsia="Open Sans" w:hAnsi="Arial" w:cs="Arial"/>
          <w:color w:val="000000" w:themeColor="text1"/>
        </w:rPr>
        <w:t xml:space="preserve"> </w:t>
      </w:r>
      <w:r w:rsidRPr="00EE4BC3">
        <w:rPr>
          <w:rFonts w:ascii="Arial" w:eastAsia="Open Sans" w:hAnsi="Arial" w:cs="Arial"/>
          <w:color w:val="000000" w:themeColor="text1"/>
        </w:rPr>
        <w:t>[Accessed 4 January 2022].</w:t>
      </w:r>
    </w:p>
    <w:p w14:paraId="46903EDC" w14:textId="5E632A04" w:rsidR="57A28168" w:rsidRPr="004A3DC7" w:rsidRDefault="57A28168" w:rsidP="004A3DC7">
      <w:pPr>
        <w:spacing w:line="360" w:lineRule="auto"/>
        <w:rPr>
          <w:rFonts w:ascii="Arial" w:eastAsia="Open Sans" w:hAnsi="Arial" w:cs="Arial"/>
          <w:color w:val="000000" w:themeColor="text1"/>
        </w:rPr>
      </w:pPr>
    </w:p>
    <w:sectPr w:rsidR="57A28168" w:rsidRPr="004A3DC7" w:rsidSect="000B228E">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L2w9eCSSSQ3cT" int2:id="EsCG1m4G">
      <int2:state int2:value="Rejected" int2:type="LegacyProofing"/>
    </int2:textHash>
    <int2:textHash int2:hashCode="8pMT5OG24rFCod" int2:id="LSnKk00f">
      <int2:state int2:value="Rejected" int2:type="LegacyProofing"/>
    </int2:textHash>
    <int2:textHash int2:hashCode="cqXUoG3/iiSeSe" int2:id="1krwIgPm">
      <int2:state int2:value="Rejected" int2:type="LegacyProofing"/>
    </int2:textHash>
    <int2:entireDocument int2:id="yswemakr">
      <int2:extLst>
        <oel:ext uri="E302BA01-7950-474C-9AD3-286E660C40A8">
          <int2:similaritySummary int2:version="1" int2:runId="1641253193718" int2:tilesCheckedInThisRun="18" int2:totalNumOfTiles="18" int2:similarityAnnotationCount="0" int2:numWords="453" int2:numFlaggedWords="0"/>
        </oel:ext>
      </int2:extLst>
    </int2:entireDocument>
  </int2:observations>
  <int2:intelligenceSettings/>
  <int2:onDemandWorkflows>
    <int2:onDemandWorkflow int2:type="SimilarityCheck" int2:paragraphVersion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A5EF42"/>
    <w:rsid w:val="00002CF0"/>
    <w:rsid w:val="00011683"/>
    <w:rsid w:val="00013A3E"/>
    <w:rsid w:val="00016CCC"/>
    <w:rsid w:val="00022F81"/>
    <w:rsid w:val="000232FC"/>
    <w:rsid w:val="00025ACA"/>
    <w:rsid w:val="00026D33"/>
    <w:rsid w:val="00042087"/>
    <w:rsid w:val="00055EAA"/>
    <w:rsid w:val="00062683"/>
    <w:rsid w:val="00063982"/>
    <w:rsid w:val="00071AD5"/>
    <w:rsid w:val="0008669D"/>
    <w:rsid w:val="00094182"/>
    <w:rsid w:val="000A0420"/>
    <w:rsid w:val="000A25B0"/>
    <w:rsid w:val="000A7CB8"/>
    <w:rsid w:val="000B228E"/>
    <w:rsid w:val="000D3B1F"/>
    <w:rsid w:val="000D3C29"/>
    <w:rsid w:val="000D66B5"/>
    <w:rsid w:val="000E2B57"/>
    <w:rsid w:val="000E5663"/>
    <w:rsid w:val="000E58D4"/>
    <w:rsid w:val="000F57DE"/>
    <w:rsid w:val="0010090C"/>
    <w:rsid w:val="00110A7D"/>
    <w:rsid w:val="0011445A"/>
    <w:rsid w:val="00117FBE"/>
    <w:rsid w:val="00120F6E"/>
    <w:rsid w:val="00121569"/>
    <w:rsid w:val="0012240B"/>
    <w:rsid w:val="00134B1F"/>
    <w:rsid w:val="00134CA5"/>
    <w:rsid w:val="001365F2"/>
    <w:rsid w:val="00137671"/>
    <w:rsid w:val="00154DB2"/>
    <w:rsid w:val="00161401"/>
    <w:rsid w:val="0016694B"/>
    <w:rsid w:val="00172A87"/>
    <w:rsid w:val="00180B3B"/>
    <w:rsid w:val="00184ABE"/>
    <w:rsid w:val="00190481"/>
    <w:rsid w:val="00195F95"/>
    <w:rsid w:val="0019654C"/>
    <w:rsid w:val="001A6C12"/>
    <w:rsid w:val="001B7D60"/>
    <w:rsid w:val="001C5368"/>
    <w:rsid w:val="001C5DFB"/>
    <w:rsid w:val="001C6C6B"/>
    <w:rsid w:val="001D30E1"/>
    <w:rsid w:val="00234C29"/>
    <w:rsid w:val="00240EB2"/>
    <w:rsid w:val="0025428B"/>
    <w:rsid w:val="00264F50"/>
    <w:rsid w:val="00266D6B"/>
    <w:rsid w:val="0027234E"/>
    <w:rsid w:val="00280157"/>
    <w:rsid w:val="0028592D"/>
    <w:rsid w:val="00286E90"/>
    <w:rsid w:val="002A098C"/>
    <w:rsid w:val="002B0EA2"/>
    <w:rsid w:val="002B3E25"/>
    <w:rsid w:val="002B4193"/>
    <w:rsid w:val="002B4E91"/>
    <w:rsid w:val="002C5C7C"/>
    <w:rsid w:val="002E2C2C"/>
    <w:rsid w:val="002E5017"/>
    <w:rsid w:val="002F24F5"/>
    <w:rsid w:val="002F7D94"/>
    <w:rsid w:val="00320A9B"/>
    <w:rsid w:val="00347275"/>
    <w:rsid w:val="0034733B"/>
    <w:rsid w:val="00350B89"/>
    <w:rsid w:val="00351506"/>
    <w:rsid w:val="0035524C"/>
    <w:rsid w:val="003875D2"/>
    <w:rsid w:val="003A44E1"/>
    <w:rsid w:val="003A79C9"/>
    <w:rsid w:val="003B0DCD"/>
    <w:rsid w:val="003B7589"/>
    <w:rsid w:val="003C37C0"/>
    <w:rsid w:val="003C393D"/>
    <w:rsid w:val="003C7553"/>
    <w:rsid w:val="003C77FB"/>
    <w:rsid w:val="003E37C8"/>
    <w:rsid w:val="003E454E"/>
    <w:rsid w:val="003E4F36"/>
    <w:rsid w:val="0040096A"/>
    <w:rsid w:val="00403830"/>
    <w:rsid w:val="00410843"/>
    <w:rsid w:val="00420690"/>
    <w:rsid w:val="0043025F"/>
    <w:rsid w:val="004326A8"/>
    <w:rsid w:val="00434E15"/>
    <w:rsid w:val="00434F9E"/>
    <w:rsid w:val="00435DE5"/>
    <w:rsid w:val="004364A6"/>
    <w:rsid w:val="004368BE"/>
    <w:rsid w:val="00444795"/>
    <w:rsid w:val="00454731"/>
    <w:rsid w:val="004702FF"/>
    <w:rsid w:val="004710E0"/>
    <w:rsid w:val="00487299"/>
    <w:rsid w:val="004875F1"/>
    <w:rsid w:val="00493AAB"/>
    <w:rsid w:val="004954DB"/>
    <w:rsid w:val="004A3DC7"/>
    <w:rsid w:val="004A6C90"/>
    <w:rsid w:val="004A6CC2"/>
    <w:rsid w:val="004A7490"/>
    <w:rsid w:val="004C6397"/>
    <w:rsid w:val="004D754A"/>
    <w:rsid w:val="004E2E82"/>
    <w:rsid w:val="004F56BB"/>
    <w:rsid w:val="00503C41"/>
    <w:rsid w:val="00522CC6"/>
    <w:rsid w:val="005271A8"/>
    <w:rsid w:val="00537823"/>
    <w:rsid w:val="005420F9"/>
    <w:rsid w:val="00545D6B"/>
    <w:rsid w:val="005707FC"/>
    <w:rsid w:val="00572846"/>
    <w:rsid w:val="00573DEB"/>
    <w:rsid w:val="005813D3"/>
    <w:rsid w:val="0058536E"/>
    <w:rsid w:val="005905F2"/>
    <w:rsid w:val="005A3712"/>
    <w:rsid w:val="005A500F"/>
    <w:rsid w:val="005B5DE0"/>
    <w:rsid w:val="005D617E"/>
    <w:rsid w:val="005E0BC0"/>
    <w:rsid w:val="005F0A92"/>
    <w:rsid w:val="005F4A54"/>
    <w:rsid w:val="00603BD3"/>
    <w:rsid w:val="00606A8E"/>
    <w:rsid w:val="00607389"/>
    <w:rsid w:val="00617CF2"/>
    <w:rsid w:val="00634D2D"/>
    <w:rsid w:val="0064182C"/>
    <w:rsid w:val="00643429"/>
    <w:rsid w:val="00646541"/>
    <w:rsid w:val="00647941"/>
    <w:rsid w:val="0065685C"/>
    <w:rsid w:val="00663E3A"/>
    <w:rsid w:val="00670481"/>
    <w:rsid w:val="006715A8"/>
    <w:rsid w:val="00676DFB"/>
    <w:rsid w:val="00680F96"/>
    <w:rsid w:val="00692391"/>
    <w:rsid w:val="006943BE"/>
    <w:rsid w:val="006967CF"/>
    <w:rsid w:val="006A38BE"/>
    <w:rsid w:val="006B51E1"/>
    <w:rsid w:val="006C7436"/>
    <w:rsid w:val="006D1B6D"/>
    <w:rsid w:val="006E2BB2"/>
    <w:rsid w:val="006F0E40"/>
    <w:rsid w:val="00711A44"/>
    <w:rsid w:val="00712D34"/>
    <w:rsid w:val="00715165"/>
    <w:rsid w:val="0071568B"/>
    <w:rsid w:val="00720360"/>
    <w:rsid w:val="00732E57"/>
    <w:rsid w:val="00747B88"/>
    <w:rsid w:val="00750ED8"/>
    <w:rsid w:val="00761D8C"/>
    <w:rsid w:val="007635ED"/>
    <w:rsid w:val="0077436C"/>
    <w:rsid w:val="00780F29"/>
    <w:rsid w:val="00783DF6"/>
    <w:rsid w:val="0078494D"/>
    <w:rsid w:val="007864B6"/>
    <w:rsid w:val="00793EE1"/>
    <w:rsid w:val="007960AE"/>
    <w:rsid w:val="0079639E"/>
    <w:rsid w:val="007B0EB9"/>
    <w:rsid w:val="007C7591"/>
    <w:rsid w:val="007D0FCA"/>
    <w:rsid w:val="007D5B2C"/>
    <w:rsid w:val="007E4333"/>
    <w:rsid w:val="0081772E"/>
    <w:rsid w:val="00821E46"/>
    <w:rsid w:val="00824760"/>
    <w:rsid w:val="0083448C"/>
    <w:rsid w:val="00834AE5"/>
    <w:rsid w:val="0083760A"/>
    <w:rsid w:val="00842CE0"/>
    <w:rsid w:val="008452EA"/>
    <w:rsid w:val="008614AA"/>
    <w:rsid w:val="0086182A"/>
    <w:rsid w:val="00867099"/>
    <w:rsid w:val="008751CE"/>
    <w:rsid w:val="00876441"/>
    <w:rsid w:val="008839E1"/>
    <w:rsid w:val="00892170"/>
    <w:rsid w:val="0089485A"/>
    <w:rsid w:val="008A79F6"/>
    <w:rsid w:val="008A7E4E"/>
    <w:rsid w:val="008B4487"/>
    <w:rsid w:val="008C574B"/>
    <w:rsid w:val="008D26FA"/>
    <w:rsid w:val="008D6326"/>
    <w:rsid w:val="008D74CF"/>
    <w:rsid w:val="008E02B1"/>
    <w:rsid w:val="008E317D"/>
    <w:rsid w:val="008F0C30"/>
    <w:rsid w:val="009000AC"/>
    <w:rsid w:val="00904BA3"/>
    <w:rsid w:val="00923372"/>
    <w:rsid w:val="00923B21"/>
    <w:rsid w:val="00930AEA"/>
    <w:rsid w:val="0093478D"/>
    <w:rsid w:val="0094074F"/>
    <w:rsid w:val="00952CA1"/>
    <w:rsid w:val="0095389D"/>
    <w:rsid w:val="0095614E"/>
    <w:rsid w:val="00965247"/>
    <w:rsid w:val="009862D3"/>
    <w:rsid w:val="00987A71"/>
    <w:rsid w:val="009974C3"/>
    <w:rsid w:val="009A55D8"/>
    <w:rsid w:val="009B1F67"/>
    <w:rsid w:val="009C358A"/>
    <w:rsid w:val="009C3919"/>
    <w:rsid w:val="009C66FF"/>
    <w:rsid w:val="009D3E33"/>
    <w:rsid w:val="009E1017"/>
    <w:rsid w:val="009E4AB2"/>
    <w:rsid w:val="00A078F7"/>
    <w:rsid w:val="00A12737"/>
    <w:rsid w:val="00A22E59"/>
    <w:rsid w:val="00A262A9"/>
    <w:rsid w:val="00A27908"/>
    <w:rsid w:val="00A31431"/>
    <w:rsid w:val="00A32381"/>
    <w:rsid w:val="00A331F7"/>
    <w:rsid w:val="00A35F5C"/>
    <w:rsid w:val="00A50D9D"/>
    <w:rsid w:val="00A56DC9"/>
    <w:rsid w:val="00A82D0C"/>
    <w:rsid w:val="00A90EF1"/>
    <w:rsid w:val="00AA1A89"/>
    <w:rsid w:val="00AA4E55"/>
    <w:rsid w:val="00AA73D2"/>
    <w:rsid w:val="00AA7E29"/>
    <w:rsid w:val="00AB6A66"/>
    <w:rsid w:val="00AD41B5"/>
    <w:rsid w:val="00AD4A6D"/>
    <w:rsid w:val="00AD5A03"/>
    <w:rsid w:val="00AD7A88"/>
    <w:rsid w:val="00AE16AF"/>
    <w:rsid w:val="00AF40F3"/>
    <w:rsid w:val="00B03EC4"/>
    <w:rsid w:val="00B064C5"/>
    <w:rsid w:val="00B12E09"/>
    <w:rsid w:val="00B2495B"/>
    <w:rsid w:val="00B26D04"/>
    <w:rsid w:val="00B37D31"/>
    <w:rsid w:val="00B439F5"/>
    <w:rsid w:val="00B5255E"/>
    <w:rsid w:val="00B52CD1"/>
    <w:rsid w:val="00B629B4"/>
    <w:rsid w:val="00B64267"/>
    <w:rsid w:val="00B66A37"/>
    <w:rsid w:val="00B87815"/>
    <w:rsid w:val="00B901E1"/>
    <w:rsid w:val="00B975E3"/>
    <w:rsid w:val="00BA424A"/>
    <w:rsid w:val="00BA77D8"/>
    <w:rsid w:val="00BB5D9A"/>
    <w:rsid w:val="00BC0BDB"/>
    <w:rsid w:val="00BE28AA"/>
    <w:rsid w:val="00BF256B"/>
    <w:rsid w:val="00BF5F91"/>
    <w:rsid w:val="00C04B7B"/>
    <w:rsid w:val="00C07196"/>
    <w:rsid w:val="00C26470"/>
    <w:rsid w:val="00C31BE3"/>
    <w:rsid w:val="00C40942"/>
    <w:rsid w:val="00C46BD0"/>
    <w:rsid w:val="00C47E53"/>
    <w:rsid w:val="00C76AB7"/>
    <w:rsid w:val="00CB56C8"/>
    <w:rsid w:val="00CC1709"/>
    <w:rsid w:val="00CD14FF"/>
    <w:rsid w:val="00CD6D84"/>
    <w:rsid w:val="00CE3CC6"/>
    <w:rsid w:val="00CF0BEF"/>
    <w:rsid w:val="00CF358F"/>
    <w:rsid w:val="00CF4202"/>
    <w:rsid w:val="00D03A84"/>
    <w:rsid w:val="00D13E4F"/>
    <w:rsid w:val="00D17521"/>
    <w:rsid w:val="00D232DB"/>
    <w:rsid w:val="00D259BB"/>
    <w:rsid w:val="00D2787D"/>
    <w:rsid w:val="00D3083C"/>
    <w:rsid w:val="00D51418"/>
    <w:rsid w:val="00D56568"/>
    <w:rsid w:val="00D6038D"/>
    <w:rsid w:val="00D61445"/>
    <w:rsid w:val="00D70FC2"/>
    <w:rsid w:val="00D771AB"/>
    <w:rsid w:val="00D81F74"/>
    <w:rsid w:val="00D8531A"/>
    <w:rsid w:val="00D857E0"/>
    <w:rsid w:val="00D87DCE"/>
    <w:rsid w:val="00DA1AF6"/>
    <w:rsid w:val="00DA7329"/>
    <w:rsid w:val="00DB7749"/>
    <w:rsid w:val="00DD15A0"/>
    <w:rsid w:val="00DD4DA2"/>
    <w:rsid w:val="00DE6F68"/>
    <w:rsid w:val="00DE7F92"/>
    <w:rsid w:val="00DF6E52"/>
    <w:rsid w:val="00E1468D"/>
    <w:rsid w:val="00E277B8"/>
    <w:rsid w:val="00E32EFC"/>
    <w:rsid w:val="00E3705B"/>
    <w:rsid w:val="00E403E1"/>
    <w:rsid w:val="00E60EF0"/>
    <w:rsid w:val="00E625E6"/>
    <w:rsid w:val="00E66EE3"/>
    <w:rsid w:val="00E71391"/>
    <w:rsid w:val="00E82C86"/>
    <w:rsid w:val="00E83809"/>
    <w:rsid w:val="00E86BFE"/>
    <w:rsid w:val="00E87B5F"/>
    <w:rsid w:val="00E95E12"/>
    <w:rsid w:val="00E9778B"/>
    <w:rsid w:val="00EA417A"/>
    <w:rsid w:val="00EA43E4"/>
    <w:rsid w:val="00EB009B"/>
    <w:rsid w:val="00EC288C"/>
    <w:rsid w:val="00ED75EF"/>
    <w:rsid w:val="00EE455B"/>
    <w:rsid w:val="00EE4BC3"/>
    <w:rsid w:val="00EF6DC8"/>
    <w:rsid w:val="00F06F11"/>
    <w:rsid w:val="00F1026E"/>
    <w:rsid w:val="00F10AA9"/>
    <w:rsid w:val="00F10D41"/>
    <w:rsid w:val="00F25DFC"/>
    <w:rsid w:val="00F353DC"/>
    <w:rsid w:val="00F43E2B"/>
    <w:rsid w:val="00F61E64"/>
    <w:rsid w:val="00F63BA6"/>
    <w:rsid w:val="00F64D0A"/>
    <w:rsid w:val="00F6578D"/>
    <w:rsid w:val="00F66682"/>
    <w:rsid w:val="00F66CF3"/>
    <w:rsid w:val="00F72EA7"/>
    <w:rsid w:val="00F96210"/>
    <w:rsid w:val="00FB1EEB"/>
    <w:rsid w:val="00FC60E3"/>
    <w:rsid w:val="00FE2AF8"/>
    <w:rsid w:val="00FE7DAF"/>
    <w:rsid w:val="00FF3D9A"/>
    <w:rsid w:val="01262244"/>
    <w:rsid w:val="01ACA9F8"/>
    <w:rsid w:val="0216E28D"/>
    <w:rsid w:val="0230A7BD"/>
    <w:rsid w:val="02327013"/>
    <w:rsid w:val="0270AD7A"/>
    <w:rsid w:val="0272089A"/>
    <w:rsid w:val="0273E487"/>
    <w:rsid w:val="027B9711"/>
    <w:rsid w:val="0309E076"/>
    <w:rsid w:val="030BCB7F"/>
    <w:rsid w:val="0345B965"/>
    <w:rsid w:val="0356F92E"/>
    <w:rsid w:val="03B2B2EE"/>
    <w:rsid w:val="04DC1F9F"/>
    <w:rsid w:val="05C74671"/>
    <w:rsid w:val="06177E3D"/>
    <w:rsid w:val="06646984"/>
    <w:rsid w:val="0676C9BA"/>
    <w:rsid w:val="06E3E912"/>
    <w:rsid w:val="0759D53E"/>
    <w:rsid w:val="077033DB"/>
    <w:rsid w:val="07B34E9E"/>
    <w:rsid w:val="094F1EFF"/>
    <w:rsid w:val="09BD8F92"/>
    <w:rsid w:val="0A1E50D1"/>
    <w:rsid w:val="0A8F7CA2"/>
    <w:rsid w:val="0B3216F7"/>
    <w:rsid w:val="0B8F00E9"/>
    <w:rsid w:val="0C15BDC3"/>
    <w:rsid w:val="0C58243A"/>
    <w:rsid w:val="0DE65AC9"/>
    <w:rsid w:val="0E56530C"/>
    <w:rsid w:val="0EAF8495"/>
    <w:rsid w:val="0EB30BAE"/>
    <w:rsid w:val="0EB728CB"/>
    <w:rsid w:val="0F2F4F46"/>
    <w:rsid w:val="0F6309ED"/>
    <w:rsid w:val="103FD346"/>
    <w:rsid w:val="109A8A50"/>
    <w:rsid w:val="10A8F17D"/>
    <w:rsid w:val="10F23891"/>
    <w:rsid w:val="12DBECD3"/>
    <w:rsid w:val="1417C372"/>
    <w:rsid w:val="1481F726"/>
    <w:rsid w:val="14E93E3E"/>
    <w:rsid w:val="14F8AD03"/>
    <w:rsid w:val="152A1834"/>
    <w:rsid w:val="152EBAB0"/>
    <w:rsid w:val="16A689C8"/>
    <w:rsid w:val="17215C4B"/>
    <w:rsid w:val="17952A95"/>
    <w:rsid w:val="18F4AF1E"/>
    <w:rsid w:val="1930CFC8"/>
    <w:rsid w:val="1938E781"/>
    <w:rsid w:val="197B8237"/>
    <w:rsid w:val="19F2F61F"/>
    <w:rsid w:val="1A3DBE0D"/>
    <w:rsid w:val="1A72FD00"/>
    <w:rsid w:val="1A907F7F"/>
    <w:rsid w:val="1B487BD3"/>
    <w:rsid w:val="1BA5EF42"/>
    <w:rsid w:val="1BB0E24E"/>
    <w:rsid w:val="1BB13586"/>
    <w:rsid w:val="1BD10C78"/>
    <w:rsid w:val="1C22D557"/>
    <w:rsid w:val="1C26A5AE"/>
    <w:rsid w:val="1CB3C9B0"/>
    <w:rsid w:val="1D4CB2AF"/>
    <w:rsid w:val="1E5BA9DB"/>
    <w:rsid w:val="1E63538E"/>
    <w:rsid w:val="1F53F331"/>
    <w:rsid w:val="1F82F873"/>
    <w:rsid w:val="20282846"/>
    <w:rsid w:val="20932C4B"/>
    <w:rsid w:val="2104341E"/>
    <w:rsid w:val="221333CB"/>
    <w:rsid w:val="221C53BD"/>
    <w:rsid w:val="2248CFF2"/>
    <w:rsid w:val="225E6858"/>
    <w:rsid w:val="229216DB"/>
    <w:rsid w:val="22DB7755"/>
    <w:rsid w:val="22E6FB49"/>
    <w:rsid w:val="236D93EA"/>
    <w:rsid w:val="23D9B327"/>
    <w:rsid w:val="25353895"/>
    <w:rsid w:val="25C48E06"/>
    <w:rsid w:val="269C3ABA"/>
    <w:rsid w:val="270B3D11"/>
    <w:rsid w:val="27459054"/>
    <w:rsid w:val="275CBECC"/>
    <w:rsid w:val="2760BB87"/>
    <w:rsid w:val="27883433"/>
    <w:rsid w:val="2793E497"/>
    <w:rsid w:val="2879CA2F"/>
    <w:rsid w:val="2882FB40"/>
    <w:rsid w:val="28A1086B"/>
    <w:rsid w:val="2908A615"/>
    <w:rsid w:val="2A05E52F"/>
    <w:rsid w:val="2A22DF6D"/>
    <w:rsid w:val="2A9D4A8F"/>
    <w:rsid w:val="2AC968F9"/>
    <w:rsid w:val="2AF2C932"/>
    <w:rsid w:val="2B029364"/>
    <w:rsid w:val="2BB76B08"/>
    <w:rsid w:val="2BD689DB"/>
    <w:rsid w:val="2BF84356"/>
    <w:rsid w:val="2C2503A6"/>
    <w:rsid w:val="2C40E6A7"/>
    <w:rsid w:val="2CFEA05E"/>
    <w:rsid w:val="2D99B84F"/>
    <w:rsid w:val="2D9AAB5C"/>
    <w:rsid w:val="2DE2CEE3"/>
    <w:rsid w:val="2E7D4C3C"/>
    <w:rsid w:val="2E8E0C58"/>
    <w:rsid w:val="2F788769"/>
    <w:rsid w:val="2F91074C"/>
    <w:rsid w:val="303F55C7"/>
    <w:rsid w:val="304CF44D"/>
    <w:rsid w:val="3069E8CC"/>
    <w:rsid w:val="308C5662"/>
    <w:rsid w:val="3098E765"/>
    <w:rsid w:val="3140B929"/>
    <w:rsid w:val="31D2FCE4"/>
    <w:rsid w:val="31D72AF8"/>
    <w:rsid w:val="3204BA2A"/>
    <w:rsid w:val="320E1ADB"/>
    <w:rsid w:val="32242675"/>
    <w:rsid w:val="3294452A"/>
    <w:rsid w:val="32A5AF6C"/>
    <w:rsid w:val="34244D61"/>
    <w:rsid w:val="342EBC1F"/>
    <w:rsid w:val="34453F65"/>
    <w:rsid w:val="348A96C5"/>
    <w:rsid w:val="353C5AEC"/>
    <w:rsid w:val="35B2BD8F"/>
    <w:rsid w:val="362FA28F"/>
    <w:rsid w:val="36BA75FD"/>
    <w:rsid w:val="37003C5E"/>
    <w:rsid w:val="3708C061"/>
    <w:rsid w:val="371E0538"/>
    <w:rsid w:val="376C33A9"/>
    <w:rsid w:val="37A67AD1"/>
    <w:rsid w:val="37FD42D8"/>
    <w:rsid w:val="380100B0"/>
    <w:rsid w:val="385AEDE2"/>
    <w:rsid w:val="38D4F370"/>
    <w:rsid w:val="393714DE"/>
    <w:rsid w:val="395B7C88"/>
    <w:rsid w:val="3989AFDF"/>
    <w:rsid w:val="3A2AF2E2"/>
    <w:rsid w:val="3A37DD20"/>
    <w:rsid w:val="3ACA940D"/>
    <w:rsid w:val="3AD8C390"/>
    <w:rsid w:val="3B1F4EF3"/>
    <w:rsid w:val="3BB18B4D"/>
    <w:rsid w:val="3BF49B2B"/>
    <w:rsid w:val="3C0C7594"/>
    <w:rsid w:val="3C21FF13"/>
    <w:rsid w:val="3C825403"/>
    <w:rsid w:val="3CB4D41E"/>
    <w:rsid w:val="3CE78CB8"/>
    <w:rsid w:val="3D248DEA"/>
    <w:rsid w:val="3D2DF24C"/>
    <w:rsid w:val="3D3AB23A"/>
    <w:rsid w:val="3D54E60A"/>
    <w:rsid w:val="3D6F7DE2"/>
    <w:rsid w:val="3DB83BD3"/>
    <w:rsid w:val="3DCDCFA6"/>
    <w:rsid w:val="3E82575B"/>
    <w:rsid w:val="3F22C405"/>
    <w:rsid w:val="3F344BC6"/>
    <w:rsid w:val="413AAF5E"/>
    <w:rsid w:val="4185E557"/>
    <w:rsid w:val="41DF0564"/>
    <w:rsid w:val="41FBDE5F"/>
    <w:rsid w:val="42E3D575"/>
    <w:rsid w:val="43F05422"/>
    <w:rsid w:val="446CA87B"/>
    <w:rsid w:val="448D0B68"/>
    <w:rsid w:val="44B213FC"/>
    <w:rsid w:val="450513B2"/>
    <w:rsid w:val="4528AEF6"/>
    <w:rsid w:val="460458B9"/>
    <w:rsid w:val="464FAC49"/>
    <w:rsid w:val="470259F1"/>
    <w:rsid w:val="479E1E3B"/>
    <w:rsid w:val="48349FDB"/>
    <w:rsid w:val="485874AD"/>
    <w:rsid w:val="4954D7F5"/>
    <w:rsid w:val="49EF55B9"/>
    <w:rsid w:val="4A21A63D"/>
    <w:rsid w:val="4AEC9B88"/>
    <w:rsid w:val="4B88127F"/>
    <w:rsid w:val="4C0B0D92"/>
    <w:rsid w:val="4C0CB277"/>
    <w:rsid w:val="4C3940E9"/>
    <w:rsid w:val="4C798B40"/>
    <w:rsid w:val="4C9D59D3"/>
    <w:rsid w:val="4D69B43B"/>
    <w:rsid w:val="4D73AB6C"/>
    <w:rsid w:val="4DE7AB48"/>
    <w:rsid w:val="4EE39932"/>
    <w:rsid w:val="4EEE61E2"/>
    <w:rsid w:val="4F2124BA"/>
    <w:rsid w:val="4F537D37"/>
    <w:rsid w:val="4F971DC2"/>
    <w:rsid w:val="4FD3FB92"/>
    <w:rsid w:val="51472AC7"/>
    <w:rsid w:val="516FCBF3"/>
    <w:rsid w:val="52021197"/>
    <w:rsid w:val="5214DD50"/>
    <w:rsid w:val="53146659"/>
    <w:rsid w:val="532C4227"/>
    <w:rsid w:val="53B70A55"/>
    <w:rsid w:val="53CEB584"/>
    <w:rsid w:val="541D28A7"/>
    <w:rsid w:val="545CD0C4"/>
    <w:rsid w:val="545E56B1"/>
    <w:rsid w:val="54A76CB5"/>
    <w:rsid w:val="54CD7CAF"/>
    <w:rsid w:val="54D47D97"/>
    <w:rsid w:val="557F78BA"/>
    <w:rsid w:val="55EAD940"/>
    <w:rsid w:val="56359DB2"/>
    <w:rsid w:val="56433D16"/>
    <w:rsid w:val="56FE0514"/>
    <w:rsid w:val="57A28168"/>
    <w:rsid w:val="57CA4DC9"/>
    <w:rsid w:val="58280C32"/>
    <w:rsid w:val="58FCDED3"/>
    <w:rsid w:val="5A6CC5EF"/>
    <w:rsid w:val="5ACB35A8"/>
    <w:rsid w:val="5CD532D5"/>
    <w:rsid w:val="5E2CB05C"/>
    <w:rsid w:val="5E48B5E2"/>
    <w:rsid w:val="5EC09CF5"/>
    <w:rsid w:val="5FB3BF81"/>
    <w:rsid w:val="5FF30BE5"/>
    <w:rsid w:val="60233C76"/>
    <w:rsid w:val="60921149"/>
    <w:rsid w:val="60E5995B"/>
    <w:rsid w:val="612C65A6"/>
    <w:rsid w:val="616A1E5B"/>
    <w:rsid w:val="61F83DB7"/>
    <w:rsid w:val="6235BEE1"/>
    <w:rsid w:val="63A76F97"/>
    <w:rsid w:val="63A8E78E"/>
    <w:rsid w:val="63AA5CBE"/>
    <w:rsid w:val="63C76639"/>
    <w:rsid w:val="63D18F42"/>
    <w:rsid w:val="644D9752"/>
    <w:rsid w:val="64528307"/>
    <w:rsid w:val="64944EF8"/>
    <w:rsid w:val="64C62CED"/>
    <w:rsid w:val="66439916"/>
    <w:rsid w:val="666A186B"/>
    <w:rsid w:val="66895F77"/>
    <w:rsid w:val="6726321D"/>
    <w:rsid w:val="6765B2F4"/>
    <w:rsid w:val="67FD1EC7"/>
    <w:rsid w:val="680362B5"/>
    <w:rsid w:val="68A72AAB"/>
    <w:rsid w:val="68FD8FFF"/>
    <w:rsid w:val="6989277C"/>
    <w:rsid w:val="69D0708B"/>
    <w:rsid w:val="6ACFE2A2"/>
    <w:rsid w:val="6B05E699"/>
    <w:rsid w:val="6B2CC351"/>
    <w:rsid w:val="6B43A83D"/>
    <w:rsid w:val="6BCCC8DD"/>
    <w:rsid w:val="6C035CC9"/>
    <w:rsid w:val="6C629C2E"/>
    <w:rsid w:val="6C94B75A"/>
    <w:rsid w:val="6CDF789E"/>
    <w:rsid w:val="6D856941"/>
    <w:rsid w:val="6DEE5B07"/>
    <w:rsid w:val="6E2CECE9"/>
    <w:rsid w:val="6F6ED096"/>
    <w:rsid w:val="6F880C16"/>
    <w:rsid w:val="6FD28C96"/>
    <w:rsid w:val="6FF00752"/>
    <w:rsid w:val="701D0DBF"/>
    <w:rsid w:val="707F8CC9"/>
    <w:rsid w:val="710810F3"/>
    <w:rsid w:val="72088C7E"/>
    <w:rsid w:val="7223F565"/>
    <w:rsid w:val="7245A0AE"/>
    <w:rsid w:val="72593C5A"/>
    <w:rsid w:val="7281FB3B"/>
    <w:rsid w:val="7396A279"/>
    <w:rsid w:val="73E1CFE2"/>
    <w:rsid w:val="73E470D0"/>
    <w:rsid w:val="743A1860"/>
    <w:rsid w:val="74E06A10"/>
    <w:rsid w:val="75242E7A"/>
    <w:rsid w:val="75A8B5C6"/>
    <w:rsid w:val="75C3536B"/>
    <w:rsid w:val="75CAD165"/>
    <w:rsid w:val="75F0733B"/>
    <w:rsid w:val="772271A4"/>
    <w:rsid w:val="772C6B58"/>
    <w:rsid w:val="77E45EFF"/>
    <w:rsid w:val="77FB0A8F"/>
    <w:rsid w:val="782D8AAA"/>
    <w:rsid w:val="7885908B"/>
    <w:rsid w:val="79310DAE"/>
    <w:rsid w:val="7953FC6A"/>
    <w:rsid w:val="7A89AD88"/>
    <w:rsid w:val="7AAE547D"/>
    <w:rsid w:val="7AB69756"/>
    <w:rsid w:val="7B7ED20B"/>
    <w:rsid w:val="7BDC965E"/>
    <w:rsid w:val="7C57099F"/>
    <w:rsid w:val="7C66B3A8"/>
    <w:rsid w:val="7C6B1316"/>
    <w:rsid w:val="7CB7C38D"/>
    <w:rsid w:val="7CF062C9"/>
    <w:rsid w:val="7D111A51"/>
    <w:rsid w:val="7D86FEB9"/>
    <w:rsid w:val="7D9682D8"/>
    <w:rsid w:val="7E5F06DF"/>
    <w:rsid w:val="7FD38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5EF42"/>
  <w15:chartTrackingRefBased/>
  <w15:docId w15:val="{9A11DFD4-FB69-4C15-960D-8D56B6993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02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28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B228E"/>
    <w:rPr>
      <w:rFonts w:eastAsiaTheme="minorEastAsia"/>
      <w:lang w:eastAsia="en-GB"/>
    </w:rPr>
  </w:style>
  <w:style w:type="character" w:customStyle="1" w:styleId="Heading1Char">
    <w:name w:val="Heading 1 Char"/>
    <w:basedOn w:val="DefaultParagraphFont"/>
    <w:link w:val="Heading1"/>
    <w:uiPriority w:val="9"/>
    <w:rsid w:val="008E02B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B66A3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F4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72EA7"/>
    <w:rPr>
      <w:color w:val="605E5C"/>
      <w:shd w:val="clear" w:color="auto" w:fill="E1DFDD"/>
    </w:rPr>
  </w:style>
  <w:style w:type="paragraph" w:styleId="TOCHeading">
    <w:name w:val="TOC Heading"/>
    <w:basedOn w:val="Heading1"/>
    <w:next w:val="Normal"/>
    <w:uiPriority w:val="39"/>
    <w:unhideWhenUsed/>
    <w:qFormat/>
    <w:rsid w:val="00A50D9D"/>
    <w:pPr>
      <w:outlineLvl w:val="9"/>
    </w:pPr>
    <w:rPr>
      <w:lang w:eastAsia="en-GB"/>
    </w:rPr>
  </w:style>
  <w:style w:type="paragraph" w:styleId="TOC1">
    <w:name w:val="toc 1"/>
    <w:basedOn w:val="Normal"/>
    <w:next w:val="Normal"/>
    <w:autoRedefine/>
    <w:uiPriority w:val="39"/>
    <w:unhideWhenUsed/>
    <w:rsid w:val="00A50D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541634">
      <w:bodyDiv w:val="1"/>
      <w:marLeft w:val="0"/>
      <w:marRight w:val="0"/>
      <w:marTop w:val="0"/>
      <w:marBottom w:val="0"/>
      <w:divBdr>
        <w:top w:val="none" w:sz="0" w:space="0" w:color="auto"/>
        <w:left w:val="none" w:sz="0" w:space="0" w:color="auto"/>
        <w:bottom w:val="none" w:sz="0" w:space="0" w:color="auto"/>
        <w:right w:val="none" w:sz="0" w:space="0" w:color="auto"/>
      </w:divBdr>
      <w:divsChild>
        <w:div w:id="2077318978">
          <w:marLeft w:val="0"/>
          <w:marRight w:val="0"/>
          <w:marTop w:val="0"/>
          <w:marBottom w:val="0"/>
          <w:divBdr>
            <w:top w:val="none" w:sz="0" w:space="0" w:color="auto"/>
            <w:left w:val="none" w:sz="0" w:space="0" w:color="auto"/>
            <w:bottom w:val="none" w:sz="0" w:space="0" w:color="auto"/>
            <w:right w:val="none" w:sz="0" w:space="0" w:color="auto"/>
          </w:divBdr>
        </w:div>
      </w:divsChild>
    </w:div>
    <w:div w:id="377825702">
      <w:bodyDiv w:val="1"/>
      <w:marLeft w:val="0"/>
      <w:marRight w:val="0"/>
      <w:marTop w:val="0"/>
      <w:marBottom w:val="0"/>
      <w:divBdr>
        <w:top w:val="none" w:sz="0" w:space="0" w:color="auto"/>
        <w:left w:val="none" w:sz="0" w:space="0" w:color="auto"/>
        <w:bottom w:val="none" w:sz="0" w:space="0" w:color="auto"/>
        <w:right w:val="none" w:sz="0" w:space="0" w:color="auto"/>
      </w:divBdr>
      <w:divsChild>
        <w:div w:id="2130203578">
          <w:marLeft w:val="0"/>
          <w:marRight w:val="0"/>
          <w:marTop w:val="0"/>
          <w:marBottom w:val="0"/>
          <w:divBdr>
            <w:top w:val="none" w:sz="0" w:space="0" w:color="auto"/>
            <w:left w:val="none" w:sz="0" w:space="0" w:color="auto"/>
            <w:bottom w:val="none" w:sz="0" w:space="0" w:color="auto"/>
            <w:right w:val="none" w:sz="0" w:space="0" w:color="auto"/>
          </w:divBdr>
        </w:div>
      </w:divsChild>
    </w:div>
    <w:div w:id="422847212">
      <w:bodyDiv w:val="1"/>
      <w:marLeft w:val="0"/>
      <w:marRight w:val="0"/>
      <w:marTop w:val="0"/>
      <w:marBottom w:val="0"/>
      <w:divBdr>
        <w:top w:val="none" w:sz="0" w:space="0" w:color="auto"/>
        <w:left w:val="none" w:sz="0" w:space="0" w:color="auto"/>
        <w:bottom w:val="none" w:sz="0" w:space="0" w:color="auto"/>
        <w:right w:val="none" w:sz="0" w:space="0" w:color="auto"/>
      </w:divBdr>
      <w:divsChild>
        <w:div w:id="1639605869">
          <w:marLeft w:val="0"/>
          <w:marRight w:val="0"/>
          <w:marTop w:val="0"/>
          <w:marBottom w:val="0"/>
          <w:divBdr>
            <w:top w:val="none" w:sz="0" w:space="0" w:color="auto"/>
            <w:left w:val="none" w:sz="0" w:space="0" w:color="auto"/>
            <w:bottom w:val="none" w:sz="0" w:space="0" w:color="auto"/>
            <w:right w:val="none" w:sz="0" w:space="0" w:color="auto"/>
          </w:divBdr>
        </w:div>
      </w:divsChild>
    </w:div>
    <w:div w:id="521668742">
      <w:bodyDiv w:val="1"/>
      <w:marLeft w:val="0"/>
      <w:marRight w:val="0"/>
      <w:marTop w:val="0"/>
      <w:marBottom w:val="0"/>
      <w:divBdr>
        <w:top w:val="none" w:sz="0" w:space="0" w:color="auto"/>
        <w:left w:val="none" w:sz="0" w:space="0" w:color="auto"/>
        <w:bottom w:val="none" w:sz="0" w:space="0" w:color="auto"/>
        <w:right w:val="none" w:sz="0" w:space="0" w:color="auto"/>
      </w:divBdr>
      <w:divsChild>
        <w:div w:id="1153764944">
          <w:marLeft w:val="0"/>
          <w:marRight w:val="0"/>
          <w:marTop w:val="0"/>
          <w:marBottom w:val="0"/>
          <w:divBdr>
            <w:top w:val="none" w:sz="0" w:space="0" w:color="auto"/>
            <w:left w:val="none" w:sz="0" w:space="0" w:color="auto"/>
            <w:bottom w:val="none" w:sz="0" w:space="0" w:color="auto"/>
            <w:right w:val="none" w:sz="0" w:space="0" w:color="auto"/>
          </w:divBdr>
        </w:div>
      </w:divsChild>
    </w:div>
    <w:div w:id="547304991">
      <w:bodyDiv w:val="1"/>
      <w:marLeft w:val="0"/>
      <w:marRight w:val="0"/>
      <w:marTop w:val="0"/>
      <w:marBottom w:val="0"/>
      <w:divBdr>
        <w:top w:val="none" w:sz="0" w:space="0" w:color="auto"/>
        <w:left w:val="none" w:sz="0" w:space="0" w:color="auto"/>
        <w:bottom w:val="none" w:sz="0" w:space="0" w:color="auto"/>
        <w:right w:val="none" w:sz="0" w:space="0" w:color="auto"/>
      </w:divBdr>
      <w:divsChild>
        <w:div w:id="1777557825">
          <w:marLeft w:val="0"/>
          <w:marRight w:val="0"/>
          <w:marTop w:val="0"/>
          <w:marBottom w:val="0"/>
          <w:divBdr>
            <w:top w:val="none" w:sz="0" w:space="0" w:color="auto"/>
            <w:left w:val="none" w:sz="0" w:space="0" w:color="auto"/>
            <w:bottom w:val="none" w:sz="0" w:space="0" w:color="auto"/>
            <w:right w:val="none" w:sz="0" w:space="0" w:color="auto"/>
          </w:divBdr>
        </w:div>
      </w:divsChild>
    </w:div>
    <w:div w:id="656494706">
      <w:bodyDiv w:val="1"/>
      <w:marLeft w:val="0"/>
      <w:marRight w:val="0"/>
      <w:marTop w:val="0"/>
      <w:marBottom w:val="0"/>
      <w:divBdr>
        <w:top w:val="none" w:sz="0" w:space="0" w:color="auto"/>
        <w:left w:val="none" w:sz="0" w:space="0" w:color="auto"/>
        <w:bottom w:val="none" w:sz="0" w:space="0" w:color="auto"/>
        <w:right w:val="none" w:sz="0" w:space="0" w:color="auto"/>
      </w:divBdr>
      <w:divsChild>
        <w:div w:id="164981251">
          <w:marLeft w:val="0"/>
          <w:marRight w:val="0"/>
          <w:marTop w:val="0"/>
          <w:marBottom w:val="0"/>
          <w:divBdr>
            <w:top w:val="none" w:sz="0" w:space="0" w:color="auto"/>
            <w:left w:val="none" w:sz="0" w:space="0" w:color="auto"/>
            <w:bottom w:val="none" w:sz="0" w:space="0" w:color="auto"/>
            <w:right w:val="none" w:sz="0" w:space="0" w:color="auto"/>
          </w:divBdr>
        </w:div>
      </w:divsChild>
    </w:div>
    <w:div w:id="734548397">
      <w:bodyDiv w:val="1"/>
      <w:marLeft w:val="0"/>
      <w:marRight w:val="0"/>
      <w:marTop w:val="0"/>
      <w:marBottom w:val="0"/>
      <w:divBdr>
        <w:top w:val="none" w:sz="0" w:space="0" w:color="auto"/>
        <w:left w:val="none" w:sz="0" w:space="0" w:color="auto"/>
        <w:bottom w:val="none" w:sz="0" w:space="0" w:color="auto"/>
        <w:right w:val="none" w:sz="0" w:space="0" w:color="auto"/>
      </w:divBdr>
      <w:divsChild>
        <w:div w:id="1105468152">
          <w:marLeft w:val="0"/>
          <w:marRight w:val="0"/>
          <w:marTop w:val="0"/>
          <w:marBottom w:val="0"/>
          <w:divBdr>
            <w:top w:val="none" w:sz="0" w:space="0" w:color="auto"/>
            <w:left w:val="none" w:sz="0" w:space="0" w:color="auto"/>
            <w:bottom w:val="none" w:sz="0" w:space="0" w:color="auto"/>
            <w:right w:val="none" w:sz="0" w:space="0" w:color="auto"/>
          </w:divBdr>
        </w:div>
      </w:divsChild>
    </w:div>
    <w:div w:id="810292766">
      <w:bodyDiv w:val="1"/>
      <w:marLeft w:val="0"/>
      <w:marRight w:val="0"/>
      <w:marTop w:val="0"/>
      <w:marBottom w:val="0"/>
      <w:divBdr>
        <w:top w:val="none" w:sz="0" w:space="0" w:color="auto"/>
        <w:left w:val="none" w:sz="0" w:space="0" w:color="auto"/>
        <w:bottom w:val="none" w:sz="0" w:space="0" w:color="auto"/>
        <w:right w:val="none" w:sz="0" w:space="0" w:color="auto"/>
      </w:divBdr>
      <w:divsChild>
        <w:div w:id="1902476238">
          <w:marLeft w:val="0"/>
          <w:marRight w:val="0"/>
          <w:marTop w:val="0"/>
          <w:marBottom w:val="0"/>
          <w:divBdr>
            <w:top w:val="none" w:sz="0" w:space="0" w:color="auto"/>
            <w:left w:val="none" w:sz="0" w:space="0" w:color="auto"/>
            <w:bottom w:val="none" w:sz="0" w:space="0" w:color="auto"/>
            <w:right w:val="none" w:sz="0" w:space="0" w:color="auto"/>
          </w:divBdr>
        </w:div>
      </w:divsChild>
    </w:div>
    <w:div w:id="820387010">
      <w:bodyDiv w:val="1"/>
      <w:marLeft w:val="0"/>
      <w:marRight w:val="0"/>
      <w:marTop w:val="0"/>
      <w:marBottom w:val="0"/>
      <w:divBdr>
        <w:top w:val="none" w:sz="0" w:space="0" w:color="auto"/>
        <w:left w:val="none" w:sz="0" w:space="0" w:color="auto"/>
        <w:bottom w:val="none" w:sz="0" w:space="0" w:color="auto"/>
        <w:right w:val="none" w:sz="0" w:space="0" w:color="auto"/>
      </w:divBdr>
      <w:divsChild>
        <w:div w:id="131874978">
          <w:marLeft w:val="0"/>
          <w:marRight w:val="0"/>
          <w:marTop w:val="0"/>
          <w:marBottom w:val="0"/>
          <w:divBdr>
            <w:top w:val="none" w:sz="0" w:space="0" w:color="auto"/>
            <w:left w:val="none" w:sz="0" w:space="0" w:color="auto"/>
            <w:bottom w:val="none" w:sz="0" w:space="0" w:color="auto"/>
            <w:right w:val="none" w:sz="0" w:space="0" w:color="auto"/>
          </w:divBdr>
        </w:div>
      </w:divsChild>
    </w:div>
    <w:div w:id="859126115">
      <w:bodyDiv w:val="1"/>
      <w:marLeft w:val="0"/>
      <w:marRight w:val="0"/>
      <w:marTop w:val="0"/>
      <w:marBottom w:val="0"/>
      <w:divBdr>
        <w:top w:val="none" w:sz="0" w:space="0" w:color="auto"/>
        <w:left w:val="none" w:sz="0" w:space="0" w:color="auto"/>
        <w:bottom w:val="none" w:sz="0" w:space="0" w:color="auto"/>
        <w:right w:val="none" w:sz="0" w:space="0" w:color="auto"/>
      </w:divBdr>
    </w:div>
    <w:div w:id="890923735">
      <w:bodyDiv w:val="1"/>
      <w:marLeft w:val="0"/>
      <w:marRight w:val="0"/>
      <w:marTop w:val="0"/>
      <w:marBottom w:val="0"/>
      <w:divBdr>
        <w:top w:val="none" w:sz="0" w:space="0" w:color="auto"/>
        <w:left w:val="none" w:sz="0" w:space="0" w:color="auto"/>
        <w:bottom w:val="none" w:sz="0" w:space="0" w:color="auto"/>
        <w:right w:val="none" w:sz="0" w:space="0" w:color="auto"/>
      </w:divBdr>
      <w:divsChild>
        <w:div w:id="670255200">
          <w:marLeft w:val="0"/>
          <w:marRight w:val="0"/>
          <w:marTop w:val="0"/>
          <w:marBottom w:val="0"/>
          <w:divBdr>
            <w:top w:val="none" w:sz="0" w:space="0" w:color="auto"/>
            <w:left w:val="none" w:sz="0" w:space="0" w:color="auto"/>
            <w:bottom w:val="none" w:sz="0" w:space="0" w:color="auto"/>
            <w:right w:val="none" w:sz="0" w:space="0" w:color="auto"/>
          </w:divBdr>
        </w:div>
      </w:divsChild>
    </w:div>
    <w:div w:id="910775453">
      <w:bodyDiv w:val="1"/>
      <w:marLeft w:val="0"/>
      <w:marRight w:val="0"/>
      <w:marTop w:val="0"/>
      <w:marBottom w:val="0"/>
      <w:divBdr>
        <w:top w:val="none" w:sz="0" w:space="0" w:color="auto"/>
        <w:left w:val="none" w:sz="0" w:space="0" w:color="auto"/>
        <w:bottom w:val="none" w:sz="0" w:space="0" w:color="auto"/>
        <w:right w:val="none" w:sz="0" w:space="0" w:color="auto"/>
      </w:divBdr>
    </w:div>
    <w:div w:id="991444141">
      <w:bodyDiv w:val="1"/>
      <w:marLeft w:val="0"/>
      <w:marRight w:val="0"/>
      <w:marTop w:val="0"/>
      <w:marBottom w:val="0"/>
      <w:divBdr>
        <w:top w:val="none" w:sz="0" w:space="0" w:color="auto"/>
        <w:left w:val="none" w:sz="0" w:space="0" w:color="auto"/>
        <w:bottom w:val="none" w:sz="0" w:space="0" w:color="auto"/>
        <w:right w:val="none" w:sz="0" w:space="0" w:color="auto"/>
      </w:divBdr>
      <w:divsChild>
        <w:div w:id="1121845386">
          <w:marLeft w:val="0"/>
          <w:marRight w:val="0"/>
          <w:marTop w:val="0"/>
          <w:marBottom w:val="0"/>
          <w:divBdr>
            <w:top w:val="none" w:sz="0" w:space="0" w:color="auto"/>
            <w:left w:val="none" w:sz="0" w:space="0" w:color="auto"/>
            <w:bottom w:val="none" w:sz="0" w:space="0" w:color="auto"/>
            <w:right w:val="none" w:sz="0" w:space="0" w:color="auto"/>
          </w:divBdr>
        </w:div>
      </w:divsChild>
    </w:div>
    <w:div w:id="1015233049">
      <w:bodyDiv w:val="1"/>
      <w:marLeft w:val="0"/>
      <w:marRight w:val="0"/>
      <w:marTop w:val="0"/>
      <w:marBottom w:val="0"/>
      <w:divBdr>
        <w:top w:val="none" w:sz="0" w:space="0" w:color="auto"/>
        <w:left w:val="none" w:sz="0" w:space="0" w:color="auto"/>
        <w:bottom w:val="none" w:sz="0" w:space="0" w:color="auto"/>
        <w:right w:val="none" w:sz="0" w:space="0" w:color="auto"/>
      </w:divBdr>
      <w:divsChild>
        <w:div w:id="1268344390">
          <w:marLeft w:val="0"/>
          <w:marRight w:val="0"/>
          <w:marTop w:val="0"/>
          <w:marBottom w:val="0"/>
          <w:divBdr>
            <w:top w:val="none" w:sz="0" w:space="0" w:color="auto"/>
            <w:left w:val="none" w:sz="0" w:space="0" w:color="auto"/>
            <w:bottom w:val="none" w:sz="0" w:space="0" w:color="auto"/>
            <w:right w:val="none" w:sz="0" w:space="0" w:color="auto"/>
          </w:divBdr>
        </w:div>
      </w:divsChild>
    </w:div>
    <w:div w:id="1180041625">
      <w:bodyDiv w:val="1"/>
      <w:marLeft w:val="0"/>
      <w:marRight w:val="0"/>
      <w:marTop w:val="0"/>
      <w:marBottom w:val="0"/>
      <w:divBdr>
        <w:top w:val="none" w:sz="0" w:space="0" w:color="auto"/>
        <w:left w:val="none" w:sz="0" w:space="0" w:color="auto"/>
        <w:bottom w:val="none" w:sz="0" w:space="0" w:color="auto"/>
        <w:right w:val="none" w:sz="0" w:space="0" w:color="auto"/>
      </w:divBdr>
      <w:divsChild>
        <w:div w:id="1266572596">
          <w:marLeft w:val="0"/>
          <w:marRight w:val="0"/>
          <w:marTop w:val="0"/>
          <w:marBottom w:val="0"/>
          <w:divBdr>
            <w:top w:val="none" w:sz="0" w:space="0" w:color="auto"/>
            <w:left w:val="none" w:sz="0" w:space="0" w:color="auto"/>
            <w:bottom w:val="none" w:sz="0" w:space="0" w:color="auto"/>
            <w:right w:val="none" w:sz="0" w:space="0" w:color="auto"/>
          </w:divBdr>
        </w:div>
      </w:divsChild>
    </w:div>
    <w:div w:id="1216356149">
      <w:bodyDiv w:val="1"/>
      <w:marLeft w:val="0"/>
      <w:marRight w:val="0"/>
      <w:marTop w:val="0"/>
      <w:marBottom w:val="0"/>
      <w:divBdr>
        <w:top w:val="none" w:sz="0" w:space="0" w:color="auto"/>
        <w:left w:val="none" w:sz="0" w:space="0" w:color="auto"/>
        <w:bottom w:val="none" w:sz="0" w:space="0" w:color="auto"/>
        <w:right w:val="none" w:sz="0" w:space="0" w:color="auto"/>
      </w:divBdr>
    </w:div>
    <w:div w:id="1316371205">
      <w:bodyDiv w:val="1"/>
      <w:marLeft w:val="0"/>
      <w:marRight w:val="0"/>
      <w:marTop w:val="0"/>
      <w:marBottom w:val="0"/>
      <w:divBdr>
        <w:top w:val="none" w:sz="0" w:space="0" w:color="auto"/>
        <w:left w:val="none" w:sz="0" w:space="0" w:color="auto"/>
        <w:bottom w:val="none" w:sz="0" w:space="0" w:color="auto"/>
        <w:right w:val="none" w:sz="0" w:space="0" w:color="auto"/>
      </w:divBdr>
      <w:divsChild>
        <w:div w:id="1771394129">
          <w:marLeft w:val="0"/>
          <w:marRight w:val="0"/>
          <w:marTop w:val="0"/>
          <w:marBottom w:val="0"/>
          <w:divBdr>
            <w:top w:val="none" w:sz="0" w:space="0" w:color="auto"/>
            <w:left w:val="none" w:sz="0" w:space="0" w:color="auto"/>
            <w:bottom w:val="none" w:sz="0" w:space="0" w:color="auto"/>
            <w:right w:val="none" w:sz="0" w:space="0" w:color="auto"/>
          </w:divBdr>
        </w:div>
      </w:divsChild>
    </w:div>
    <w:div w:id="1437600727">
      <w:bodyDiv w:val="1"/>
      <w:marLeft w:val="0"/>
      <w:marRight w:val="0"/>
      <w:marTop w:val="0"/>
      <w:marBottom w:val="0"/>
      <w:divBdr>
        <w:top w:val="none" w:sz="0" w:space="0" w:color="auto"/>
        <w:left w:val="none" w:sz="0" w:space="0" w:color="auto"/>
        <w:bottom w:val="none" w:sz="0" w:space="0" w:color="auto"/>
        <w:right w:val="none" w:sz="0" w:space="0" w:color="auto"/>
      </w:divBdr>
      <w:divsChild>
        <w:div w:id="1959680185">
          <w:marLeft w:val="0"/>
          <w:marRight w:val="0"/>
          <w:marTop w:val="0"/>
          <w:marBottom w:val="0"/>
          <w:divBdr>
            <w:top w:val="none" w:sz="0" w:space="0" w:color="auto"/>
            <w:left w:val="none" w:sz="0" w:space="0" w:color="auto"/>
            <w:bottom w:val="none" w:sz="0" w:space="0" w:color="auto"/>
            <w:right w:val="none" w:sz="0" w:space="0" w:color="auto"/>
          </w:divBdr>
        </w:div>
      </w:divsChild>
    </w:div>
    <w:div w:id="1637368088">
      <w:bodyDiv w:val="1"/>
      <w:marLeft w:val="0"/>
      <w:marRight w:val="0"/>
      <w:marTop w:val="0"/>
      <w:marBottom w:val="0"/>
      <w:divBdr>
        <w:top w:val="none" w:sz="0" w:space="0" w:color="auto"/>
        <w:left w:val="none" w:sz="0" w:space="0" w:color="auto"/>
        <w:bottom w:val="none" w:sz="0" w:space="0" w:color="auto"/>
        <w:right w:val="none" w:sz="0" w:space="0" w:color="auto"/>
      </w:divBdr>
      <w:divsChild>
        <w:div w:id="1245606509">
          <w:marLeft w:val="0"/>
          <w:marRight w:val="0"/>
          <w:marTop w:val="0"/>
          <w:marBottom w:val="0"/>
          <w:divBdr>
            <w:top w:val="none" w:sz="0" w:space="0" w:color="auto"/>
            <w:left w:val="none" w:sz="0" w:space="0" w:color="auto"/>
            <w:bottom w:val="none" w:sz="0" w:space="0" w:color="auto"/>
            <w:right w:val="none" w:sz="0" w:space="0" w:color="auto"/>
          </w:divBdr>
        </w:div>
      </w:divsChild>
    </w:div>
    <w:div w:id="1638871258">
      <w:bodyDiv w:val="1"/>
      <w:marLeft w:val="0"/>
      <w:marRight w:val="0"/>
      <w:marTop w:val="0"/>
      <w:marBottom w:val="0"/>
      <w:divBdr>
        <w:top w:val="none" w:sz="0" w:space="0" w:color="auto"/>
        <w:left w:val="none" w:sz="0" w:space="0" w:color="auto"/>
        <w:bottom w:val="none" w:sz="0" w:space="0" w:color="auto"/>
        <w:right w:val="none" w:sz="0" w:space="0" w:color="auto"/>
      </w:divBdr>
      <w:divsChild>
        <w:div w:id="135296021">
          <w:marLeft w:val="0"/>
          <w:marRight w:val="0"/>
          <w:marTop w:val="0"/>
          <w:marBottom w:val="0"/>
          <w:divBdr>
            <w:top w:val="none" w:sz="0" w:space="0" w:color="auto"/>
            <w:left w:val="none" w:sz="0" w:space="0" w:color="auto"/>
            <w:bottom w:val="none" w:sz="0" w:space="0" w:color="auto"/>
            <w:right w:val="none" w:sz="0" w:space="0" w:color="auto"/>
          </w:divBdr>
        </w:div>
      </w:divsChild>
    </w:div>
    <w:div w:id="1862276911">
      <w:bodyDiv w:val="1"/>
      <w:marLeft w:val="0"/>
      <w:marRight w:val="0"/>
      <w:marTop w:val="0"/>
      <w:marBottom w:val="0"/>
      <w:divBdr>
        <w:top w:val="none" w:sz="0" w:space="0" w:color="auto"/>
        <w:left w:val="none" w:sz="0" w:space="0" w:color="auto"/>
        <w:bottom w:val="none" w:sz="0" w:space="0" w:color="auto"/>
        <w:right w:val="none" w:sz="0" w:space="0" w:color="auto"/>
      </w:divBdr>
      <w:divsChild>
        <w:div w:id="13495268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steopathicresearch.com/files/original/d697c35aa0d31043db7bb635bb6684d6a15d286d.pdf" TargetMode="External"/><Relationship Id="rId18" Type="http://schemas.openxmlformats.org/officeDocument/2006/relationships/hyperlink" Target="https://www.internationalosteopathicassociation.org/code_of_ethics.html" TargetMode="External"/><Relationship Id="rId26" Type="http://schemas.openxmlformats.org/officeDocument/2006/relationships/hyperlink" Target="https://theconversation.com/does-osteopathy-work-98848" TargetMode="External"/><Relationship Id="rId3" Type="http://schemas.openxmlformats.org/officeDocument/2006/relationships/styles" Target="styles.xml"/><Relationship Id="rId21" Type="http://schemas.openxmlformats.org/officeDocument/2006/relationships/hyperlink" Target="https://www.osteopathy.org.uk/news-and-resources/document-library/about-the-gosc/governance-handbook/" TargetMode="External"/><Relationship Id="rId12" Type="http://schemas.openxmlformats.org/officeDocument/2006/relationships/hyperlink" Target="https://www.medicalnewstoday.com/articles/70381" TargetMode="External"/><Relationship Id="rId17" Type="http://schemas.openxmlformats.org/officeDocument/2006/relationships/hyperlink" Target="https://www.iosteopathy.org/the-io/history-of-osteopathy/" TargetMode="External"/><Relationship Id="rId25" Type="http://schemas.openxmlformats.org/officeDocument/2006/relationships/hyperlink" Target="https://www.medrxiv.org/content/10.1101/2021.01.28.21250601v1" TargetMode="External"/><Relationship Id="rId2" Type="http://schemas.openxmlformats.org/officeDocument/2006/relationships/customXml" Target="../customXml/item2.xml"/><Relationship Id="rId16" Type="http://schemas.openxmlformats.org/officeDocument/2006/relationships/hyperlink" Target="https://nationalacademyofosteopathy.com/wp-content/uploads/2019/12/Potential-Risks-and-Side-Effects-of-Osteopathic-Manual-Therapy.pdf" TargetMode="External"/><Relationship Id="rId20" Type="http://schemas.openxmlformats.org/officeDocument/2006/relationships/hyperlink" Target="https://www.osteopathy.org.uk/about-us/"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ncerresearchuk.org/about-cancer/cancer-in-general/treatment/complementary-alternative-therapies/individual-therapies/osteopathy" TargetMode="External"/><Relationship Id="rId24" Type="http://schemas.openxmlformats.org/officeDocument/2006/relationships/hyperlink" Target="https://www.legislation.gov.uk/ukpga/1993/21" TargetMode="External"/><Relationship Id="rId5" Type="http://schemas.openxmlformats.org/officeDocument/2006/relationships/webSettings" Target="webSettings.xml"/><Relationship Id="rId15" Type="http://schemas.openxmlformats.org/officeDocument/2006/relationships/hyperlink" Target="https://www.healthcentre.org.uk/osteopaths/osteopath-how-effective.html" TargetMode="External"/><Relationship Id="rId23" Type="http://schemas.openxmlformats.org/officeDocument/2006/relationships/hyperlink" Target="https://therapyregister.net/regulations/" TargetMode="External"/><Relationship Id="rId28" Type="http://schemas.openxmlformats.org/officeDocument/2006/relationships/theme" Target="theme/theme1.xml"/><Relationship Id="rId10" Type="http://schemas.openxmlformats.org/officeDocument/2006/relationships/hyperlink" Target="https://www.ncbi.nlm.nih.gov/pmc/articles/PMC2841070/" TargetMode="External"/><Relationship Id="rId19" Type="http://schemas.openxmlformats.org/officeDocument/2006/relationships/hyperlink" Target="https://www2.osteopathie.eu/en/publications/abstract-master-thesis/efficacy-osteopathic-manipulative-treatment-paediatric-otitis-media-systematic-review" TargetMode="External"/><Relationship Id="rId4" Type="http://schemas.openxmlformats.org/officeDocument/2006/relationships/settings" Target="settings.xml"/><Relationship Id="rId9" Type="http://schemas.openxmlformats.org/officeDocument/2006/relationships/hyperlink" Target="https://www.betterhealth.vic.gov.au/health/conditionsandtreatments/complementary-therapies" TargetMode="External"/><Relationship Id="rId14" Type="http://schemas.openxmlformats.org/officeDocument/2006/relationships/hyperlink" Target="https://www.stockportosteopaths.co.uk/about-osteopathy/" TargetMode="External"/><Relationship Id="rId22" Type="http://schemas.openxmlformats.org/officeDocument/2006/relationships/hyperlink" Target="https://www.osteopathy.org.uk/about-us/the-organisation/code-of-conduc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name- Mentesnot Mengesha
Course Code- BMHP5001_LON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C669CB-2BA4-4796-B280-1185F1223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11</Pages>
  <Words>3383</Words>
  <Characters>19286</Characters>
  <Application>Microsoft Office Word</Application>
  <DocSecurity>0</DocSecurity>
  <Lines>160</Lines>
  <Paragraphs>45</Paragraphs>
  <ScaleCrop>false</ScaleCrop>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Kabirat Aderoju Adegbite (2011967)</dc:creator>
  <cp:keywords/>
  <dc:description/>
  <cp:lastModifiedBy>Kabirat Aderoju Adegbite (2011967)</cp:lastModifiedBy>
  <cp:revision>356</cp:revision>
  <dcterms:created xsi:type="dcterms:W3CDTF">2021-12-24T07:02:00Z</dcterms:created>
  <dcterms:modified xsi:type="dcterms:W3CDTF">2022-01-09T21:56:00Z</dcterms:modified>
</cp:coreProperties>
</file>