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73CB8" w:rsidP="00910935" w:rsidRDefault="7ACF8BA9" w14:paraId="3CD64906" w14:textId="77777777">
      <w:pPr>
        <w:spacing w:before="1440" w:after="100"/>
        <w:jc w:val="center"/>
      </w:pPr>
      <w:r w:rsidRPr="751C350B">
        <w:rPr>
          <w:b/>
          <w:bCs/>
          <w:color w:val="1F4E79"/>
          <w:szCs w:val="44"/>
        </w:rPr>
        <w:t xml:space="preserve"> </w:t>
      </w:r>
      <w:r w:rsidRPr="751C350B" w:rsidR="00DB4C06">
        <w:rPr>
          <w:b/>
          <w:color w:val="1F4E79"/>
          <w:szCs w:val="44"/>
        </w:rPr>
        <w:t>WRITTEN ASSIGNMENT</w:t>
      </w:r>
    </w:p>
    <w:p w:rsidR="00173CB8" w:rsidP="00910935" w:rsidRDefault="00DB4C06" w14:paraId="03BC471F" w14:textId="77777777">
      <w:pPr>
        <w:spacing w:after="100"/>
        <w:jc w:val="center"/>
      </w:pPr>
      <w:r>
        <w:rPr>
          <w:b/>
          <w:color w:val="1F3246"/>
        </w:rPr>
        <w:t>Community Disability Services and Pharmacy Services</w:t>
      </w:r>
    </w:p>
    <w:p w:rsidR="00173CB8" w:rsidP="00910935" w:rsidRDefault="00DB4C06" w14:paraId="69012A54" w14:textId="77777777">
      <w:pPr>
        <w:spacing w:after="100"/>
        <w:jc w:val="center"/>
      </w:pPr>
      <w:r>
        <w:rPr>
          <w:color w:val="595959"/>
        </w:rPr>
        <w:t>Component 1 Coursework Portfolio</w:t>
      </w:r>
    </w:p>
    <w:tbl>
      <w:tblPr>
        <w:tblW w:w="0" w:type="auto"/>
        <w:jc w:val="center"/>
        <w:tblBorders>
          <w:top w:val="single" w:color="B4C6E7" w:sz="4" w:space="0"/>
          <w:left w:val="single" w:color="B4C6E7" w:sz="4" w:space="0"/>
          <w:bottom w:val="single" w:color="B4C6E7" w:sz="4" w:space="0"/>
          <w:right w:val="single" w:color="B4C6E7" w:sz="4" w:space="0"/>
          <w:insideH w:val="single" w:color="B4C6E7" w:sz="4" w:space="0"/>
          <w:insideV w:val="single" w:color="B4C6E7" w:sz="4" w:space="0"/>
        </w:tblBorders>
        <w:tblLayout w:type="fixed"/>
        <w:tblLook w:val="04A0" w:firstRow="1" w:lastRow="0" w:firstColumn="1" w:lastColumn="0" w:noHBand="0" w:noVBand="1"/>
      </w:tblPr>
      <w:tblGrid>
        <w:gridCol w:w="4824"/>
        <w:gridCol w:w="4824"/>
      </w:tblGrid>
      <w:tr w:rsidR="00173CB8" w14:paraId="3A212836" w14:textId="77777777">
        <w:trPr>
          <w:jc w:val="center"/>
        </w:trPr>
        <w:tc>
          <w:tcPr>
            <w:tcW w:w="4824" w:type="dxa"/>
            <w:shd w:val="clear" w:color="auto" w:fill="DDEBF7"/>
            <w:vAlign w:val="center"/>
          </w:tcPr>
          <w:p w:rsidR="00173CB8" w:rsidP="00910935" w:rsidRDefault="00DB4C06" w14:paraId="6CC1CFF3" w14:textId="77777777">
            <w:pPr>
              <w:spacing w:after="0"/>
            </w:pPr>
            <w:r>
              <w:rPr>
                <w:b/>
                <w:color w:val="1F4E79"/>
              </w:rPr>
              <w:t>Student name</w:t>
            </w:r>
          </w:p>
        </w:tc>
        <w:tc>
          <w:tcPr>
            <w:tcW w:w="4824" w:type="dxa"/>
            <w:shd w:val="clear" w:color="auto" w:fill="FFFFFF"/>
            <w:vAlign w:val="center"/>
          </w:tcPr>
          <w:p w:rsidR="00173CB8" w:rsidP="00910935" w:rsidRDefault="00DB4C06" w14:paraId="62538BA5" w14:textId="77777777">
            <w:pPr>
              <w:spacing w:after="0"/>
            </w:pPr>
            <w:r>
              <w:t>Syma Fazal</w:t>
            </w:r>
          </w:p>
        </w:tc>
      </w:tr>
      <w:tr w:rsidR="00173CB8" w14:paraId="5998737F" w14:textId="77777777">
        <w:trPr>
          <w:jc w:val="center"/>
        </w:trPr>
        <w:tc>
          <w:tcPr>
            <w:tcW w:w="4824" w:type="dxa"/>
            <w:shd w:val="clear" w:color="auto" w:fill="DDEBF7"/>
            <w:vAlign w:val="center"/>
          </w:tcPr>
          <w:p w:rsidR="00173CB8" w:rsidP="00910935" w:rsidRDefault="00DB4C06" w14:paraId="25106F58" w14:textId="77777777">
            <w:pPr>
              <w:spacing w:after="0"/>
            </w:pPr>
            <w:r>
              <w:rPr>
                <w:b/>
                <w:color w:val="1F4E79"/>
              </w:rPr>
              <w:t>Student ID number</w:t>
            </w:r>
          </w:p>
        </w:tc>
        <w:tc>
          <w:tcPr>
            <w:tcW w:w="4824" w:type="dxa"/>
            <w:shd w:val="clear" w:color="auto" w:fill="FFFFFF"/>
            <w:vAlign w:val="center"/>
          </w:tcPr>
          <w:p w:rsidR="00173CB8" w:rsidP="00910935" w:rsidRDefault="00DB4C06" w14:paraId="028C40A4" w14:textId="77777777">
            <w:pPr>
              <w:spacing w:after="0"/>
            </w:pPr>
            <w:r>
              <w:t>2524671</w:t>
            </w:r>
          </w:p>
        </w:tc>
      </w:tr>
      <w:tr w:rsidR="00173CB8" w14:paraId="5ED9823F" w14:textId="77777777">
        <w:trPr>
          <w:jc w:val="center"/>
        </w:trPr>
        <w:tc>
          <w:tcPr>
            <w:tcW w:w="4824" w:type="dxa"/>
            <w:shd w:val="clear" w:color="auto" w:fill="DDEBF7"/>
            <w:vAlign w:val="center"/>
          </w:tcPr>
          <w:p w:rsidR="00173CB8" w:rsidP="00910935" w:rsidRDefault="00DB4C06" w14:paraId="4893B784" w14:textId="77777777">
            <w:pPr>
              <w:spacing w:after="0"/>
            </w:pPr>
            <w:r>
              <w:rPr>
                <w:b/>
                <w:color w:val="1F4E79"/>
              </w:rPr>
              <w:t>Programme</w:t>
            </w:r>
          </w:p>
        </w:tc>
        <w:tc>
          <w:tcPr>
            <w:tcW w:w="4824" w:type="dxa"/>
            <w:shd w:val="clear" w:color="auto" w:fill="FFFFFF"/>
            <w:vAlign w:val="center"/>
          </w:tcPr>
          <w:p w:rsidR="00173CB8" w:rsidP="00910935" w:rsidRDefault="00DB4C06" w14:paraId="65F40E67" w14:textId="77777777">
            <w:pPr>
              <w:spacing w:after="0"/>
            </w:pPr>
            <w:r>
              <w:t>Certificate of Higher Education Skills for the Workplace (Health &amp; Social Care)</w:t>
            </w:r>
          </w:p>
        </w:tc>
      </w:tr>
      <w:tr w:rsidR="00173CB8" w14:paraId="2273F695" w14:textId="77777777">
        <w:trPr>
          <w:jc w:val="center"/>
        </w:trPr>
        <w:tc>
          <w:tcPr>
            <w:tcW w:w="4824" w:type="dxa"/>
            <w:shd w:val="clear" w:color="auto" w:fill="DDEBF7"/>
            <w:vAlign w:val="center"/>
          </w:tcPr>
          <w:p w:rsidR="00173CB8" w:rsidP="00910935" w:rsidRDefault="00DB4C06" w14:paraId="59669C41" w14:textId="77777777">
            <w:pPr>
              <w:spacing w:after="0"/>
            </w:pPr>
            <w:r>
              <w:rPr>
                <w:b/>
                <w:color w:val="1F4E79"/>
              </w:rPr>
              <w:t>Module</w:t>
            </w:r>
          </w:p>
        </w:tc>
        <w:tc>
          <w:tcPr>
            <w:tcW w:w="4824" w:type="dxa"/>
            <w:shd w:val="clear" w:color="auto" w:fill="FFFFFF"/>
            <w:vAlign w:val="center"/>
          </w:tcPr>
          <w:p w:rsidR="00173CB8" w:rsidP="00910935" w:rsidRDefault="00DB4C06" w14:paraId="50853CA2" w14:textId="77777777">
            <w:pPr>
              <w:spacing w:after="0"/>
            </w:pPr>
            <w:r>
              <w:t>Introduction to Health and Social Care</w:t>
            </w:r>
          </w:p>
        </w:tc>
      </w:tr>
      <w:tr w:rsidR="00173CB8" w14:paraId="28977DD3" w14:textId="77777777">
        <w:trPr>
          <w:jc w:val="center"/>
        </w:trPr>
        <w:tc>
          <w:tcPr>
            <w:tcW w:w="4824" w:type="dxa"/>
            <w:shd w:val="clear" w:color="auto" w:fill="DDEBF7"/>
            <w:vAlign w:val="center"/>
          </w:tcPr>
          <w:p w:rsidR="00173CB8" w:rsidP="00910935" w:rsidRDefault="00DB4C06" w14:paraId="55C782E7" w14:textId="77777777">
            <w:pPr>
              <w:spacing w:after="0"/>
            </w:pPr>
            <w:r>
              <w:rPr>
                <w:b/>
                <w:color w:val="1F4E79"/>
              </w:rPr>
              <w:t>Module code</w:t>
            </w:r>
          </w:p>
        </w:tc>
        <w:tc>
          <w:tcPr>
            <w:tcW w:w="4824" w:type="dxa"/>
            <w:shd w:val="clear" w:color="auto" w:fill="FFFFFF"/>
            <w:vAlign w:val="center"/>
          </w:tcPr>
          <w:p w:rsidR="00B1009A" w:rsidRDefault="00000000" w14:paraId="61F5AA6A" w14:textId="77777777">
            <w:r>
              <w:t>LCHS4003</w:t>
            </w:r>
          </w:p>
        </w:tc>
      </w:tr>
      <w:tr w:rsidR="00173CB8" w14:paraId="341D09EC" w14:textId="77777777">
        <w:trPr>
          <w:jc w:val="center"/>
        </w:trPr>
        <w:tc>
          <w:tcPr>
            <w:tcW w:w="4824" w:type="dxa"/>
            <w:shd w:val="clear" w:color="auto" w:fill="DDEBF7"/>
            <w:vAlign w:val="center"/>
          </w:tcPr>
          <w:p w:rsidR="00173CB8" w:rsidP="00910935" w:rsidRDefault="00DB4C06" w14:paraId="56C2CEE8" w14:textId="77777777">
            <w:pPr>
              <w:spacing w:after="0"/>
            </w:pPr>
            <w:r>
              <w:rPr>
                <w:b/>
                <w:color w:val="1F4E79"/>
              </w:rPr>
              <w:t>Lecturer</w:t>
            </w:r>
          </w:p>
        </w:tc>
        <w:tc>
          <w:tcPr>
            <w:tcW w:w="4824" w:type="dxa"/>
            <w:shd w:val="clear" w:color="auto" w:fill="FFFFFF"/>
            <w:vAlign w:val="center"/>
          </w:tcPr>
          <w:p w:rsidR="00173CB8" w:rsidP="00910935" w:rsidRDefault="008A2799" w14:paraId="0A889086" w14:textId="77777777">
            <w:pPr>
              <w:spacing w:after="0"/>
            </w:pPr>
            <w:r>
              <w:t xml:space="preserve">Jane </w:t>
            </w:r>
            <w:proofErr w:type="spellStart"/>
            <w:r>
              <w:t>Ngarari</w:t>
            </w:r>
            <w:proofErr w:type="spellEnd"/>
          </w:p>
        </w:tc>
      </w:tr>
      <w:tr w:rsidR="00173CB8" w14:paraId="6BF26DDA" w14:textId="77777777">
        <w:trPr>
          <w:jc w:val="center"/>
        </w:trPr>
        <w:tc>
          <w:tcPr>
            <w:tcW w:w="4824" w:type="dxa"/>
            <w:shd w:val="clear" w:color="auto" w:fill="DDEBF7"/>
            <w:vAlign w:val="center"/>
          </w:tcPr>
          <w:p w:rsidR="00173CB8" w:rsidP="00910935" w:rsidRDefault="00173CB8" w14:paraId="591260C6" w14:textId="77777777">
            <w:pPr>
              <w:spacing w:after="0"/>
            </w:pPr>
          </w:p>
        </w:tc>
        <w:tc>
          <w:tcPr>
            <w:tcW w:w="4824" w:type="dxa"/>
            <w:shd w:val="clear" w:color="auto" w:fill="FFFFFF"/>
            <w:vAlign w:val="center"/>
          </w:tcPr>
          <w:p w:rsidR="00173CB8" w:rsidP="00910935" w:rsidRDefault="00173CB8" w14:paraId="3117750E" w14:textId="77777777">
            <w:pPr>
              <w:spacing w:after="0"/>
            </w:pPr>
          </w:p>
        </w:tc>
      </w:tr>
    </w:tbl>
    <w:p w:rsidR="00173CB8" w:rsidP="00910935" w:rsidRDefault="00DB4C06" w14:paraId="4E6D473F" w14:textId="77777777">
      <w:pPr>
        <w:spacing w:after="100"/>
      </w:pPr>
      <w:r>
        <w:br w:type="page"/>
      </w:r>
    </w:p>
    <w:p w:rsidR="00173CB8" w:rsidP="00910935" w:rsidRDefault="00DB4C06" w14:paraId="515309E3" w14:textId="77777777">
      <w:pPr>
        <w:pStyle w:val="TaskTitle"/>
      </w:pPr>
      <w:r>
        <w:lastRenderedPageBreak/>
        <w:t>Task 1: Guided Scenario Response – Community Disability Services</w:t>
      </w:r>
    </w:p>
    <w:tbl>
      <w:tblPr>
        <w:tblW w:w="0" w:type="auto"/>
        <w:tblBorders>
          <w:top w:val="single" w:color="B4C6E7" w:sz="4" w:space="0"/>
          <w:left w:val="single" w:color="B4C6E7" w:sz="4" w:space="0"/>
          <w:bottom w:val="single" w:color="B4C6E7" w:sz="4" w:space="0"/>
          <w:right w:val="single" w:color="B4C6E7" w:sz="4" w:space="0"/>
          <w:insideH w:val="single" w:color="B4C6E7" w:sz="4" w:space="0"/>
          <w:insideV w:val="single" w:color="B4C6E7" w:sz="4" w:space="0"/>
        </w:tblBorders>
        <w:tblLayout w:type="fixed"/>
        <w:tblLook w:val="04A0" w:firstRow="1" w:lastRow="0" w:firstColumn="1" w:lastColumn="0" w:noHBand="0" w:noVBand="1"/>
      </w:tblPr>
      <w:tblGrid>
        <w:gridCol w:w="4824"/>
        <w:gridCol w:w="4824"/>
      </w:tblGrid>
      <w:tr w:rsidR="00173CB8" w14:paraId="6CFA7845" w14:textId="77777777">
        <w:tc>
          <w:tcPr>
            <w:tcW w:w="4824" w:type="dxa"/>
            <w:shd w:val="clear" w:color="auto" w:fill="DDEBF7"/>
            <w:vAlign w:val="center"/>
          </w:tcPr>
          <w:p w:rsidR="00173CB8" w:rsidP="00910935" w:rsidRDefault="00DB4C06" w14:paraId="79AF26AC" w14:textId="77777777">
            <w:pPr>
              <w:spacing w:after="0"/>
            </w:pPr>
            <w:r>
              <w:rPr>
                <w:b/>
                <w:color w:val="1F4E79"/>
              </w:rPr>
              <w:t>To</w:t>
            </w:r>
          </w:p>
        </w:tc>
        <w:tc>
          <w:tcPr>
            <w:tcW w:w="4824" w:type="dxa"/>
            <w:vAlign w:val="center"/>
          </w:tcPr>
          <w:p w:rsidR="00173CB8" w:rsidP="00910935" w:rsidRDefault="00DB4C06" w14:paraId="4F6B9330" w14:textId="77777777">
            <w:pPr>
              <w:spacing w:after="0"/>
            </w:pPr>
            <w:r>
              <w:t>Councillor Nosheen Khalid, Cabinet Member for Health and Social Care, Birmingham City Council</w:t>
            </w:r>
          </w:p>
        </w:tc>
      </w:tr>
      <w:tr w:rsidR="00173CB8" w14:paraId="2CBCBEF3" w14:textId="77777777">
        <w:tc>
          <w:tcPr>
            <w:tcW w:w="4824" w:type="dxa"/>
            <w:shd w:val="clear" w:color="auto" w:fill="DDEBF7"/>
            <w:vAlign w:val="center"/>
          </w:tcPr>
          <w:p w:rsidR="00173CB8" w:rsidP="00910935" w:rsidRDefault="00DB4C06" w14:paraId="5FE4D51E" w14:textId="77777777">
            <w:pPr>
              <w:spacing w:after="0"/>
            </w:pPr>
            <w:r>
              <w:rPr>
                <w:b/>
                <w:color w:val="1F4E79"/>
              </w:rPr>
              <w:t>From</w:t>
            </w:r>
          </w:p>
        </w:tc>
        <w:tc>
          <w:tcPr>
            <w:tcW w:w="4824" w:type="dxa"/>
            <w:vAlign w:val="center"/>
          </w:tcPr>
          <w:p w:rsidR="00173CB8" w:rsidP="00910935" w:rsidRDefault="00DB4C06" w14:paraId="68D0C905" w14:textId="77777777">
            <w:pPr>
              <w:spacing w:after="0"/>
            </w:pPr>
            <w:r>
              <w:t>Syma Fazal</w:t>
            </w:r>
          </w:p>
        </w:tc>
      </w:tr>
      <w:tr w:rsidR="00173CB8" w14:paraId="43C29C46" w14:textId="77777777">
        <w:tc>
          <w:tcPr>
            <w:tcW w:w="4824" w:type="dxa"/>
            <w:shd w:val="clear" w:color="auto" w:fill="DDEBF7"/>
            <w:vAlign w:val="center"/>
          </w:tcPr>
          <w:p w:rsidR="00173CB8" w:rsidP="00910935" w:rsidRDefault="00DB4C06" w14:paraId="5FF64CF6" w14:textId="77777777">
            <w:pPr>
              <w:spacing w:after="0"/>
            </w:pPr>
            <w:r>
              <w:rPr>
                <w:b/>
                <w:color w:val="1F4E79"/>
              </w:rPr>
              <w:t>Date</w:t>
            </w:r>
          </w:p>
        </w:tc>
        <w:tc>
          <w:tcPr>
            <w:tcW w:w="4824" w:type="dxa"/>
            <w:vAlign w:val="center"/>
          </w:tcPr>
          <w:p w:rsidR="00173CB8" w:rsidP="00910935" w:rsidRDefault="00DB4C06" w14:paraId="06F36DA9" w14:textId="77777777">
            <w:pPr>
              <w:spacing w:after="0"/>
            </w:pPr>
            <w:r>
              <w:t>4 October 2026</w:t>
            </w:r>
          </w:p>
        </w:tc>
      </w:tr>
      <w:tr w:rsidR="00173CB8" w14:paraId="505E8939" w14:textId="77777777">
        <w:tc>
          <w:tcPr>
            <w:tcW w:w="4824" w:type="dxa"/>
            <w:shd w:val="clear" w:color="auto" w:fill="DDEBF7"/>
            <w:vAlign w:val="center"/>
          </w:tcPr>
          <w:p w:rsidR="00173CB8" w:rsidP="00910935" w:rsidRDefault="00DB4C06" w14:paraId="1BF205E5" w14:textId="77777777">
            <w:pPr>
              <w:spacing w:after="0"/>
            </w:pPr>
            <w:r>
              <w:rPr>
                <w:b/>
                <w:color w:val="1F4E79"/>
              </w:rPr>
              <w:t>Subject</w:t>
            </w:r>
          </w:p>
        </w:tc>
        <w:tc>
          <w:tcPr>
            <w:tcW w:w="4824" w:type="dxa"/>
            <w:vAlign w:val="center"/>
          </w:tcPr>
          <w:p w:rsidR="00173CB8" w:rsidP="00910935" w:rsidRDefault="00DB4C06" w14:paraId="2ED8DB37" w14:textId="77777777">
            <w:pPr>
              <w:spacing w:after="0"/>
            </w:pPr>
            <w:r>
              <w:t>Addressing shortages in community disability services in Birmingham</w:t>
            </w:r>
          </w:p>
        </w:tc>
      </w:tr>
    </w:tbl>
    <w:p w:rsidR="00173CB8" w:rsidP="00910935" w:rsidRDefault="00DB4C06" w14:paraId="55C32B0B" w14:textId="77777777">
      <w:pPr>
        <w:pStyle w:val="SectionBlue"/>
      </w:pPr>
      <w:r>
        <w:t>Introduction of the issue</w:t>
      </w:r>
    </w:p>
    <w:p w:rsidR="00173CB8" w:rsidP="00910935" w:rsidRDefault="00DB4C06" w14:paraId="3B572EF2" w14:textId="77777777">
      <w:pPr>
        <w:spacing w:after="100"/>
        <w:ind w:firstLine="360"/>
      </w:pPr>
      <w:r>
        <w:t>Community disability services enable adults with learning disabilities, autism and physical disabilities to live safely and as independently as possible. They include supported living, community-based support, advocacy, short breaks, personal assistance and support to take part in education, employment and social life. Birmingham City Council already provides community-based offers for people with learning disabilities and autism; however, demand and complexity are increasing and access is not always consistent (Birmingham City Council, n.d.). The Care Quality Commission’s 2026 assessment rated Birmingham adult social care as “Good”, but also found shortages in some specialist and complex support services, which can result in people being placed outside Birmingham. It also reported complaints about delays in allocating social workers and completing assessments (CQC, 2026). This indicates a clear need to strengthen local community disability capacity rather than relying on crisis responses.</w:t>
      </w:r>
    </w:p>
    <w:p w:rsidR="00173CB8" w:rsidP="00910935" w:rsidRDefault="00DB4C06" w14:paraId="1AB0CD9D" w14:textId="77777777">
      <w:pPr>
        <w:spacing w:after="100"/>
        <w:ind w:firstLine="360"/>
      </w:pPr>
      <w:r>
        <w:t>The Care Act 2014 provides the legal basis for action. Section 1 requires the local authority to promote individual wellbeing, including dignity, health, control over daily life, relationships, suitable accommodation and participation in work, education and recreation. Section 2 requires prevention or delay of care and support needs, while section 3 promotes integration with health services. Section 5 also requires the council to shape a diverse, sustainable and high-quality care market (Care Act 2014). Therefore, a shortage of suitable disability support is not only a service-pressure issue; it risks limiting choice, independence and equal participation.</w:t>
      </w:r>
    </w:p>
    <w:p w:rsidR="00173CB8" w:rsidP="00910935" w:rsidRDefault="00DB4C06" w14:paraId="0BCCAF65" w14:textId="77777777">
      <w:pPr>
        <w:pStyle w:val="SectionBlue"/>
      </w:pPr>
      <w:r>
        <w:t>Impact of the issue on the community</w:t>
      </w:r>
    </w:p>
    <w:p w:rsidR="00173CB8" w:rsidP="00910935" w:rsidRDefault="00DB4C06" w14:paraId="46716160" w14:textId="77777777">
      <w:pPr>
        <w:spacing w:after="100"/>
        <w:ind w:firstLine="360"/>
      </w:pPr>
      <w:r>
        <w:t xml:space="preserve">Insufficient local services can affect disabled people, unpaid carers and the wider health and social care system. A person who cannot access appropriate supported living or specialist community support may become more isolated, lose daily living skills or experience worsening physical or mental health. Families may take on additional caring responsibilities, increasing stress and the risk of carer breakdown. If a suitable local placement cannot be found, an out-of-area </w:t>
      </w:r>
      <w:r>
        <w:lastRenderedPageBreak/>
        <w:t>service may separate a person from family, familiar routines and community networks. This conflicts with the Care Act emphasis on wellbeing and person-centred control.</w:t>
      </w:r>
    </w:p>
    <w:p w:rsidR="00173CB8" w:rsidP="00910935" w:rsidRDefault="00DB4C06" w14:paraId="06B175BF" w14:textId="77777777">
      <w:pPr>
        <w:spacing w:after="100"/>
        <w:ind w:firstLine="360"/>
      </w:pPr>
      <w:r>
        <w:t>Shortages can also deepen health inequalities. People with communication needs or limited family advocacy may find it harder to navigate assessments and challenge delays. When preventative support is unavailable, needs can escalate until emergency or high-cost care is required. Improving community capacity is therefore both a rights-based response and a practical way to use public resources earlier, before avoidable crises develop.</w:t>
      </w:r>
    </w:p>
    <w:p w:rsidR="00173CB8" w:rsidP="00910935" w:rsidRDefault="00DB4C06" w14:paraId="60FEDA01" w14:textId="77777777">
      <w:pPr>
        <w:spacing w:after="100"/>
        <w:ind w:firstLine="360"/>
      </w:pPr>
      <w:r>
        <w:t>The workforce is also a practical constraint. Although the national adult social care vacancy rate fell to 6.2% in 2025/26, this still represented about 96,000 vacancies and remained around three times higher than the wider economy (Skills for Care, 2026). For disability services, shortages of staff with skills in autism, complex communication, positive behaviour support and physical disability can restrict provider capacity even when buildings or commissioned places exist.</w:t>
      </w:r>
    </w:p>
    <w:p w:rsidR="00173CB8" w:rsidP="00910935" w:rsidRDefault="00DB4C06" w14:paraId="2BFE4C5B" w14:textId="77777777">
      <w:pPr>
        <w:pStyle w:val="SectionBlue"/>
      </w:pPr>
      <w:r>
        <w:t>Recommended response to address the issue</w:t>
      </w:r>
    </w:p>
    <w:p w:rsidR="00173CB8" w:rsidP="00910935" w:rsidRDefault="00DB4C06" w14:paraId="55C3F96D" w14:textId="77777777">
      <w:pPr>
        <w:spacing w:after="100"/>
        <w:ind w:firstLine="360"/>
      </w:pPr>
      <w:r>
        <w:t>I recommend a three-part Birmingham Disability Community Capacity Plan. First, the council should use Care Act section 5 market-shaping duties to map demand by disability, complexity, age and locality, then commission supported-living and community-support capacity where gaps are greatest. Birmingham's 2025 supported-living market statement reports that commissioned placements rose from 995 in 2019/20 to 1,524 in 2024/25, an increase of 53%. This makes an evidence-led expansion of local specialist capacity and measurable targets for reducing avoidable out-of-area placements especially important (Birmingham City Council, 2025).</w:t>
      </w:r>
    </w:p>
    <w:p w:rsidR="00173CB8" w:rsidP="00910935" w:rsidRDefault="00DB4C06" w14:paraId="5A44B78B" w14:textId="77777777">
      <w:pPr>
        <w:spacing w:after="100"/>
        <w:ind w:firstLine="360"/>
      </w:pPr>
      <w:r>
        <w:t>Second, investment should prioritise prevention and independence. Under sections 1 and 2, the council should expand accessible day opportunities, peer and voluntary-sector support, short breaks, assistive technology, employment support and personal-assistant options. Disabled citizens and carers should co-produce service specifications so that new capacity reflects cultural, communication and accessibility needs rather than simply increasing numbers.</w:t>
      </w:r>
    </w:p>
    <w:p w:rsidR="00173CB8" w:rsidP="00910935" w:rsidRDefault="00DB4C06" w14:paraId="19422D62" w14:textId="77777777">
      <w:pPr>
        <w:spacing w:after="100"/>
        <w:ind w:firstLine="360"/>
      </w:pPr>
      <w:r>
        <w:t>Third, Birmingham should create a joint workforce and access programme with Birmingham and Solihull Integrated Care Board, colleges and providers. This should include recruitment pathways, retention incentives, mandatory role-specific disability training, and faster Care Act assessments supported by accessible information and advocacy. Performance should be reviewed quarterly using waiting times, unmet need, carer outcomes, service-user satisfaction, staff turnover and out-of-area placements.</w:t>
      </w:r>
    </w:p>
    <w:p w:rsidR="00173CB8" w:rsidP="00910935" w:rsidRDefault="00DB4C06" w14:paraId="1AD3D2EF" w14:textId="77777777">
      <w:pPr>
        <w:pStyle w:val="SectionBlue"/>
      </w:pPr>
      <w:r>
        <w:t>Conclusion</w:t>
      </w:r>
    </w:p>
    <w:p w:rsidR="00173CB8" w:rsidP="00910935" w:rsidRDefault="00DB4C06" w14:paraId="4B4FD57E" w14:textId="77777777">
      <w:pPr>
        <w:spacing w:after="100"/>
        <w:ind w:firstLine="360"/>
      </w:pPr>
      <w:r>
        <w:t xml:space="preserve">Birmingham has a functioning adult social care system, but current evidence shows pressure in specialist and complex support. A coordinated response based on prevention, local capacity, </w:t>
      </w:r>
      <w:r>
        <w:lastRenderedPageBreak/>
        <w:t>skilled staff and co-production would meet the Care Act 2014 more effectively. It would also help disabled citizens remain connected to their communities, reduce avoidable crises and give the council measurable evidence that investment is improving wellbeing and choice.</w:t>
      </w:r>
    </w:p>
    <w:p w:rsidR="00173CB8" w:rsidP="00910935" w:rsidRDefault="00DB4C06" w14:paraId="50BE253B" w14:textId="77777777">
      <w:pPr>
        <w:pStyle w:val="TaskTitle"/>
        <w:spacing w:before="360"/>
      </w:pPr>
      <w:r>
        <w:t>Task 2: Essay – Pharmacy Services</w:t>
      </w:r>
    </w:p>
    <w:p w:rsidR="00173CB8" w:rsidP="00910935" w:rsidRDefault="00DB4C06" w14:paraId="29A715D6" w14:textId="77777777">
      <w:pPr>
        <w:pStyle w:val="SectionBlue"/>
      </w:pPr>
      <w:r>
        <w:t>Introduction</w:t>
      </w:r>
    </w:p>
    <w:p w:rsidR="00173CB8" w:rsidP="00910935" w:rsidRDefault="00DB4C06" w14:paraId="09FD7E93" w14:textId="77777777">
      <w:pPr>
        <w:spacing w:after="100"/>
        <w:ind w:firstLine="360"/>
      </w:pPr>
      <w:r>
        <w:t>Pharmacy services have developed from a trade focused mainly on preparing and supplying medicines into an important part of modern primary care. Their history shows how regulation, the creation of the NHS and changing population needs have gradually expanded the pharmacist’s role. Today, community pharmacies still dispense medicines, but they also provide clinical advice, prevention, treatment and referral. This development can improve quality of life, although its success depends on adequate staffing, funding, public awareness and integration with the rest of the health system.</w:t>
      </w:r>
    </w:p>
    <w:p w:rsidR="00173CB8" w:rsidP="00910935" w:rsidRDefault="00DB4C06" w14:paraId="5CED79FC" w14:textId="77777777">
      <w:pPr>
        <w:pStyle w:val="SectionBlue"/>
      </w:pPr>
      <w:r>
        <w:t>Origins and historical development</w:t>
      </w:r>
    </w:p>
    <w:p w:rsidR="00173CB8" w:rsidP="00910935" w:rsidRDefault="00DB4C06" w14:paraId="1D6D954F" w14:textId="77777777">
      <w:pPr>
        <w:spacing w:after="100"/>
        <w:ind w:firstLine="360"/>
      </w:pPr>
      <w:r>
        <w:t>Before professional regulation, medicines could be prepared and sold with limited control over training or quality. In 1841, chemists and druggists formed the Pharmaceutical Society of Great Britain to strengthen education and professional standards. The Pharmacy Acts of 1852 and 1868 progressively developed registration and regulation, helping pharmacy become a recognised health profession rather than simply a retail trade (Royal College of Pharmacy, 2023). A further turning point was the National Health Service Act 1946, which came into effect on 5 July 1948. The new NHS brought pharmacists and the supply of medicines within a comprehensive health service intended to be available to the population according to need (UK Parliament, n.d.). The Medicines Act 1968 later strengthened the legal framework surrounding medicines and retail pharmacy businesses (Medicines Act 1968).</w:t>
      </w:r>
    </w:p>
    <w:p w:rsidR="00173CB8" w:rsidP="00910935" w:rsidRDefault="00DB4C06" w14:paraId="1005CC99" w14:textId="77777777">
      <w:pPr>
        <w:spacing w:after="100"/>
        <w:ind w:firstLine="360"/>
      </w:pPr>
      <w:r>
        <w:t>The service changed significantly again in the twenty-first century. The community pharmacy contractual framework, introduced in 2005, gave clinical and patient-centred services a more formal role alongside dispensing. The New Medicine Service was added in 2011 to help patients manage newly prescribed medicines for certain long-term conditions (Community Pharmacy England, 2026b). This direction continued with Pharmacy First, launched in England in January 2024. It allows participating community pharmacists to assess and, where appropriate, treat seven common conditions without a prior GP appointment (NHS England, 2024). By 2026, services also included blood-pressure case finding, contraception, vaccinations, smoking cessation and discharge-related medicines support alongside core dispensing and medicines advice (Community Pharmacy England, 2026a).</w:t>
      </w:r>
    </w:p>
    <w:p w:rsidR="00173CB8" w:rsidP="00910935" w:rsidRDefault="00DB4C06" w14:paraId="4986B557" w14:textId="77777777">
      <w:pPr>
        <w:pStyle w:val="SectionBlue"/>
      </w:pPr>
      <w:r>
        <w:lastRenderedPageBreak/>
        <w:t>How pharmacy services function today</w:t>
      </w:r>
    </w:p>
    <w:p w:rsidR="00173CB8" w:rsidP="00910935" w:rsidRDefault="00DB4C06" w14:paraId="4FE7A771" w14:textId="77777777">
      <w:pPr>
        <w:spacing w:after="100"/>
        <w:ind w:firstLine="360"/>
      </w:pPr>
      <w:r>
        <w:t>The modern function of pharmacy therefore has several strengths. Community pharmacies are often highly accessible, do not usually require an appointment and can provide early advice before a problem becomes more serious. NHS England argues that Pharmacy First can provide quicker care and reduce unnecessary pressure on general practice. More than 2.75 million Pharmacy First clinical-pathway consultations were delivered between April 2025 and January 2026, demonstrating substantial use of the service (NHS England, 2026). Pharmacies also improve medicines safety by checking prescriptions, identifying interactions, supporting adherence and giving safety-netting advice. For people living with long-term conditions, this can increase confidence and independence in managing treatment.</w:t>
      </w:r>
    </w:p>
    <w:p w:rsidR="00173CB8" w:rsidP="00910935" w:rsidRDefault="00DB4C06" w14:paraId="050F75EB" w14:textId="77777777">
      <w:pPr>
        <w:spacing w:after="100"/>
        <w:ind w:firstLine="360"/>
      </w:pPr>
      <w:r>
        <w:t>However, expansion should not be treated as automatically effective. A UK systematic review found that patients generally valued community pharmacy services, but awareness of extended services was limited and recognition of pharmacists’ clinical skills affected uptake (Hindi, Schafheutle and Jacobs, 2018). Another systematic review found that collaboration between community pharmacists and GPs remained a barrier to successful integration (Hindi, Jacobs and Schafheutle, 2019). Current service pressures also matter. The House of Commons Library identifies pharmacy closures, workforce difficulties and funding pressures as continuing concerns, meaning that policy may expand pharmacists’ responsibilities faster than local capacity grows (House of Commons Library, 2026). Pharmacy First is also an advanced service rather than a compulsory service for every pharmacy, so access may vary between communities (Community Pharmacy England, 2026c).</w:t>
      </w:r>
    </w:p>
    <w:p w:rsidR="00173CB8" w:rsidP="00910935" w:rsidRDefault="00DB4C06" w14:paraId="3D2B6002" w14:textId="77777777">
      <w:pPr>
        <w:pStyle w:val="SectionBlue"/>
      </w:pPr>
      <w:r>
        <w:t>Significance for quality of life</w:t>
      </w:r>
    </w:p>
    <w:p w:rsidR="00173CB8" w:rsidP="00910935" w:rsidRDefault="00DB4C06" w14:paraId="440F09F0" w14:textId="77777777">
      <w:pPr>
        <w:spacing w:after="100"/>
        <w:ind w:firstLine="360"/>
      </w:pPr>
      <w:r>
        <w:t>Despite these limitations, pharmacy services can significantly enhance quality of life. Convenient access to treatment may shorten the time a person spends in pain or discomfort, while effective medicines support can reduce avoidable side effects, poor adherence and hospital use. Preventive services such as blood-pressure checks, smoking cessation, contraception and vaccination may identify risk earlier and support healthier choices. For older or housebound people, research suggests pharmacist-led medicines optimisation can identify medication problems and improve care, although the evidence base is still limited and more robust evaluation is needed (Blease et al., 2025). This is important because a service should be judged not only by the number of consultations delivered but also by whether it produces safer treatment, equitable access and better patient-reported outcomes.</w:t>
      </w:r>
    </w:p>
    <w:p w:rsidR="00173CB8" w:rsidP="00910935" w:rsidRDefault="00DB4C06" w14:paraId="0FFD1488" w14:textId="77777777">
      <w:pPr>
        <w:pStyle w:val="SectionBlue"/>
      </w:pPr>
      <w:r>
        <w:lastRenderedPageBreak/>
        <w:t>Conclusion</w:t>
      </w:r>
    </w:p>
    <w:p w:rsidR="00291309" w:rsidP="00910935" w:rsidRDefault="00291309" w14:paraId="294FBEF1" w14:textId="678F43A3">
      <w:pPr>
        <w:spacing w:after="100"/>
        <w:ind w:firstLine="360"/>
      </w:pPr>
      <w:r w:rsidR="00DB4C06">
        <w:rPr/>
        <w:t xml:space="preserve">In conclusion, pharmacy services evolved through professional regulation, the establishment of the </w:t>
      </w:r>
      <w:r w:rsidR="00DB4C06">
        <w:rPr/>
        <w:t>NHS</w:t>
      </w:r>
      <w:r w:rsidR="00DB4C06">
        <w:rPr/>
        <w:t xml:space="preserve"> and a gradual move from medicine supply towards clinical primary care. Modern community pharmacy can improve access, prevention, medicines safety and self-management, all of which can support quality of life. Its future value will depend on sustainable funding, workforce capacity, public understanding, shared </w:t>
      </w:r>
      <w:r w:rsidR="00DB4C06">
        <w:rPr/>
        <w:t>records</w:t>
      </w:r>
      <w:r w:rsidR="00DB4C06">
        <w:rPr/>
        <w:t xml:space="preserve"> and stronger partnership with GPs and other services. Expansion is therefore beneficial, but quality and integration must develop alongside the pharmacist’s growing clinical role.</w:t>
      </w:r>
    </w:p>
    <w:p w:rsidR="1C982F04" w:rsidP="1C982F04" w:rsidRDefault="1C982F04" w14:paraId="2D0A0E4C" w14:textId="4EE65D90">
      <w:pPr>
        <w:spacing w:after="100"/>
        <w:ind w:firstLine="360"/>
      </w:pPr>
    </w:p>
    <w:p w:rsidR="00173CB8" w:rsidP="00910935" w:rsidRDefault="00DB4C06" w14:paraId="3186BD8F" w14:textId="77777777">
      <w:pPr>
        <w:pStyle w:val="TaskTitle"/>
        <w:spacing w:before="400"/>
      </w:pPr>
      <w:r>
        <w:lastRenderedPageBreak/>
        <w:t>Reference List</w:t>
      </w:r>
    </w:p>
    <w:p w:rsidR="00B1009A" w:rsidP="00291309" w:rsidRDefault="00000000" w14:paraId="1922DDC2" w14:textId="77777777">
      <w:pPr>
        <w:pStyle w:val="ReferenceEntry"/>
        <w:numPr>
          <w:ilvl w:val="0"/>
          <w:numId w:val="11"/>
        </w:numPr>
        <w:spacing w:after="0"/>
      </w:pPr>
      <w:r>
        <w:t xml:space="preserve">Birmingham City Council (2025) </w:t>
      </w:r>
      <w:r>
        <w:rPr>
          <w:i/>
        </w:rPr>
        <w:t>Market Position Statement 2025 – Supported Living</w:t>
      </w:r>
      <w:r>
        <w:t xml:space="preserve">. Available at: </w:t>
      </w:r>
      <w:hyperlink r:id="rId8">
        <w:r>
          <w:rPr>
            <w:color w:val="215D91"/>
            <w:u w:val="single"/>
          </w:rPr>
          <w:t>https://www.birmingham.gov.uk/download/downloads/id/30888/supported_living_-_mps_-_full_document.pdf</w:t>
        </w:r>
      </w:hyperlink>
      <w:r>
        <w:t xml:space="preserve"> (Accessed: 18 October 2026).</w:t>
      </w:r>
    </w:p>
    <w:p w:rsidR="00B1009A" w:rsidP="00291309" w:rsidRDefault="00000000" w14:paraId="69A227E7" w14:textId="77777777">
      <w:pPr>
        <w:pStyle w:val="ReferenceEntry"/>
        <w:numPr>
          <w:ilvl w:val="0"/>
          <w:numId w:val="11"/>
        </w:numPr>
        <w:spacing w:after="0"/>
      </w:pPr>
      <w:r>
        <w:t xml:space="preserve">Birmingham City Council (n.d.) </w:t>
      </w:r>
      <w:r>
        <w:rPr>
          <w:i/>
        </w:rPr>
        <w:t>Help for people with learning disabilities and/or autism</w:t>
      </w:r>
      <w:r>
        <w:t xml:space="preserve">. Available at: </w:t>
      </w:r>
      <w:hyperlink r:id="rId9">
        <w:r>
          <w:rPr>
            <w:color w:val="215D91"/>
            <w:u w:val="single"/>
          </w:rPr>
          <w:t>https://www.birmingham.gov.uk/LearningDisabilityAdults</w:t>
        </w:r>
      </w:hyperlink>
      <w:r>
        <w:t xml:space="preserve"> (Accessed: 18 October 2026).</w:t>
      </w:r>
    </w:p>
    <w:p w:rsidR="00B1009A" w:rsidP="00291309" w:rsidRDefault="00000000" w14:paraId="0CE1AD40" w14:textId="77777777">
      <w:pPr>
        <w:pStyle w:val="ReferenceEntry"/>
        <w:numPr>
          <w:ilvl w:val="0"/>
          <w:numId w:val="11"/>
        </w:numPr>
        <w:spacing w:after="0"/>
      </w:pPr>
      <w:r>
        <w:t xml:space="preserve">Birmingham City Council (2026) </w:t>
      </w:r>
      <w:r>
        <w:rPr>
          <w:i/>
        </w:rPr>
        <w:t>Councillor Nosheen Khalid – Cabinet Member for Health and Social Care</w:t>
      </w:r>
      <w:r>
        <w:t xml:space="preserve">. Available at: </w:t>
      </w:r>
      <w:hyperlink r:id="rId10">
        <w:r>
          <w:rPr>
            <w:color w:val="215D91"/>
            <w:u w:val="single"/>
          </w:rPr>
          <w:t>https://www.birmingham.gov.uk/councillors/61/</w:t>
        </w:r>
      </w:hyperlink>
      <w:r>
        <w:t xml:space="preserve"> (Accessed: 18 October 2026).</w:t>
      </w:r>
    </w:p>
    <w:p w:rsidR="00B1009A" w:rsidP="00291309" w:rsidRDefault="00000000" w14:paraId="48C02C0B" w14:textId="77777777">
      <w:pPr>
        <w:pStyle w:val="ReferenceEntry"/>
        <w:numPr>
          <w:ilvl w:val="0"/>
          <w:numId w:val="11"/>
        </w:numPr>
        <w:spacing w:after="0"/>
      </w:pPr>
      <w:r>
        <w:t xml:space="preserve">Blease, J., Bhonsle, Y., Ireson, R., Farroha, A., Westley, G., Cooper, R. and Hind, D. (2025) ‘The role of community pharmacists in medicines optimisation for housebound people: A scoping review’, </w:t>
      </w:r>
      <w:r>
        <w:rPr>
          <w:i/>
        </w:rPr>
        <w:t>PLOS ONE</w:t>
      </w:r>
      <w:r>
        <w:t xml:space="preserve">, 20(9), e0331294. Available at: </w:t>
      </w:r>
      <w:hyperlink r:id="rId11">
        <w:r>
          <w:rPr>
            <w:color w:val="215D91"/>
            <w:u w:val="single"/>
          </w:rPr>
          <w:t>https://pubmed.ncbi.nlm.nih.gov/40934207/</w:t>
        </w:r>
      </w:hyperlink>
      <w:r>
        <w:t xml:space="preserve"> (Accessed: 18 October 2026).</w:t>
      </w:r>
    </w:p>
    <w:p w:rsidR="00B1009A" w:rsidP="00291309" w:rsidRDefault="00000000" w14:paraId="0F6679E4" w14:textId="77777777">
      <w:pPr>
        <w:pStyle w:val="ReferenceEntry"/>
        <w:numPr>
          <w:ilvl w:val="0"/>
          <w:numId w:val="11"/>
        </w:numPr>
        <w:spacing w:after="0"/>
      </w:pPr>
      <w:r>
        <w:t xml:space="preserve">Care Act 2014, Part 1: Care and support. Available at: </w:t>
      </w:r>
      <w:hyperlink r:id="rId12">
        <w:r>
          <w:rPr>
            <w:color w:val="215D91"/>
            <w:u w:val="single"/>
          </w:rPr>
          <w:t>https://www.legislation.gov.uk/ukpga/2014/23/part/1</w:t>
        </w:r>
      </w:hyperlink>
      <w:r>
        <w:t xml:space="preserve"> (Accessed: 18 October 2026).</w:t>
      </w:r>
    </w:p>
    <w:p w:rsidR="00B1009A" w:rsidP="00291309" w:rsidRDefault="00000000" w14:paraId="695ED5C6" w14:textId="77777777">
      <w:pPr>
        <w:pStyle w:val="ReferenceEntry"/>
        <w:numPr>
          <w:ilvl w:val="0"/>
          <w:numId w:val="11"/>
        </w:numPr>
        <w:spacing w:after="0"/>
      </w:pPr>
      <w:r>
        <w:t xml:space="preserve">Care Quality Commission (CQC) (2026) </w:t>
      </w:r>
      <w:r>
        <w:rPr>
          <w:i/>
        </w:rPr>
        <w:t>Birmingham City Council: local authority assessment – Overall summary</w:t>
      </w:r>
      <w:r>
        <w:t xml:space="preserve">. Available at: </w:t>
      </w:r>
      <w:hyperlink r:id="rId13">
        <w:r>
          <w:rPr>
            <w:color w:val="215D91"/>
            <w:u w:val="single"/>
          </w:rPr>
          <w:t>https://www.cqc.org.uk/care-services/local-authority-assessment-reports/birmingham-0526/summary</w:t>
        </w:r>
      </w:hyperlink>
      <w:r>
        <w:t xml:space="preserve"> (Accessed: 18 October 2026).</w:t>
      </w:r>
    </w:p>
    <w:p w:rsidR="00B1009A" w:rsidP="00291309" w:rsidRDefault="00000000" w14:paraId="763C04BD" w14:textId="77777777">
      <w:pPr>
        <w:pStyle w:val="ReferenceEntry"/>
        <w:numPr>
          <w:ilvl w:val="0"/>
          <w:numId w:val="11"/>
        </w:numPr>
        <w:spacing w:after="0"/>
      </w:pPr>
      <w:r>
        <w:t xml:space="preserve">Community Pharmacy England (2026a) </w:t>
      </w:r>
      <w:r>
        <w:rPr>
          <w:i/>
        </w:rPr>
        <w:t>Advanced services</w:t>
      </w:r>
      <w:r>
        <w:t xml:space="preserve">. Available at: </w:t>
      </w:r>
      <w:hyperlink r:id="rId14">
        <w:r>
          <w:rPr>
            <w:color w:val="215D91"/>
            <w:u w:val="single"/>
          </w:rPr>
          <w:t>https://cpe.org.uk/national-pharmacy-services/advanced-services/</w:t>
        </w:r>
      </w:hyperlink>
      <w:r>
        <w:t xml:space="preserve"> (Accessed: 18 October 2026).</w:t>
      </w:r>
    </w:p>
    <w:p w:rsidR="00B1009A" w:rsidP="00291309" w:rsidRDefault="00000000" w14:paraId="778EB181" w14:textId="77777777">
      <w:pPr>
        <w:pStyle w:val="ReferenceEntry"/>
        <w:numPr>
          <w:ilvl w:val="0"/>
          <w:numId w:val="11"/>
        </w:numPr>
        <w:spacing w:after="0"/>
      </w:pPr>
      <w:r>
        <w:t xml:space="preserve">Community Pharmacy England (2026b) </w:t>
      </w:r>
      <w:r>
        <w:rPr>
          <w:i/>
        </w:rPr>
        <w:t>New Medicine Service (NMS)</w:t>
      </w:r>
      <w:r>
        <w:t xml:space="preserve">. Available at: </w:t>
      </w:r>
      <w:hyperlink r:id="rId15">
        <w:r>
          <w:rPr>
            <w:color w:val="215D91"/>
            <w:u w:val="single"/>
          </w:rPr>
          <w:t>https://cpe.org.uk/national-pharmacy-services/advanced-services/nms/</w:t>
        </w:r>
      </w:hyperlink>
      <w:r>
        <w:t xml:space="preserve"> (Accessed: 18 October 2026).</w:t>
      </w:r>
    </w:p>
    <w:p w:rsidR="00B1009A" w:rsidP="00291309" w:rsidRDefault="00000000" w14:paraId="383CA2F7" w14:textId="77777777">
      <w:pPr>
        <w:pStyle w:val="ReferenceEntry"/>
        <w:numPr>
          <w:ilvl w:val="0"/>
          <w:numId w:val="11"/>
        </w:numPr>
        <w:spacing w:after="0"/>
      </w:pPr>
      <w:r>
        <w:t xml:space="preserve">Community Pharmacy England (2026c) </w:t>
      </w:r>
      <w:r>
        <w:rPr>
          <w:i/>
        </w:rPr>
        <w:t>Pharmacy First service</w:t>
      </w:r>
      <w:r>
        <w:t xml:space="preserve">. Available at: </w:t>
      </w:r>
      <w:hyperlink r:id="rId16">
        <w:r>
          <w:rPr>
            <w:color w:val="215D91"/>
            <w:u w:val="single"/>
          </w:rPr>
          <w:t>https://cpe.org.uk/national-pharmacy-services/advanced-services/pharmacy-first-service/</w:t>
        </w:r>
      </w:hyperlink>
      <w:r>
        <w:t xml:space="preserve"> (Accessed: 18 October 2026).</w:t>
      </w:r>
    </w:p>
    <w:p w:rsidR="00B1009A" w:rsidP="00291309" w:rsidRDefault="00000000" w14:paraId="0944B660" w14:textId="77777777">
      <w:pPr>
        <w:pStyle w:val="ReferenceEntry"/>
        <w:numPr>
          <w:ilvl w:val="0"/>
          <w:numId w:val="11"/>
        </w:numPr>
        <w:spacing w:after="0"/>
      </w:pPr>
      <w:r>
        <w:t xml:space="preserve">Hindi, A.M.K., Schafheutle, E.I. and Jacobs, S. (2018) ‘Patient and public perspectives of community pharmacies in the United Kingdom: A systematic review’, </w:t>
      </w:r>
      <w:r>
        <w:rPr>
          <w:i/>
        </w:rPr>
        <w:t>Health Expectations</w:t>
      </w:r>
      <w:r>
        <w:t xml:space="preserve">, 21(2), pp. 409–428. Available at: </w:t>
      </w:r>
      <w:hyperlink r:id="rId17">
        <w:r>
          <w:rPr>
            <w:color w:val="215D91"/>
            <w:u w:val="single"/>
          </w:rPr>
          <w:t>https://pubmed.ncbi.nlm.nih.gov/29114971/</w:t>
        </w:r>
      </w:hyperlink>
      <w:r>
        <w:t xml:space="preserve"> (Accessed: 18 October 2026).</w:t>
      </w:r>
    </w:p>
    <w:p w:rsidR="00B1009A" w:rsidP="00291309" w:rsidRDefault="00000000" w14:paraId="2C152FC8" w14:textId="77777777">
      <w:pPr>
        <w:pStyle w:val="ReferenceEntry"/>
        <w:numPr>
          <w:ilvl w:val="0"/>
          <w:numId w:val="11"/>
        </w:numPr>
        <w:spacing w:after="0"/>
      </w:pPr>
      <w:r>
        <w:t xml:space="preserve">Hindi, A.M.K., Jacobs, S. and Schafheutle, E.I. (2019) ‘Solidarity or dissonance? A systematic review of pharmacist and GP views on community pharmacy services in the </w:t>
      </w:r>
      <w:r>
        <w:lastRenderedPageBreak/>
        <w:t xml:space="preserve">UK’, </w:t>
      </w:r>
      <w:r>
        <w:rPr>
          <w:i/>
        </w:rPr>
        <w:t>Health &amp; Social Care in the Community</w:t>
      </w:r>
      <w:r>
        <w:t xml:space="preserve">, 27(3), pp. 565–598. Available at: </w:t>
      </w:r>
      <w:hyperlink r:id="rId18">
        <w:r>
          <w:rPr>
            <w:color w:val="215D91"/>
            <w:u w:val="single"/>
          </w:rPr>
          <w:t>https://pubmed.ncbi.nlm.nih.gov/30047617/</w:t>
        </w:r>
      </w:hyperlink>
      <w:r>
        <w:t xml:space="preserve"> (Accessed: 18 October 2026).</w:t>
      </w:r>
    </w:p>
    <w:p w:rsidR="00B1009A" w:rsidP="00291309" w:rsidRDefault="00000000" w14:paraId="43D6DA42" w14:textId="77777777">
      <w:pPr>
        <w:pStyle w:val="ReferenceEntry"/>
        <w:numPr>
          <w:ilvl w:val="0"/>
          <w:numId w:val="11"/>
        </w:numPr>
        <w:spacing w:after="0"/>
      </w:pPr>
      <w:r>
        <w:t xml:space="preserve">House of Commons Library (2026) </w:t>
      </w:r>
      <w:r>
        <w:rPr>
          <w:i/>
        </w:rPr>
        <w:t>Community pharmacy in England</w:t>
      </w:r>
      <w:r>
        <w:t xml:space="preserve">. Research Briefing CBP-9854. Available at: </w:t>
      </w:r>
      <w:hyperlink r:id="rId19">
        <w:r>
          <w:rPr>
            <w:color w:val="215D91"/>
            <w:u w:val="single"/>
          </w:rPr>
          <w:t>https://commonslibrary.parliament.uk/research-briefings/cbp-9854/</w:t>
        </w:r>
      </w:hyperlink>
      <w:r>
        <w:t xml:space="preserve"> (Accessed: 18 October 2026).</w:t>
      </w:r>
    </w:p>
    <w:p w:rsidR="00B1009A" w:rsidP="00291309" w:rsidRDefault="00000000" w14:paraId="247FDE36" w14:textId="77777777">
      <w:pPr>
        <w:pStyle w:val="ReferenceEntry"/>
        <w:numPr>
          <w:ilvl w:val="0"/>
          <w:numId w:val="11"/>
        </w:numPr>
        <w:spacing w:after="0"/>
      </w:pPr>
      <w:r>
        <w:t xml:space="preserve">Medicines Act 1968. Available at: </w:t>
      </w:r>
      <w:hyperlink r:id="rId20">
        <w:r>
          <w:rPr>
            <w:color w:val="215D91"/>
            <w:u w:val="single"/>
          </w:rPr>
          <w:t>https://www.legislation.gov.uk/ukpga/1968/67/contents</w:t>
        </w:r>
      </w:hyperlink>
      <w:r>
        <w:t xml:space="preserve"> (Accessed: 18 October 2026).</w:t>
      </w:r>
    </w:p>
    <w:p w:rsidR="00B1009A" w:rsidP="00291309" w:rsidRDefault="00000000" w14:paraId="587C74FD" w14:textId="77777777">
      <w:pPr>
        <w:pStyle w:val="ReferenceEntry"/>
        <w:numPr>
          <w:ilvl w:val="0"/>
          <w:numId w:val="11"/>
        </w:numPr>
        <w:spacing w:after="0"/>
      </w:pPr>
      <w:r>
        <w:t xml:space="preserve">NHS England (2024) </w:t>
      </w:r>
      <w:r>
        <w:rPr>
          <w:i/>
        </w:rPr>
        <w:t>Launch of NHS Pharmacy First advanced service</w:t>
      </w:r>
      <w:r>
        <w:t xml:space="preserve">. Available at: </w:t>
      </w:r>
      <w:hyperlink r:id="rId21">
        <w:r>
          <w:rPr>
            <w:color w:val="215D91"/>
            <w:u w:val="single"/>
          </w:rPr>
          <w:t>https://www.england.nhs.uk/long-read/launch-of-nhs-pharmacy-first-advanced-service/</w:t>
        </w:r>
      </w:hyperlink>
      <w:r>
        <w:t xml:space="preserve"> (Accessed: 18 October 2026).</w:t>
      </w:r>
    </w:p>
    <w:p w:rsidR="00B1009A" w:rsidP="00291309" w:rsidRDefault="00000000" w14:paraId="39A0F0AB" w14:textId="77777777">
      <w:pPr>
        <w:pStyle w:val="ReferenceEntry"/>
        <w:numPr>
          <w:ilvl w:val="0"/>
          <w:numId w:val="11"/>
        </w:numPr>
        <w:spacing w:after="0"/>
      </w:pPr>
      <w:r>
        <w:t xml:space="preserve">NHS England (2026) </w:t>
      </w:r>
      <w:r>
        <w:rPr>
          <w:i/>
        </w:rPr>
        <w:t>Pharmacy Quality Scheme 2026/27: clinical services audit – Pharmacy First clinical pathways consultations</w:t>
      </w:r>
      <w:r>
        <w:t xml:space="preserve">. Available at: </w:t>
      </w:r>
      <w:hyperlink r:id="rId22">
        <w:r>
          <w:rPr>
            <w:color w:val="215D91"/>
            <w:u w:val="single"/>
          </w:rPr>
          <w:t>https://www.england.nhs.uk/long-read/pharmacy-quality-scheme-2026-27-clinical-services-audit-pharmacy-first-clinical-pathways-consultations/</w:t>
        </w:r>
      </w:hyperlink>
      <w:r>
        <w:t xml:space="preserve"> (Accessed: 18 October 2026).</w:t>
      </w:r>
    </w:p>
    <w:p w:rsidR="00B1009A" w:rsidP="00291309" w:rsidRDefault="00000000" w14:paraId="6E3D9308" w14:textId="77777777">
      <w:pPr>
        <w:pStyle w:val="ReferenceEntry"/>
        <w:numPr>
          <w:ilvl w:val="0"/>
          <w:numId w:val="11"/>
        </w:numPr>
        <w:spacing w:after="0"/>
      </w:pPr>
      <w:r>
        <w:t xml:space="preserve">Royal College of Pharmacy (2023) </w:t>
      </w:r>
      <w:r>
        <w:rPr>
          <w:i/>
        </w:rPr>
        <w:t>The history of the Royal College of Pharmacy</w:t>
      </w:r>
      <w:r>
        <w:t xml:space="preserve">. Available at: </w:t>
      </w:r>
      <w:hyperlink r:id="rId23">
        <w:r>
          <w:rPr>
            <w:color w:val="215D91"/>
            <w:u w:val="single"/>
          </w:rPr>
          <w:t>https://www.rcpharm.org/our-heritage/history-of-rcpharm/</w:t>
        </w:r>
      </w:hyperlink>
      <w:r>
        <w:t xml:space="preserve"> (Accessed: 18 October 2026).</w:t>
      </w:r>
    </w:p>
    <w:p w:rsidR="00B1009A" w:rsidP="00291309" w:rsidRDefault="00000000" w14:paraId="4B3E7B9D" w14:textId="77777777">
      <w:pPr>
        <w:pStyle w:val="ReferenceEntry"/>
        <w:numPr>
          <w:ilvl w:val="0"/>
          <w:numId w:val="11"/>
        </w:numPr>
        <w:spacing w:after="0"/>
      </w:pPr>
      <w:r>
        <w:t xml:space="preserve">Skills for Care (2026) </w:t>
      </w:r>
      <w:r>
        <w:rPr>
          <w:i/>
        </w:rPr>
        <w:t>Adult social care vacancy rate falls to lowest level in a decade as workforce grows</w:t>
      </w:r>
      <w:r>
        <w:t xml:space="preserve">. Available at: </w:t>
      </w:r>
      <w:hyperlink r:id="rId24">
        <w:r>
          <w:rPr>
            <w:color w:val="215D91"/>
            <w:u w:val="single"/>
          </w:rPr>
          <w:t>https://www.skillsforcare.org.uk/news-and-events/news/adult-social-care-vacancy-rate-falls-to-lowest-level-in-a-decade-as-workforce-grows</w:t>
        </w:r>
      </w:hyperlink>
      <w:r>
        <w:t xml:space="preserve"> (Accessed: 18 October 2026).</w:t>
      </w:r>
    </w:p>
    <w:p w:rsidR="00B1009A" w:rsidP="00291309" w:rsidRDefault="00000000" w14:paraId="37190A7B" w14:textId="77777777">
      <w:pPr>
        <w:pStyle w:val="ReferenceEntry"/>
        <w:numPr>
          <w:ilvl w:val="0"/>
          <w:numId w:val="11"/>
        </w:numPr>
        <w:spacing w:after="0"/>
      </w:pPr>
      <w:r>
        <w:t xml:space="preserve">UK Parliament (n.d.) </w:t>
      </w:r>
      <w:r>
        <w:rPr>
          <w:i/>
        </w:rPr>
        <w:t>1946 National Health Service Act</w:t>
      </w:r>
      <w:r>
        <w:t xml:space="preserve">. Available at: </w:t>
      </w:r>
      <w:hyperlink r:id="rId25">
        <w:r>
          <w:rPr>
            <w:color w:val="215D91"/>
            <w:u w:val="single"/>
          </w:rPr>
          <w:t>https://www.parliament.uk/about/living-heritage/transformingsociety/livinglearning/coll-9-health1/health-01/</w:t>
        </w:r>
      </w:hyperlink>
      <w:r>
        <w:t xml:space="preserve"> (Accessed: 18 October 2026).</w:t>
      </w:r>
    </w:p>
    <w:sectPr w:rsidR="00B1009A" w:rsidSect="00034616">
      <w:headerReference w:type="default" r:id="rId26"/>
      <w:footerReference w:type="default" r:id="rId27"/>
      <w:pgSz w:w="12240" w:h="15840" w:orient="portrait"/>
      <w:pgMar w:top="950" w:right="1296" w:bottom="936" w:left="1296"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E3959" w:rsidRDefault="009E3959" w14:paraId="78D44238" w14:textId="77777777">
      <w:pPr>
        <w:spacing w:after="0" w:line="240" w:lineRule="auto"/>
      </w:pPr>
      <w:r>
        <w:separator/>
      </w:r>
    </w:p>
  </w:endnote>
  <w:endnote w:type="continuationSeparator" w:id="0">
    <w:p w:rsidR="009E3959" w:rsidRDefault="009E3959" w14:paraId="7115478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73CB8" w:rsidRDefault="00DB4C06" w14:paraId="0B71B673" w14:textId="77777777">
    <w:pPr>
      <w:pStyle w:val="Footer"/>
      <w:jc w:val="center"/>
    </w:pPr>
    <w:r>
      <w:rPr>
        <w:color w:val="595959"/>
      </w:rPr>
      <w:t xml:space="preserve">Page </w:t>
    </w:r>
    <w:r>
      <w:fldChar w:fldCharType="begin"/>
    </w:r>
    <w:r>
      <w:instrText>PAGE</w:instrText>
    </w:r>
    <w:r>
      <w:fldChar w:fldCharType="separate"/>
    </w:r>
    <w:r w:rsidR="00022DE1">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E3959" w:rsidRDefault="009E3959" w14:paraId="3CA5C277" w14:textId="77777777">
      <w:pPr>
        <w:spacing w:after="0" w:line="240" w:lineRule="auto"/>
      </w:pPr>
      <w:r>
        <w:separator/>
      </w:r>
    </w:p>
  </w:footnote>
  <w:footnote w:type="continuationSeparator" w:id="0">
    <w:p w:rsidR="009E3959" w:rsidRDefault="009E3959" w14:paraId="3D6961E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73CB8" w:rsidRDefault="00DB4C06" w14:paraId="468B6545" w14:textId="77777777">
    <w:pPr>
      <w:pStyle w:val="Header"/>
      <w:jc w:val="right"/>
    </w:pPr>
    <w:r>
      <w:rPr>
        <w:color w:val="595959"/>
      </w:rPr>
      <w:t>LCHS4003 | Introduction to 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462C52C9"/>
    <w:multiLevelType w:val="hybridMultilevel"/>
    <w:tmpl w:val="5A90DA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5EC2F86"/>
    <w:multiLevelType w:val="hybridMultilevel"/>
    <w:tmpl w:val="C944BD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80128641">
    <w:abstractNumId w:val="8"/>
  </w:num>
  <w:num w:numId="2" w16cid:durableId="1631394889">
    <w:abstractNumId w:val="6"/>
  </w:num>
  <w:num w:numId="3" w16cid:durableId="59908287">
    <w:abstractNumId w:val="5"/>
  </w:num>
  <w:num w:numId="4" w16cid:durableId="660737149">
    <w:abstractNumId w:val="4"/>
  </w:num>
  <w:num w:numId="5" w16cid:durableId="1385833390">
    <w:abstractNumId w:val="7"/>
  </w:num>
  <w:num w:numId="6" w16cid:durableId="632911243">
    <w:abstractNumId w:val="3"/>
  </w:num>
  <w:num w:numId="7" w16cid:durableId="1307007867">
    <w:abstractNumId w:val="2"/>
  </w:num>
  <w:num w:numId="8" w16cid:durableId="1436553795">
    <w:abstractNumId w:val="1"/>
  </w:num>
  <w:num w:numId="9" w16cid:durableId="1623683135">
    <w:abstractNumId w:val="0"/>
  </w:num>
  <w:num w:numId="10" w16cid:durableId="1468469303">
    <w:abstractNumId w:val="9"/>
  </w:num>
  <w:num w:numId="11" w16cid:durableId="17286085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0000"/>
    <w:rsid w:val="00022DE1"/>
    <w:rsid w:val="00034616"/>
    <w:rsid w:val="0006063C"/>
    <w:rsid w:val="00070B09"/>
    <w:rsid w:val="0015074B"/>
    <w:rsid w:val="00166F3B"/>
    <w:rsid w:val="00173CB8"/>
    <w:rsid w:val="00291309"/>
    <w:rsid w:val="0029639D"/>
    <w:rsid w:val="00326F90"/>
    <w:rsid w:val="00366821"/>
    <w:rsid w:val="003B4B96"/>
    <w:rsid w:val="00464E8F"/>
    <w:rsid w:val="004A648D"/>
    <w:rsid w:val="00622478"/>
    <w:rsid w:val="00702DD8"/>
    <w:rsid w:val="00731AFA"/>
    <w:rsid w:val="00873A2F"/>
    <w:rsid w:val="008A2799"/>
    <w:rsid w:val="008F0916"/>
    <w:rsid w:val="00910935"/>
    <w:rsid w:val="009500DD"/>
    <w:rsid w:val="009E3959"/>
    <w:rsid w:val="00AA1D8D"/>
    <w:rsid w:val="00B1009A"/>
    <w:rsid w:val="00B47730"/>
    <w:rsid w:val="00CB0664"/>
    <w:rsid w:val="00D64090"/>
    <w:rsid w:val="00DB4C06"/>
    <w:rsid w:val="00F71AFA"/>
    <w:rsid w:val="00FC693F"/>
    <w:rsid w:val="00FF4367"/>
    <w:rsid w:val="1C982F04"/>
    <w:rsid w:val="751C350B"/>
    <w:rsid w:val="7ACF8B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C90536B"/>
  <w14:defaultImageDpi w14:val="300"/>
  <w15:docId w15:val="{9FB65220-85AC-46A1-925B-1C3E394B8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pPr>
      <w:spacing w:after="120" w:line="360" w:lineRule="auto"/>
      <w:jc w:val="both"/>
    </w:pPr>
    <w:rPr>
      <w:rFonts w:ascii="Arial" w:hAnsi="Arial" w:eastAsia="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AssignmentTitle" w:customStyle="1">
    <w:name w:val="Assignment Title"/>
    <w:pPr>
      <w:keepNext/>
      <w:spacing w:after="160"/>
    </w:pPr>
    <w:rPr>
      <w:rFonts w:ascii="Arial" w:hAnsi="Arial" w:eastAsia="Arial"/>
      <w:b/>
      <w:color w:val="1F4E79"/>
      <w:sz w:val="40"/>
    </w:rPr>
  </w:style>
  <w:style w:type="paragraph" w:styleId="TaskTitle" w:customStyle="1">
    <w:name w:val="Task Title"/>
    <w:pPr>
      <w:keepNext/>
      <w:spacing w:before="240" w:after="160" w:line="360" w:lineRule="auto"/>
    </w:pPr>
    <w:rPr>
      <w:rFonts w:ascii="Arial" w:hAnsi="Arial" w:eastAsia="Arial"/>
      <w:b/>
      <w:color w:val="1F4E79"/>
    </w:rPr>
  </w:style>
  <w:style w:type="paragraph" w:styleId="SectionBlue" w:customStyle="1">
    <w:name w:val="Section Blue"/>
    <w:pPr>
      <w:keepNext/>
      <w:spacing w:before="200" w:after="80" w:line="360" w:lineRule="auto"/>
    </w:pPr>
    <w:rPr>
      <w:rFonts w:ascii="Arial" w:hAnsi="Arial" w:eastAsia="Arial"/>
      <w:b/>
      <w:color w:val="1F4E79"/>
    </w:rPr>
  </w:style>
  <w:style w:type="paragraph" w:styleId="ReferenceEntry" w:customStyle="1">
    <w:name w:val="Reference Entry"/>
    <w:pPr>
      <w:spacing w:after="80" w:line="360" w:lineRule="auto"/>
    </w:pPr>
    <w:rPr>
      <w:rFonts w:ascii="Arial" w:hAnsi="Arial" w:eastAsia="Arial"/>
      <w:color w:val="1F3246"/>
    </w:rPr>
  </w:style>
  <w:style w:type="character" w:styleId="Hyperlink">
    <w:name w:val="Hyperlink"/>
    <w:basedOn w:val="DefaultParagraphFont"/>
    <w:uiPriority w:val="99"/>
    <w:unhideWhenUsed/>
    <w:rsid w:val="00366821"/>
    <w:rPr>
      <w:color w:val="0000FF" w:themeColor="hyperlink"/>
      <w:u w:val="single"/>
    </w:rPr>
  </w:style>
  <w:style w:type="character" w:styleId="UnresolvedMention">
    <w:name w:val="Unresolved Mention"/>
    <w:basedOn w:val="DefaultParagraphFont"/>
    <w:uiPriority w:val="99"/>
    <w:semiHidden/>
    <w:unhideWhenUsed/>
    <w:rsid w:val="003668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hyperlink" Target="https://www.birmingham.gov.uk/download/downloads/id/30888/supported_living_-_mps_-_full_document.pdf" TargetMode="External" Id="rId8" /><Relationship Type="http://schemas.openxmlformats.org/officeDocument/2006/relationships/hyperlink" Target="https://www.cqc.org.uk/care-services/local-authority-assessment-reports/birmingham-0526/summary" TargetMode="External" Id="rId13" /><Relationship Type="http://schemas.openxmlformats.org/officeDocument/2006/relationships/hyperlink" Target="https://pubmed.ncbi.nlm.nih.gov/30047617/" TargetMode="External" Id="rId18" /><Relationship Type="http://schemas.openxmlformats.org/officeDocument/2006/relationships/header" Target="header1.xml" Id="rId26" /><Relationship Type="http://schemas.openxmlformats.org/officeDocument/2006/relationships/styles" Target="styles.xml" Id="rId3" /><Relationship Type="http://schemas.openxmlformats.org/officeDocument/2006/relationships/hyperlink" Target="https://www.england.nhs.uk/long-read/launch-of-nhs-pharmacy-first-advanced-service/" TargetMode="External" Id="rId21" /><Relationship Type="http://schemas.openxmlformats.org/officeDocument/2006/relationships/endnotes" Target="endnotes.xml" Id="rId7" /><Relationship Type="http://schemas.openxmlformats.org/officeDocument/2006/relationships/hyperlink" Target="https://www.legislation.gov.uk/ukpga/2014/23/part/1" TargetMode="External" Id="rId12" /><Relationship Type="http://schemas.openxmlformats.org/officeDocument/2006/relationships/hyperlink" Target="https://pubmed.ncbi.nlm.nih.gov/29114971/" TargetMode="External" Id="rId17" /><Relationship Type="http://schemas.openxmlformats.org/officeDocument/2006/relationships/hyperlink" Target="https://www.parliament.uk/about/living-heritage/transformingsociety/livinglearning/coll-9-health1/health-01/" TargetMode="External" Id="rId25" /><Relationship Type="http://schemas.openxmlformats.org/officeDocument/2006/relationships/numbering" Target="numbering.xml" Id="rId2" /><Relationship Type="http://schemas.openxmlformats.org/officeDocument/2006/relationships/hyperlink" Target="https://cpe.org.uk/national-pharmacy-services/advanced-services/pharmacy-first-service/" TargetMode="External" Id="rId16" /><Relationship Type="http://schemas.openxmlformats.org/officeDocument/2006/relationships/hyperlink" Target="https://www.legislation.gov.uk/ukpga/1968/67/contents"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pubmed.ncbi.nlm.nih.gov/40934207/" TargetMode="External" Id="rId11" /><Relationship Type="http://schemas.openxmlformats.org/officeDocument/2006/relationships/hyperlink" Target="https://www.skillsforcare.org.uk/news-and-events/news/adult-social-care-vacancy-rate-falls-to-lowest-level-in-a-decade-as-workforce-grows" TargetMode="External" Id="rId24" /><Relationship Type="http://schemas.openxmlformats.org/officeDocument/2006/relationships/webSettings" Target="webSettings.xml" Id="rId5" /><Relationship Type="http://schemas.openxmlformats.org/officeDocument/2006/relationships/hyperlink" Target="https://cpe.org.uk/national-pharmacy-services/advanced-services/nms/" TargetMode="External" Id="rId15" /><Relationship Type="http://schemas.openxmlformats.org/officeDocument/2006/relationships/hyperlink" Target="https://www.rcpharm.org/our-heritage/history-of-rcpharm/" TargetMode="External" Id="rId23" /><Relationship Type="http://schemas.openxmlformats.org/officeDocument/2006/relationships/fontTable" Target="fontTable.xml" Id="rId28" /><Relationship Type="http://schemas.openxmlformats.org/officeDocument/2006/relationships/hyperlink" Target="https://www.birmingham.gov.uk/councillors/61/" TargetMode="External" Id="rId10" /><Relationship Type="http://schemas.openxmlformats.org/officeDocument/2006/relationships/hyperlink" Target="https://commonslibrary.parliament.uk/research-briefings/cbp-9854/" TargetMode="External" Id="rId19" /><Relationship Type="http://schemas.openxmlformats.org/officeDocument/2006/relationships/settings" Target="settings.xml" Id="rId4" /><Relationship Type="http://schemas.openxmlformats.org/officeDocument/2006/relationships/hyperlink" Target="https://www.birmingham.gov.uk/LearningDisabilityAdults" TargetMode="External" Id="rId9" /><Relationship Type="http://schemas.openxmlformats.org/officeDocument/2006/relationships/hyperlink" Target="https://cpe.org.uk/national-pharmacy-services/advanced-services/" TargetMode="External" Id="rId14" /><Relationship Type="http://schemas.openxmlformats.org/officeDocument/2006/relationships/hyperlink" Target="https://www.england.nhs.uk/long-read/pharmacy-quality-scheme-2026-27-clinical-services-audit-pharmacy-first-clinical-pathways-consultations/" TargetMode="External" Id="rId22" /><Relationship Type="http://schemas.openxmlformats.org/officeDocument/2006/relationships/footer" Target="footer1.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Written Assignment – Community Disability Services and Pharmacy Services</dc:title>
  <dc:subject>LCHS4003 – Component 1 coursework portfolio</dc:subject>
  <dc:creator>Student</dc:creator>
  <keywords/>
  <dc:description>generated by python-docx</dc:description>
  <lastModifiedBy>Syma Fazal (2524671)</lastModifiedBy>
  <revision>11</revision>
  <dcterms:created xsi:type="dcterms:W3CDTF">2013-12-23T15:15:00.0000000Z</dcterms:created>
  <dcterms:modified xsi:type="dcterms:W3CDTF">2026-10-18T13:25:20.3453580Z</dcterms:modified>
  <category/>
</coreProperties>
</file>