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451909838"/>
        <w:docPartObj>
          <w:docPartGallery w:val="Cover Pages"/>
          <w:docPartUnique/>
        </w:docPartObj>
      </w:sdtPr>
      <w:sdtEndPr>
        <w:rPr>
          <w:rFonts w:ascii="Arial" w:hAnsi="Arial" w:cs="Arial"/>
          <w:color w:val="auto"/>
        </w:rPr>
      </w:sdtEndPr>
      <w:sdtContent>
        <w:p w14:paraId="1470A0F9" w14:textId="22DCD8DA" w:rsidR="00E66E56" w:rsidRDefault="00E66E56">
          <w:pPr>
            <w:pStyle w:val="NoSpacing"/>
            <w:spacing w:before="1540" w:after="240"/>
            <w:jc w:val="center"/>
            <w:rPr>
              <w:color w:val="156082" w:themeColor="accent1"/>
            </w:rPr>
          </w:pPr>
          <w:r>
            <w:rPr>
              <w:noProof/>
              <w:color w:val="156082" w:themeColor="accent1"/>
            </w:rPr>
            <w:drawing>
              <wp:inline distT="0" distB="0" distL="0" distR="0" wp14:anchorId="7C80807C" wp14:editId="68CDFF7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rFonts w:ascii="Algerian" w:hAnsi="Algerian"/>
              <w:color w:val="C00000"/>
              <w:shd w:val="clear" w:color="auto" w:fill="FFFFFF"/>
            </w:rPr>
            <w:alias w:val="Title"/>
            <w:tag w:val=""/>
            <w:id w:val="1735040861"/>
            <w:placeholder>
              <w:docPart w:val="2BDAE51231024714981BB90579C04DE5"/>
            </w:placeholder>
            <w:dataBinding w:prefixMappings="xmlns:ns0='http://purl.org/dc/elements/1.1/' xmlns:ns1='http://schemas.openxmlformats.org/package/2006/metadata/core-properties' " w:xpath="/ns1:coreProperties[1]/ns0:title[1]" w:storeItemID="{6C3C8BC8-F283-45AE-878A-BAB7291924A1}"/>
            <w:text/>
          </w:sdtPr>
          <w:sdtContent>
            <w:p w14:paraId="3FDC2D39" w14:textId="28C1C893" w:rsidR="00E66E56" w:rsidRPr="00844AB8" w:rsidRDefault="00975A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844AB8">
                <w:rPr>
                  <w:rStyle w:val="Heading1Char"/>
                  <w:rFonts w:ascii="Algerian" w:hAnsi="Algerian"/>
                  <w:color w:val="C00000"/>
                  <w:shd w:val="clear" w:color="auto" w:fill="FFFFFF"/>
                </w:rPr>
                <w:t>Personnel Resourcing and Development (BMIH5005)</w:t>
              </w:r>
            </w:p>
          </w:sdtContent>
        </w:sdt>
        <w:sdt>
          <w:sdtPr>
            <w:rPr>
              <w:rStyle w:val="Heading1Char"/>
              <w:rFonts w:ascii="Algerian" w:hAnsi="Algerian" w:cs="Times New Roman"/>
              <w:color w:val="002060"/>
              <w:sz w:val="32"/>
              <w:szCs w:val="32"/>
              <w:shd w:val="clear" w:color="auto" w:fill="FFFFFF"/>
            </w:rPr>
            <w:alias w:val="Subtitle"/>
            <w:tag w:val=""/>
            <w:id w:val="328029620"/>
            <w:placeholder>
              <w:docPart w:val="D416F13A88A1499099315F1B39941CD7"/>
            </w:placeholder>
            <w:dataBinding w:prefixMappings="xmlns:ns0='http://purl.org/dc/elements/1.1/' xmlns:ns1='http://schemas.openxmlformats.org/package/2006/metadata/core-properties' " w:xpath="/ns1:coreProperties[1]/ns0:subject[1]" w:storeItemID="{6C3C8BC8-F283-45AE-878A-BAB7291924A1}"/>
            <w:text/>
          </w:sdtPr>
          <w:sdtContent>
            <w:p w14:paraId="7CBFC975" w14:textId="651133B7" w:rsidR="00E66E56" w:rsidRPr="0054007F" w:rsidRDefault="00B35036">
              <w:pPr>
                <w:pStyle w:val="NoSpacing"/>
                <w:jc w:val="center"/>
                <w:rPr>
                  <w:color w:val="002060"/>
                  <w:sz w:val="32"/>
                  <w:szCs w:val="32"/>
                  <w:highlight w:val="darkGray"/>
                </w:rPr>
              </w:pPr>
              <w:r w:rsidRPr="0054007F">
                <w:rPr>
                  <w:rStyle w:val="Heading1Char"/>
                  <w:rFonts w:ascii="Times New Roman" w:hAnsi="Times New Roman" w:cs="Times New Roman"/>
                  <w:color w:val="002060"/>
                  <w:sz w:val="32"/>
                  <w:szCs w:val="32"/>
                  <w:shd w:val="clear" w:color="auto" w:fill="FFFFFF"/>
                </w:rPr>
                <w:t>​​</w:t>
              </w:r>
              <w:r w:rsidRPr="0054007F">
                <w:rPr>
                  <w:rStyle w:val="Heading1Char"/>
                  <w:rFonts w:ascii="Algerian" w:hAnsi="Algerian" w:cs="Times New Roman"/>
                  <w:color w:val="002060"/>
                  <w:sz w:val="32"/>
                  <w:szCs w:val="32"/>
                  <w:shd w:val="clear" w:color="auto" w:fill="FFFFFF"/>
                </w:rPr>
                <w:t>HOW THE EVOLUTION OF HUMAN RESOURCES MANAGEMENT (HRM) FACILITATES THE STRATEGIC DEVELOPMENT OF THE MARRIOTT INTERNATIONAL BRAND THROUGH WORKFORCE PLANNING, RECRUITMENT, AND SELECTION</w:t>
              </w:r>
              <w:r w:rsidRPr="0054007F">
                <w:rPr>
                  <w:rStyle w:val="Heading1Char"/>
                  <w:rFonts w:ascii="Times New Roman" w:hAnsi="Times New Roman" w:cs="Times New Roman"/>
                  <w:color w:val="002060"/>
                  <w:sz w:val="32"/>
                  <w:szCs w:val="32"/>
                  <w:shd w:val="clear" w:color="auto" w:fill="FFFFFF"/>
                </w:rPr>
                <w:t>​</w:t>
              </w:r>
            </w:p>
          </w:sdtContent>
        </w:sdt>
        <w:p w14:paraId="64A080F7" w14:textId="77777777" w:rsidR="00E66E56" w:rsidRPr="0054007F" w:rsidRDefault="00E66E56">
          <w:pPr>
            <w:pStyle w:val="NoSpacing"/>
            <w:spacing w:before="480"/>
            <w:jc w:val="center"/>
            <w:rPr>
              <w:color w:val="C00000"/>
              <w:sz w:val="24"/>
              <w:szCs w:val="24"/>
            </w:rPr>
          </w:pPr>
          <w:r w:rsidRPr="0054007F">
            <w:rPr>
              <w:noProof/>
              <w:color w:val="C00000"/>
              <w:sz w:val="24"/>
              <w:szCs w:val="24"/>
              <w:highlight w:val="darkGray"/>
            </w:rPr>
            <mc:AlternateContent>
              <mc:Choice Requires="wps">
                <w:drawing>
                  <wp:anchor distT="0" distB="0" distL="114300" distR="114300" simplePos="0" relativeHeight="251659264" behindDoc="0" locked="0" layoutInCell="1" allowOverlap="1" wp14:anchorId="41CD8F8E" wp14:editId="06091D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olor w:val="C00000"/>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1A4D2C2" w14:textId="2D612148" w:rsidR="00E66E56" w:rsidRPr="009E766C" w:rsidRDefault="00077485">
                                    <w:pPr>
                                      <w:pStyle w:val="NoSpacing"/>
                                      <w:spacing w:after="40"/>
                                      <w:jc w:val="center"/>
                                      <w:rPr>
                                        <w:rFonts w:ascii="Algerian" w:hAnsi="Algerian"/>
                                        <w:caps/>
                                        <w:color w:val="C00000"/>
                                        <w:sz w:val="32"/>
                                        <w:szCs w:val="32"/>
                                      </w:rPr>
                                    </w:pPr>
                                    <w:r w:rsidRPr="009E766C">
                                      <w:rPr>
                                        <w:rFonts w:ascii="Algerian" w:hAnsi="Algerian"/>
                                        <w:color w:val="C00000"/>
                                        <w:sz w:val="32"/>
                                        <w:szCs w:val="32"/>
                                      </w:rPr>
                                      <w:t xml:space="preserve">                                                                      </w:t>
                                    </w:r>
                                    <w:r w:rsidR="003B6210" w:rsidRPr="009E766C">
                                      <w:rPr>
                                        <w:rFonts w:ascii="Algerian" w:hAnsi="Algerian"/>
                                        <w:color w:val="C00000"/>
                                        <w:sz w:val="32"/>
                                        <w:szCs w:val="32"/>
                                      </w:rPr>
                                      <w:t>Scott James</w:t>
                                    </w:r>
                                  </w:p>
                                </w:sdtContent>
                              </w:sdt>
                              <w:p w14:paraId="2B3607A3" w14:textId="5CAFC4EB" w:rsidR="00E66E56" w:rsidRPr="009E766C" w:rsidRDefault="00000000">
                                <w:pPr>
                                  <w:pStyle w:val="NoSpacing"/>
                                  <w:jc w:val="center"/>
                                  <w:rPr>
                                    <w:rFonts w:ascii="Algerian" w:hAnsi="Algerian"/>
                                    <w:color w:val="C00000"/>
                                    <w:sz w:val="32"/>
                                    <w:szCs w:val="32"/>
                                  </w:rPr>
                                </w:pPr>
                                <w:sdt>
                                  <w:sdtPr>
                                    <w:rPr>
                                      <w:rFonts w:ascii="Algerian" w:hAnsi="Algerian"/>
                                      <w:caps/>
                                      <w:color w:val="C0000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F057AB">
                                      <w:rPr>
                                        <w:rFonts w:ascii="Algerian" w:hAnsi="Algerian"/>
                                        <w:caps/>
                                        <w:color w:val="C00000"/>
                                        <w:sz w:val="32"/>
                                        <w:szCs w:val="32"/>
                                      </w:rPr>
                                      <w:t>19/05/2024</w:t>
                                    </w:r>
                                  </w:sdtContent>
                                </w:sdt>
                              </w:p>
                              <w:p w14:paraId="52CFC3AB" w14:textId="0B6DC7B9" w:rsidR="00E66E56" w:rsidRPr="009E766C" w:rsidRDefault="00000000">
                                <w:pPr>
                                  <w:pStyle w:val="NoSpacing"/>
                                  <w:jc w:val="center"/>
                                  <w:rPr>
                                    <w:rFonts w:ascii="Algerian" w:hAnsi="Algerian"/>
                                    <w:color w:val="C00000"/>
                                    <w:sz w:val="32"/>
                                    <w:szCs w:val="32"/>
                                  </w:rPr>
                                </w:pPr>
                                <w:sdt>
                                  <w:sdtPr>
                                    <w:rPr>
                                      <w:rFonts w:ascii="Algerian" w:hAnsi="Algerian"/>
                                      <w:color w:val="C0000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077485" w:rsidRPr="009E766C">
                                      <w:rPr>
                                        <w:rFonts w:ascii="Algerian" w:hAnsi="Algerian"/>
                                        <w:color w:val="C00000"/>
                                        <w:sz w:val="32"/>
                                        <w:szCs w:val="32"/>
                                      </w:rPr>
                                      <w:t xml:space="preserve">                                                    </w:t>
                                    </w:r>
                                    <w:r w:rsidR="00DA76FA" w:rsidRPr="009E766C">
                                      <w:rPr>
                                        <w:rFonts w:ascii="Algerian" w:hAnsi="Algerian"/>
                                        <w:color w:val="C00000"/>
                                        <w:sz w:val="32"/>
                                        <w:szCs w:val="32"/>
                                      </w:rPr>
                                      <w:t xml:space="preserve">Azeb </w:t>
                                    </w:r>
                                    <w:proofErr w:type="spellStart"/>
                                    <w:r w:rsidR="00DA76FA" w:rsidRPr="009E766C">
                                      <w:rPr>
                                        <w:rFonts w:ascii="Algerian" w:hAnsi="Algerian"/>
                                        <w:color w:val="C00000"/>
                                        <w:sz w:val="32"/>
                                        <w:szCs w:val="32"/>
                                      </w:rPr>
                                      <w:t>Atsebha</w:t>
                                    </w:r>
                                    <w:proofErr w:type="spellEnd"/>
                                    <w:r w:rsidR="00DA76FA" w:rsidRPr="009E766C">
                                      <w:rPr>
                                        <w:rFonts w:ascii="Algerian" w:hAnsi="Algerian"/>
                                        <w:color w:val="C00000"/>
                                        <w:sz w:val="32"/>
                                        <w:szCs w:val="32"/>
                                      </w:rPr>
                                      <w:t xml:space="preserve"> </w:t>
                                    </w:r>
                                    <w:r w:rsidR="00077485" w:rsidRPr="009E766C">
                                      <w:rPr>
                                        <w:rFonts w:ascii="Algerian" w:hAnsi="Algerian"/>
                                        <w:color w:val="C00000"/>
                                        <w:sz w:val="32"/>
                                        <w:szCs w:val="32"/>
                                      </w:rPr>
                                      <w:t>(2234854)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CD8F8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olor w:val="C00000"/>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1A4D2C2" w14:textId="2D612148" w:rsidR="00E66E56" w:rsidRPr="009E766C" w:rsidRDefault="00077485">
                              <w:pPr>
                                <w:pStyle w:val="NoSpacing"/>
                                <w:spacing w:after="40"/>
                                <w:jc w:val="center"/>
                                <w:rPr>
                                  <w:rFonts w:ascii="Algerian" w:hAnsi="Algerian"/>
                                  <w:caps/>
                                  <w:color w:val="C00000"/>
                                  <w:sz w:val="32"/>
                                  <w:szCs w:val="32"/>
                                </w:rPr>
                              </w:pPr>
                              <w:r w:rsidRPr="009E766C">
                                <w:rPr>
                                  <w:rFonts w:ascii="Algerian" w:hAnsi="Algerian"/>
                                  <w:color w:val="C00000"/>
                                  <w:sz w:val="32"/>
                                  <w:szCs w:val="32"/>
                                </w:rPr>
                                <w:t xml:space="preserve">                                                                      </w:t>
                              </w:r>
                              <w:r w:rsidR="003B6210" w:rsidRPr="009E766C">
                                <w:rPr>
                                  <w:rFonts w:ascii="Algerian" w:hAnsi="Algerian"/>
                                  <w:color w:val="C00000"/>
                                  <w:sz w:val="32"/>
                                  <w:szCs w:val="32"/>
                                </w:rPr>
                                <w:t>Scott James</w:t>
                              </w:r>
                            </w:p>
                          </w:sdtContent>
                        </w:sdt>
                        <w:p w14:paraId="2B3607A3" w14:textId="5CAFC4EB" w:rsidR="00E66E56" w:rsidRPr="009E766C" w:rsidRDefault="00000000">
                          <w:pPr>
                            <w:pStyle w:val="NoSpacing"/>
                            <w:jc w:val="center"/>
                            <w:rPr>
                              <w:rFonts w:ascii="Algerian" w:hAnsi="Algerian"/>
                              <w:color w:val="C00000"/>
                              <w:sz w:val="32"/>
                              <w:szCs w:val="32"/>
                            </w:rPr>
                          </w:pPr>
                          <w:sdt>
                            <w:sdtPr>
                              <w:rPr>
                                <w:rFonts w:ascii="Algerian" w:hAnsi="Algerian"/>
                                <w:caps/>
                                <w:color w:val="C0000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F057AB">
                                <w:rPr>
                                  <w:rFonts w:ascii="Algerian" w:hAnsi="Algerian"/>
                                  <w:caps/>
                                  <w:color w:val="C00000"/>
                                  <w:sz w:val="32"/>
                                  <w:szCs w:val="32"/>
                                </w:rPr>
                                <w:t>19/05/2024</w:t>
                              </w:r>
                            </w:sdtContent>
                          </w:sdt>
                        </w:p>
                        <w:p w14:paraId="52CFC3AB" w14:textId="0B6DC7B9" w:rsidR="00E66E56" w:rsidRPr="009E766C" w:rsidRDefault="00000000">
                          <w:pPr>
                            <w:pStyle w:val="NoSpacing"/>
                            <w:jc w:val="center"/>
                            <w:rPr>
                              <w:rFonts w:ascii="Algerian" w:hAnsi="Algerian"/>
                              <w:color w:val="C00000"/>
                              <w:sz w:val="32"/>
                              <w:szCs w:val="32"/>
                            </w:rPr>
                          </w:pPr>
                          <w:sdt>
                            <w:sdtPr>
                              <w:rPr>
                                <w:rFonts w:ascii="Algerian" w:hAnsi="Algerian"/>
                                <w:color w:val="C0000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077485" w:rsidRPr="009E766C">
                                <w:rPr>
                                  <w:rFonts w:ascii="Algerian" w:hAnsi="Algerian"/>
                                  <w:color w:val="C00000"/>
                                  <w:sz w:val="32"/>
                                  <w:szCs w:val="32"/>
                                </w:rPr>
                                <w:t xml:space="preserve">                                                    </w:t>
                              </w:r>
                              <w:r w:rsidR="00DA76FA" w:rsidRPr="009E766C">
                                <w:rPr>
                                  <w:rFonts w:ascii="Algerian" w:hAnsi="Algerian"/>
                                  <w:color w:val="C00000"/>
                                  <w:sz w:val="32"/>
                                  <w:szCs w:val="32"/>
                                </w:rPr>
                                <w:t xml:space="preserve">Azeb </w:t>
                              </w:r>
                              <w:proofErr w:type="spellStart"/>
                              <w:r w:rsidR="00DA76FA" w:rsidRPr="009E766C">
                                <w:rPr>
                                  <w:rFonts w:ascii="Algerian" w:hAnsi="Algerian"/>
                                  <w:color w:val="C00000"/>
                                  <w:sz w:val="32"/>
                                  <w:szCs w:val="32"/>
                                </w:rPr>
                                <w:t>Atsebha</w:t>
                              </w:r>
                              <w:proofErr w:type="spellEnd"/>
                              <w:r w:rsidR="00DA76FA" w:rsidRPr="009E766C">
                                <w:rPr>
                                  <w:rFonts w:ascii="Algerian" w:hAnsi="Algerian"/>
                                  <w:color w:val="C00000"/>
                                  <w:sz w:val="32"/>
                                  <w:szCs w:val="32"/>
                                </w:rPr>
                                <w:t xml:space="preserve"> </w:t>
                              </w:r>
                              <w:r w:rsidR="00077485" w:rsidRPr="009E766C">
                                <w:rPr>
                                  <w:rFonts w:ascii="Algerian" w:hAnsi="Algerian"/>
                                  <w:color w:val="C00000"/>
                                  <w:sz w:val="32"/>
                                  <w:szCs w:val="32"/>
                                </w:rPr>
                                <w:t>(2234854)</w:t>
                              </w:r>
                            </w:sdtContent>
                          </w:sdt>
                        </w:p>
                      </w:txbxContent>
                    </v:textbox>
                    <w10:wrap anchorx="margin" anchory="page"/>
                  </v:shape>
                </w:pict>
              </mc:Fallback>
            </mc:AlternateContent>
          </w:r>
          <w:r w:rsidRPr="0054007F">
            <w:rPr>
              <w:noProof/>
              <w:color w:val="C00000"/>
              <w:sz w:val="24"/>
              <w:szCs w:val="24"/>
              <w:highlight w:val="darkGray"/>
            </w:rPr>
            <w:drawing>
              <wp:inline distT="0" distB="0" distL="0" distR="0" wp14:anchorId="26CE7AD9" wp14:editId="5A4B979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2C3AB" w14:textId="2E5D0F25" w:rsidR="00E66E56" w:rsidRDefault="00E66E56">
          <w:pPr>
            <w:rPr>
              <w:rFonts w:ascii="Arial" w:eastAsia="Times New Roman" w:hAnsi="Arial" w:cs="Arial"/>
              <w:kern w:val="0"/>
              <w:lang w:eastAsia="en-GB"/>
              <w14:ligatures w14:val="none"/>
            </w:rPr>
          </w:pPr>
          <w:r>
            <w:rPr>
              <w:rFonts w:ascii="Arial" w:hAnsi="Arial" w:cs="Arial"/>
            </w:rPr>
            <w:br w:type="page"/>
          </w:r>
        </w:p>
      </w:sdtContent>
    </w:sdt>
    <w:p w14:paraId="2B0B1119" w14:textId="33EDDA88" w:rsidR="00653774" w:rsidRPr="00D555CD" w:rsidRDefault="00653774" w:rsidP="005971B0">
      <w:pPr>
        <w:pStyle w:val="NormalWeb"/>
        <w:spacing w:line="360" w:lineRule="auto"/>
        <w:jc w:val="both"/>
        <w:rPr>
          <w:rFonts w:ascii="Arial" w:hAnsi="Arial" w:cs="Arial"/>
        </w:rPr>
      </w:pPr>
      <w:r w:rsidRPr="00D555CD">
        <w:rPr>
          <w:rFonts w:ascii="Arial" w:hAnsi="Arial" w:cs="Arial"/>
        </w:rPr>
        <w:lastRenderedPageBreak/>
        <w:t>How The Evolution of Human Resources Management (HRM) Facilitates the Strategic Development</w:t>
      </w:r>
      <w:r w:rsidR="00873D3C">
        <w:rPr>
          <w:rFonts w:ascii="Arial" w:hAnsi="Arial" w:cs="Arial"/>
        </w:rPr>
        <w:t xml:space="preserve"> </w:t>
      </w:r>
      <w:r w:rsidRPr="00D555CD">
        <w:rPr>
          <w:rFonts w:ascii="Arial" w:hAnsi="Arial" w:cs="Arial"/>
        </w:rPr>
        <w:t>of the Marriott International Brand Through Workforce Planning, Recruitment and Selection</w:t>
      </w:r>
      <w:r w:rsidR="00413F79">
        <w:rPr>
          <w:rFonts w:ascii="Arial" w:hAnsi="Arial" w:cs="Arial"/>
        </w:rPr>
        <w:t>.</w:t>
      </w:r>
    </w:p>
    <w:p w14:paraId="629BB476" w14:textId="05789F41" w:rsidR="00653774" w:rsidRPr="005971B0" w:rsidRDefault="00653774" w:rsidP="005971B0">
      <w:pPr>
        <w:pStyle w:val="NormalWeb"/>
        <w:spacing w:line="360" w:lineRule="auto"/>
        <w:jc w:val="both"/>
        <w:rPr>
          <w:rFonts w:ascii="Arial" w:hAnsi="Arial" w:cs="Arial"/>
        </w:rPr>
      </w:pPr>
      <w:r w:rsidRPr="005971B0">
        <w:rPr>
          <w:rFonts w:ascii="Arial" w:hAnsi="Arial" w:cs="Arial"/>
        </w:rPr>
        <w:t xml:space="preserve">Human Resource Management (HRM) defines all the procedures intended to help the functioning of all stakeholders involved in a business, such as employees.  In recent years, the role of HRM has broadened to include many activities, including strategic workforce planning, recruitment and talent development, and employee engagement. This transition is meaningful because of the change in the view of employees as the assets of the business and their strategies that ought to be the same way as the enterprises' strategies to gain a competitive advantage. Marriott International, for instance, has implemented a talent force planning strategy that </w:t>
      </w:r>
      <w:r w:rsidR="005971B0">
        <w:rPr>
          <w:rFonts w:ascii="Arial" w:hAnsi="Arial" w:cs="Arial"/>
        </w:rPr>
        <w:t>considers</w:t>
      </w:r>
      <w:r w:rsidRPr="005971B0">
        <w:rPr>
          <w:rFonts w:ascii="Arial" w:hAnsi="Arial" w:cs="Arial"/>
        </w:rPr>
        <w:t xml:space="preserve"> the unique skills and cultural backgrounds of its workforce in different countries. This strategy has proven effective in forecasting the number of talents needed and has contributed to the </w:t>
      </w:r>
      <w:r w:rsidR="00476AE5">
        <w:rPr>
          <w:rFonts w:ascii="Arial" w:hAnsi="Arial" w:cs="Arial"/>
        </w:rPr>
        <w:t>organisation's</w:t>
      </w:r>
      <w:r w:rsidRPr="005971B0">
        <w:rPr>
          <w:rFonts w:ascii="Arial" w:hAnsi="Arial" w:cs="Arial"/>
        </w:rPr>
        <w:t xml:space="preserve"> dominance in the hospitality industry. </w:t>
      </w:r>
    </w:p>
    <w:p w14:paraId="0A66FE8B" w14:textId="49134D5F"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Human</w:t>
      </w:r>
      <w:r w:rsidRPr="005971B0">
        <w:rPr>
          <w:rFonts w:ascii="Arial" w:hAnsi="Arial" w:cs="Arial"/>
          <w:b/>
          <w:bCs/>
        </w:rPr>
        <w:t> </w:t>
      </w:r>
      <w:r w:rsidRPr="005971B0">
        <w:rPr>
          <w:rFonts w:ascii="Arial" w:hAnsi="Arial" w:cs="Arial"/>
        </w:rPr>
        <w:t>resource management </w:t>
      </w:r>
      <w:r w:rsidRPr="005971B0">
        <w:rPr>
          <w:rStyle w:val="Strong"/>
          <w:rFonts w:ascii="Arial" w:eastAsiaTheme="majorEastAsia" w:hAnsi="Arial" w:cs="Arial"/>
          <w:b w:val="0"/>
          <w:bCs w:val="0"/>
        </w:rPr>
        <w:t>(HRM) in the hospitality industry has </w:t>
      </w:r>
      <w:r w:rsidR="00413F79">
        <w:rPr>
          <w:rStyle w:val="Strong"/>
          <w:rFonts w:ascii="Arial" w:eastAsiaTheme="majorEastAsia" w:hAnsi="Arial" w:cs="Arial"/>
          <w:b w:val="0"/>
          <w:bCs w:val="0"/>
        </w:rPr>
        <w:t xml:space="preserve">experienced a rapid transformation, underscoring its importance and potential impact on </w:t>
      </w:r>
      <w:r w:rsidR="00F057AB">
        <w:rPr>
          <w:rStyle w:val="Strong"/>
          <w:rFonts w:ascii="Arial" w:eastAsiaTheme="majorEastAsia" w:hAnsi="Arial" w:cs="Arial"/>
          <w:b w:val="0"/>
          <w:bCs w:val="0"/>
        </w:rPr>
        <w:t>organisational</w:t>
      </w:r>
      <w:r w:rsidR="00413F79">
        <w:rPr>
          <w:rStyle w:val="Strong"/>
          <w:rFonts w:ascii="Arial" w:eastAsiaTheme="majorEastAsia" w:hAnsi="Arial" w:cs="Arial"/>
          <w:b w:val="0"/>
          <w:bCs w:val="0"/>
        </w:rPr>
        <w:t xml:space="preserve"> success. However, the historical perspective has often limited HRM to administrative functions such as scheduling and payroll management. As Armstrong and Taylor (2020, p. 76) point out, hospitality companies like Marriott International assert that HRM is the key driver of service excellence and culture building. Yet, the empirical evidence supporting these claims remains tentative. Similarly, the shift towards a more strategic HRM approach, as suggested by studies like Brewster and Söderström (2017, p. 51), may reflect market trends rather than actual improvements in talent acquisition, development, and retention strategies. Therefore, a comprehensive investigation into HRM's real contribution to </w:t>
      </w:r>
      <w:r w:rsidR="00F057AB">
        <w:rPr>
          <w:rStyle w:val="Strong"/>
          <w:rFonts w:ascii="Arial" w:eastAsiaTheme="majorEastAsia" w:hAnsi="Arial" w:cs="Arial"/>
          <w:b w:val="0"/>
          <w:bCs w:val="0"/>
        </w:rPr>
        <w:t>organisational</w:t>
      </w:r>
      <w:r w:rsidR="00413F79">
        <w:rPr>
          <w:rStyle w:val="Strong"/>
          <w:rFonts w:ascii="Arial" w:eastAsiaTheme="majorEastAsia" w:hAnsi="Arial" w:cs="Arial"/>
          <w:b w:val="0"/>
          <w:bCs w:val="0"/>
        </w:rPr>
        <w:t xml:space="preserve"> outcomes is necessary to </w:t>
      </w:r>
      <w:r w:rsidR="00F057AB">
        <w:rPr>
          <w:rStyle w:val="Strong"/>
          <w:rFonts w:ascii="Arial" w:eastAsiaTheme="majorEastAsia" w:hAnsi="Arial" w:cs="Arial"/>
          <w:b w:val="0"/>
          <w:bCs w:val="0"/>
        </w:rPr>
        <w:t>assess</w:t>
      </w:r>
      <w:r w:rsidR="00413F79">
        <w:rPr>
          <w:rStyle w:val="Strong"/>
          <w:rFonts w:ascii="Arial" w:eastAsiaTheme="majorEastAsia" w:hAnsi="Arial" w:cs="Arial"/>
          <w:b w:val="0"/>
          <w:bCs w:val="0"/>
        </w:rPr>
        <w:t xml:space="preserve"> its value in the hospitality industry</w:t>
      </w:r>
      <w:r w:rsidRPr="005971B0">
        <w:rPr>
          <w:rStyle w:val="Strong"/>
          <w:rFonts w:ascii="Arial" w:eastAsiaTheme="majorEastAsia" w:hAnsi="Arial" w:cs="Arial"/>
          <w:b w:val="0"/>
          <w:bCs w:val="0"/>
        </w:rPr>
        <w:t>.</w:t>
      </w:r>
    </w:p>
    <w:p w14:paraId="2C3FCEA6" w14:textId="3926D1B6"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According to Marriott (2020, p.55-56), the HRM processes of the company are shaped by a new business environment. Therefore, these processes need to be critically examined. The company has demonstrated a significant commitment to a comprehensive talent management strategy, but it's important to note that these initiatives are not without their challenges. For instance, the company's innovative </w:t>
      </w:r>
      <w:r w:rsidRPr="005971B0">
        <w:rPr>
          <w:rStyle w:val="Strong"/>
          <w:rFonts w:ascii="Arial" w:eastAsiaTheme="majorEastAsia" w:hAnsi="Arial" w:cs="Arial"/>
          <w:b w:val="0"/>
          <w:bCs w:val="0"/>
        </w:rPr>
        <w:lastRenderedPageBreak/>
        <w:t>recruitment strategy, such as campus recruitment drives and educational partnerships, may face difficulties attracting and retaining top</w:t>
      </w:r>
      <w:r w:rsidRPr="005971B0">
        <w:rPr>
          <w:rFonts w:ascii="Arial" w:hAnsi="Arial" w:cs="Arial"/>
        </w:rPr>
        <w:t> talent in a highly competitive industry</w:t>
      </w:r>
      <w:r w:rsidRPr="005971B0">
        <w:rPr>
          <w:rStyle w:val="Strong"/>
          <w:rFonts w:ascii="Arial" w:eastAsiaTheme="majorEastAsia" w:hAnsi="Arial" w:cs="Arial"/>
          <w:b w:val="0"/>
          <w:bCs w:val="0"/>
        </w:rPr>
        <w:t xml:space="preserve">. Additionally, while Marriott stresses offering career pathways to employees, the actual implementation and effect of these career pathways on the efficacy and innovativeness of an </w:t>
      </w:r>
      <w:r w:rsidR="00FA383B">
        <w:rPr>
          <w:rStyle w:val="Strong"/>
          <w:rFonts w:ascii="Arial" w:eastAsiaTheme="majorEastAsia" w:hAnsi="Arial" w:cs="Arial"/>
          <w:b w:val="0"/>
          <w:bCs w:val="0"/>
        </w:rPr>
        <w:t>organisation</w:t>
      </w:r>
      <w:r w:rsidRPr="005971B0">
        <w:rPr>
          <w:rStyle w:val="Strong"/>
          <w:rFonts w:ascii="Arial" w:eastAsiaTheme="majorEastAsia" w:hAnsi="Arial" w:cs="Arial"/>
          <w:b w:val="0"/>
          <w:bCs w:val="0"/>
        </w:rPr>
        <w:t xml:space="preserve"> may be hindered by factors such as employee turnover and changing market demands.</w:t>
      </w:r>
    </w:p>
    <w:p w14:paraId="26E779F7" w14:textId="60601021"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As Marriot International highlights the importance of HRM functions in its business strategy, it is imperative to critically appraise the degree to which they are the primary driver of </w:t>
      </w:r>
      <w:r w:rsidR="00FA383B">
        <w:rPr>
          <w:rStyle w:val="Strong"/>
          <w:rFonts w:ascii="Arial" w:eastAsiaTheme="majorEastAsia" w:hAnsi="Arial" w:cs="Arial"/>
          <w:b w:val="0"/>
          <w:bCs w:val="0"/>
        </w:rPr>
        <w:t>organisational</w:t>
      </w:r>
      <w:r w:rsidRPr="005971B0">
        <w:rPr>
          <w:rStyle w:val="Strong"/>
          <w:rFonts w:ascii="Arial" w:eastAsiaTheme="majorEastAsia" w:hAnsi="Arial" w:cs="Arial"/>
          <w:b w:val="0"/>
          <w:bCs w:val="0"/>
        </w:rPr>
        <w:t xml:space="preserve"> success. The declaration of HRM's supreme significance is not based on empirical data which do not show its direct correlation with business outcomes (</w:t>
      </w:r>
      <w:proofErr w:type="spellStart"/>
      <w:r w:rsidRPr="005971B0">
        <w:rPr>
          <w:rStyle w:val="Strong"/>
          <w:rFonts w:ascii="Arial" w:eastAsiaTheme="majorEastAsia" w:hAnsi="Arial" w:cs="Arial"/>
          <w:b w:val="0"/>
          <w:bCs w:val="0"/>
        </w:rPr>
        <w:t>Stankevičiūtė</w:t>
      </w:r>
      <w:proofErr w:type="spellEnd"/>
      <w:r w:rsidRPr="005971B0">
        <w:rPr>
          <w:rStyle w:val="Strong"/>
          <w:rFonts w:ascii="Arial" w:eastAsiaTheme="majorEastAsia" w:hAnsi="Arial" w:cs="Arial"/>
          <w:b w:val="0"/>
          <w:bCs w:val="0"/>
        </w:rPr>
        <w:t xml:space="preserve"> and </w:t>
      </w:r>
      <w:proofErr w:type="spellStart"/>
      <w:r w:rsidRPr="005971B0">
        <w:rPr>
          <w:rStyle w:val="Strong"/>
          <w:rFonts w:ascii="Arial" w:eastAsiaTheme="majorEastAsia" w:hAnsi="Arial" w:cs="Arial"/>
          <w:b w:val="0"/>
          <w:bCs w:val="0"/>
        </w:rPr>
        <w:t>Savanevičienė</w:t>
      </w:r>
      <w:proofErr w:type="spellEnd"/>
      <w:r w:rsidRPr="005971B0">
        <w:rPr>
          <w:rStyle w:val="Strong"/>
          <w:rFonts w:ascii="Arial" w:eastAsiaTheme="majorEastAsia" w:hAnsi="Arial" w:cs="Arial"/>
          <w:b w:val="0"/>
          <w:bCs w:val="0"/>
        </w:rPr>
        <w:t>, 2018, p. 17-21). Furthermore, human resource management is not only involved in the creation of an employer brand and a culture but also the extent to which its efforts directly contribute to service quality improvement and in the development of continuous improvement should be critically examined (Harney and Alkhalaf, 2020, p. 23-24). Additionally, the possibility of the data-based approach and predictive analytics to forecast future talent requirements may result in biases and limits that eventually lead to the low effectiveness of HRM strategies.</w:t>
      </w:r>
    </w:p>
    <w:p w14:paraId="193ED365" w14:textId="77777777"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Although Marriott International's action-oriented approach toward eliminating workforce shortages seems laudable, the forecasting methods and strategic planning processes may have underlying flaws. Even though Marriott claims to use quantitative and qualitative insights from historical data, industry trends, and global benchmarks, they may need more depth and accuracy (Horak et al., 2019, p. 472). Besides, the Marriott approach focuses on proactive planning. However, it cannot consider the unique market and property factors and the subtleties, leading to the misalignment between the staffing levels and the actual demand (Cooke et al., p. 60). In comparison, even if Hilton takes a different approach, Marriott is still unable to cope with the depth and complexity of the hospitality industry due to the absence of a sophisticated strategy for tackling the competition.</w:t>
      </w:r>
    </w:p>
    <w:p w14:paraId="1A409B4A" w14:textId="77777777" w:rsidR="00653774" w:rsidRPr="005971B0" w:rsidRDefault="00653774" w:rsidP="005971B0">
      <w:pPr>
        <w:pStyle w:val="NormalWeb"/>
        <w:spacing w:line="360" w:lineRule="auto"/>
        <w:jc w:val="both"/>
        <w:rPr>
          <w:rFonts w:ascii="Arial" w:hAnsi="Arial" w:cs="Arial"/>
        </w:rPr>
      </w:pPr>
      <w:r w:rsidRPr="005971B0">
        <w:rPr>
          <w:rFonts w:ascii="Arial" w:hAnsi="Arial" w:cs="Arial"/>
        </w:rPr>
        <w:t>Moreover, Marriott</w:t>
      </w:r>
      <w:r w:rsidRPr="005971B0">
        <w:rPr>
          <w:rStyle w:val="Strong"/>
          <w:rFonts w:ascii="Arial" w:eastAsiaTheme="majorEastAsia" w:hAnsi="Arial" w:cs="Arial"/>
          <w:b w:val="0"/>
          <w:bCs w:val="0"/>
        </w:rPr>
        <w:t xml:space="preserve"> International's method seems all-inclusive through past data, performance metrics, and market research (Brewster and Söderström, 2017, p. 53). On the other hand, there are challenges that this strategy may experience, ranging </w:t>
      </w:r>
      <w:r w:rsidRPr="005971B0">
        <w:rPr>
          <w:rStyle w:val="Strong"/>
          <w:rFonts w:ascii="Arial" w:eastAsiaTheme="majorEastAsia" w:hAnsi="Arial" w:cs="Arial"/>
          <w:b w:val="0"/>
          <w:bCs w:val="0"/>
        </w:rPr>
        <w:lastRenderedPageBreak/>
        <w:t>from its overreliance on traditional methods and failure to integrate the latest technologies and tools for predictive analytics (Paauwe and Boon, 2018, p. 50). Additionally, though historical data, as well as market trends, can be helpful to inputs, they often do not consider the dynamic nature of the hospitality sector, which is susceptible to external factors like economic fluctuations and geopolitical events that can have a significant impact on the labour demand (Inman, O'Sullivan, and Murton, 2014, p. 188). For example, while Hilton Hotels takes a more blended approach to segmentation and market analysis, there is a vital sign that they have a much better and deeper understanding of customer demographics and regional preferences, which can facilitate the development of more precise workforce planning strategies. </w:t>
      </w:r>
    </w:p>
    <w:p w14:paraId="3B92384E" w14:textId="77A1611D" w:rsidR="00653774" w:rsidRPr="005971B0" w:rsidRDefault="00653774" w:rsidP="005971B0">
      <w:pPr>
        <w:pStyle w:val="NormalWeb"/>
        <w:spacing w:line="360" w:lineRule="auto"/>
        <w:jc w:val="both"/>
        <w:rPr>
          <w:rFonts w:ascii="Arial" w:hAnsi="Arial" w:cs="Arial"/>
        </w:rPr>
      </w:pPr>
      <w:r w:rsidRPr="005971B0">
        <w:rPr>
          <w:rFonts w:ascii="Arial" w:hAnsi="Arial" w:cs="Arial"/>
        </w:rPr>
        <w:t> </w:t>
      </w:r>
      <w:r w:rsidRPr="005971B0">
        <w:rPr>
          <w:rStyle w:val="Strong"/>
          <w:rFonts w:ascii="Arial" w:eastAsiaTheme="majorEastAsia" w:hAnsi="Arial" w:cs="Arial"/>
          <w:b w:val="0"/>
          <w:bCs w:val="0"/>
        </w:rPr>
        <w:t xml:space="preserve">However, forecasting labour supply and demand in internationally managed hotel companies is a crucial step, which entails a precise analysis as part of the optimal workforce </w:t>
      </w:r>
      <w:r w:rsidR="005E6535">
        <w:rPr>
          <w:rStyle w:val="Strong"/>
          <w:rFonts w:ascii="Arial" w:eastAsiaTheme="majorEastAsia" w:hAnsi="Arial" w:cs="Arial"/>
          <w:b w:val="0"/>
          <w:bCs w:val="0"/>
        </w:rPr>
        <w:t>utilisation</w:t>
      </w:r>
      <w:r w:rsidRPr="005971B0">
        <w:rPr>
          <w:rStyle w:val="Strong"/>
          <w:rFonts w:ascii="Arial" w:eastAsiaTheme="majorEastAsia" w:hAnsi="Arial" w:cs="Arial"/>
          <w:b w:val="0"/>
          <w:bCs w:val="0"/>
        </w:rPr>
        <w:t xml:space="preserve"> (Burke, 2018, p. 25). The HRM is generally initiated by examining historical data and market trends. However, there are doubts over whether this method is sufficient to deal with emerging issues and changes in the global labour market (Bos-</w:t>
      </w:r>
      <w:proofErr w:type="spellStart"/>
      <w:r w:rsidRPr="005971B0">
        <w:rPr>
          <w:rStyle w:val="Strong"/>
          <w:rFonts w:ascii="Arial" w:eastAsiaTheme="majorEastAsia" w:hAnsi="Arial" w:cs="Arial"/>
          <w:b w:val="0"/>
          <w:bCs w:val="0"/>
        </w:rPr>
        <w:t>Nehles</w:t>
      </w:r>
      <w:proofErr w:type="spellEnd"/>
      <w:r w:rsidRPr="005971B0">
        <w:rPr>
          <w:rStyle w:val="Strong"/>
          <w:rFonts w:ascii="Arial" w:eastAsiaTheme="majorEastAsia" w:hAnsi="Arial" w:cs="Arial"/>
          <w:b w:val="0"/>
          <w:bCs w:val="0"/>
        </w:rPr>
        <w:t xml:space="preserve">, </w:t>
      </w:r>
      <w:proofErr w:type="spellStart"/>
      <w:r w:rsidRPr="005971B0">
        <w:rPr>
          <w:rStyle w:val="Strong"/>
          <w:rFonts w:ascii="Arial" w:eastAsiaTheme="majorEastAsia" w:hAnsi="Arial" w:cs="Arial"/>
          <w:b w:val="0"/>
          <w:bCs w:val="0"/>
        </w:rPr>
        <w:t>Bondarouk</w:t>
      </w:r>
      <w:proofErr w:type="spellEnd"/>
      <w:r w:rsidRPr="005971B0">
        <w:rPr>
          <w:rStyle w:val="Strong"/>
          <w:rFonts w:ascii="Arial" w:eastAsiaTheme="majorEastAsia" w:hAnsi="Arial" w:cs="Arial"/>
          <w:b w:val="0"/>
          <w:bCs w:val="0"/>
        </w:rPr>
        <w:t xml:space="preserve"> and Labrenz, 2017, p. 520). In addition, using macroeconomic indicators as the sole basis may not consider other essential aspects like geopolitical risk and technological advancement that can change future labour force requirements (Horwitz, 2017, p.210). Scenario planning and sensitivity analysis are crucial activities in labour demand forecasting. However, talent pipeline analysis and succession planning should probably get more attention since they aim to address skill shortages and secure </w:t>
      </w:r>
      <w:r w:rsidR="00FA383B">
        <w:rPr>
          <w:rStyle w:val="Strong"/>
          <w:rFonts w:ascii="Arial" w:eastAsiaTheme="majorEastAsia" w:hAnsi="Arial" w:cs="Arial"/>
          <w:b w:val="0"/>
          <w:bCs w:val="0"/>
        </w:rPr>
        <w:t>organisational</w:t>
      </w:r>
      <w:r w:rsidRPr="005971B0">
        <w:rPr>
          <w:rStyle w:val="Strong"/>
          <w:rFonts w:ascii="Arial" w:eastAsiaTheme="majorEastAsia" w:hAnsi="Arial" w:cs="Arial"/>
          <w:b w:val="0"/>
          <w:bCs w:val="0"/>
        </w:rPr>
        <w:t xml:space="preserve"> resilience (Armstrong and Taylor, 2020, p. 210). In addition, recruitment strategies must be designed to consider the unique context of a diverse global environment, factoring in the differences between various geographic regions and cultural norms to ensure a thriving workforce.</w:t>
      </w:r>
    </w:p>
    <w:p w14:paraId="7386DAAE" w14:textId="13E20F43"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 Although the company may </w:t>
      </w:r>
      <w:r w:rsidR="00FA383B">
        <w:rPr>
          <w:rStyle w:val="Strong"/>
          <w:rFonts w:ascii="Arial" w:eastAsiaTheme="majorEastAsia" w:hAnsi="Arial" w:cs="Arial"/>
          <w:b w:val="0"/>
          <w:bCs w:val="0"/>
        </w:rPr>
        <w:t>utilise</w:t>
      </w:r>
      <w:r w:rsidRPr="005971B0">
        <w:rPr>
          <w:rStyle w:val="Strong"/>
          <w:rFonts w:ascii="Arial" w:eastAsiaTheme="majorEastAsia" w:hAnsi="Arial" w:cs="Arial"/>
          <w:b w:val="0"/>
          <w:bCs w:val="0"/>
        </w:rPr>
        <w:t xml:space="preserve"> refined techniques to predict workplace demand, this process has limitations and challenges. However, data analysis with the use of multi-dimensional data, including historical data and market trends, may be limited in terms of forecast accuracy due to the unpredictability of external factors such as economic downturn or geopolitical instability (Tiwari, </w:t>
      </w:r>
      <w:proofErr w:type="gramStart"/>
      <w:r w:rsidRPr="005971B0">
        <w:rPr>
          <w:rStyle w:val="Strong"/>
          <w:rFonts w:ascii="Arial" w:eastAsiaTheme="majorEastAsia" w:hAnsi="Arial" w:cs="Arial"/>
          <w:b w:val="0"/>
          <w:bCs w:val="0"/>
        </w:rPr>
        <w:t>Srivastava</w:t>
      </w:r>
      <w:proofErr w:type="gramEnd"/>
      <w:r w:rsidRPr="005971B0">
        <w:rPr>
          <w:rStyle w:val="Strong"/>
          <w:rFonts w:ascii="Arial" w:eastAsiaTheme="majorEastAsia" w:hAnsi="Arial" w:cs="Arial"/>
          <w:b w:val="0"/>
          <w:bCs w:val="0"/>
        </w:rPr>
        <w:t xml:space="preserve"> and Kumar, 2019, p. 29). Marriott also ensures that it provides training and retention programs to its personnel. However, there might be some discrepancies between the skills needed by </w:t>
      </w:r>
      <w:r w:rsidRPr="005971B0">
        <w:rPr>
          <w:rStyle w:val="Strong"/>
          <w:rFonts w:ascii="Arial" w:eastAsiaTheme="majorEastAsia" w:hAnsi="Arial" w:cs="Arial"/>
          <w:b w:val="0"/>
          <w:bCs w:val="0"/>
        </w:rPr>
        <w:lastRenderedPageBreak/>
        <w:t>the market and the skills that the current workforce possesses, which can lead to inefficiency and skill gaps (Dundon and Rafferty, 2018, p.380). Furthermore, technology and data analytics can cause quantitative metrics to be over-emphasized while some qualitative factors are ignored. Therefore, Marriott's strategic integration of HRM into its planning systems might face problems in responding to the volatile and unpredictable nature of the hospitality business, which may call for constant refinement and adjustment of the system.</w:t>
      </w:r>
    </w:p>
    <w:p w14:paraId="178036F4" w14:textId="77777777"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The hospitality industry has become very competitive, so strategic forecasting of employee demand and supply is essential for all operational efficiency and guest satisfaction (Sheehan, Grant, and </w:t>
      </w:r>
      <w:proofErr w:type="spellStart"/>
      <w:r w:rsidRPr="005971B0">
        <w:rPr>
          <w:rStyle w:val="Strong"/>
          <w:rFonts w:ascii="Arial" w:eastAsiaTheme="majorEastAsia" w:hAnsi="Arial" w:cs="Arial"/>
          <w:b w:val="0"/>
          <w:bCs w:val="0"/>
        </w:rPr>
        <w:t>Garavan</w:t>
      </w:r>
      <w:proofErr w:type="spellEnd"/>
      <w:r w:rsidRPr="005971B0">
        <w:rPr>
          <w:rStyle w:val="Strong"/>
          <w:rFonts w:ascii="Arial" w:eastAsiaTheme="majorEastAsia" w:hAnsi="Arial" w:cs="Arial"/>
          <w:b w:val="0"/>
          <w:bCs w:val="0"/>
        </w:rPr>
        <w:t>, 2018, p. 28). In contrast, HRM is placed on the pedestal of a critical function for international accommodation providers such as Marriott International; however, some aspects still need to be fully understood in accurately forecasting workforce requirements (Inman, O'Sullivan, &amp; Murton, 2014, p. 200). Though Marriott has cultured approaches like data analysis, market research, economics trend assessment, and more, it still has uncertainties in forecasting labour supply from external factors such as economic downturns, geopolitical tensions, and unforeseen crises (Ahammad, 2017, p. 420). Furthermore, strategic workforce planning and talent development measures may not necessarily ensure the reduction of high turnover rates, skills shortage, and workforce diversity problems, leading to possible workflow disruption and, consequently, poor guest experience. </w:t>
      </w:r>
    </w:p>
    <w:p w14:paraId="2CC8FE4A" w14:textId="77777777"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The human resource management (HRM) practices of Marriott International will face a significant challenge of achieving consistency across the different regions and cultures in which it operates and, therefore, a more locally specific approach to labour force planning (Gautam, 2023: p. 76). Though the company's emphasis on employee engagement and retention is a worthy thing to mention, it is vital to assess the success of these initiatives to ensure that they are the driving force behind sustainable growth for the business and increased guest satisfaction (Ojo, Tan, and Alias, 2022, p. 17). For instance, Marriott's global multi-branded business structure calls for a more sophisticated labour demand projection process than Hilton Hotels, which operates with a more straightforward structure and smaller geographic footprint. Hence, Marriott's workforce planning strategies should be more horizontally integrated throughout various regions and brands, and the effectiveness of communication </w:t>
      </w:r>
      <w:r w:rsidRPr="005971B0">
        <w:rPr>
          <w:rStyle w:val="Strong"/>
          <w:rFonts w:ascii="Arial" w:eastAsiaTheme="majorEastAsia" w:hAnsi="Arial" w:cs="Arial"/>
          <w:b w:val="0"/>
          <w:bCs w:val="0"/>
        </w:rPr>
        <w:lastRenderedPageBreak/>
        <w:t>channels and HRM systems should be the focus to allow for wise decision-making and resource allocation.</w:t>
      </w:r>
    </w:p>
    <w:p w14:paraId="35D039F2" w14:textId="77777777" w:rsidR="00653774" w:rsidRPr="005971B0" w:rsidRDefault="00653774" w:rsidP="005971B0">
      <w:pPr>
        <w:pStyle w:val="NormalWeb"/>
        <w:spacing w:line="360" w:lineRule="auto"/>
        <w:jc w:val="both"/>
        <w:rPr>
          <w:rFonts w:ascii="Arial" w:hAnsi="Arial" w:cs="Arial"/>
        </w:rPr>
      </w:pPr>
      <w:r w:rsidRPr="005971B0">
        <w:rPr>
          <w:rFonts w:ascii="Arial" w:hAnsi="Arial" w:cs="Arial"/>
        </w:rPr>
        <w:t xml:space="preserve">The process of recruitment and selection, staffed by Human Resource Managers (HRM), is vital for an international company to hire the most suitable employees to ensure its business goals are achieved. According to </w:t>
      </w:r>
      <w:proofErr w:type="spellStart"/>
      <w:r w:rsidRPr="005971B0">
        <w:rPr>
          <w:rFonts w:ascii="Arial" w:hAnsi="Arial" w:cs="Arial"/>
        </w:rPr>
        <w:t>Pattanayak</w:t>
      </w:r>
      <w:proofErr w:type="spellEnd"/>
      <w:r w:rsidRPr="005971B0">
        <w:rPr>
          <w:rFonts w:ascii="Arial" w:hAnsi="Arial" w:cs="Arial"/>
        </w:rPr>
        <w:t xml:space="preserve"> (2020, p. 255), many companies regularly follow a specific recruitment scheme with several stages. HR specialists classify skills and qualifications that fit each position. However, a company could apply advanced techniques to find highly qualified personnel, such as virtual career fairs and assessments (</w:t>
      </w:r>
      <w:proofErr w:type="spellStart"/>
      <w:r w:rsidRPr="005971B0">
        <w:rPr>
          <w:rFonts w:ascii="Arial" w:hAnsi="Arial" w:cs="Arial"/>
        </w:rPr>
        <w:t>Aust</w:t>
      </w:r>
      <w:proofErr w:type="spellEnd"/>
      <w:r w:rsidRPr="005971B0">
        <w:rPr>
          <w:rFonts w:ascii="Arial" w:hAnsi="Arial" w:cs="Arial"/>
        </w:rPr>
        <w:t>, Matthews, and Muller-Camen, 2020, p. 200). Nevertheless, recruiting candidates is the first phase of Marriott International's employment procedure.</w:t>
      </w:r>
    </w:p>
    <w:p w14:paraId="104BC352" w14:textId="61514448" w:rsidR="00653774" w:rsidRPr="005971B0" w:rsidRDefault="00653774" w:rsidP="005971B0">
      <w:pPr>
        <w:pStyle w:val="NormalWeb"/>
        <w:spacing w:line="360" w:lineRule="auto"/>
        <w:jc w:val="both"/>
        <w:rPr>
          <w:rFonts w:ascii="Arial" w:hAnsi="Arial" w:cs="Arial"/>
          <w:b/>
          <w:bCs/>
        </w:rPr>
      </w:pPr>
      <w:r w:rsidRPr="005971B0">
        <w:rPr>
          <w:rStyle w:val="Strong"/>
          <w:rFonts w:ascii="Arial" w:eastAsiaTheme="majorEastAsia" w:hAnsi="Arial" w:cs="Arial"/>
          <w:b w:val="0"/>
          <w:bCs w:val="0"/>
        </w:rPr>
        <w:t>Marriott International's recruitment process involves several steps, such as evaluating resumes and online test scores, interviews, and assessments. These are done to ensure that the candidate has the necessary skills and is an excellent cultural fit (Mahadevan and Kilian-Yasin, 2017, p. 470). AI and video interviewing platforms are the way through which the company can ease the operation. However, they can accidentally introduce bias or overlook the crucial human elements that play a significant role in the proper selection (</w:t>
      </w:r>
      <w:proofErr w:type="spellStart"/>
      <w:r w:rsidRPr="005971B0">
        <w:rPr>
          <w:rStyle w:val="Strong"/>
          <w:rFonts w:ascii="Arial" w:eastAsiaTheme="majorEastAsia" w:hAnsi="Arial" w:cs="Arial"/>
          <w:b w:val="0"/>
          <w:bCs w:val="0"/>
        </w:rPr>
        <w:t>Bondarouk</w:t>
      </w:r>
      <w:proofErr w:type="spellEnd"/>
      <w:r w:rsidRPr="005971B0">
        <w:rPr>
          <w:rStyle w:val="Strong"/>
          <w:rFonts w:ascii="Arial" w:eastAsiaTheme="majorEastAsia" w:hAnsi="Arial" w:cs="Arial"/>
          <w:b w:val="0"/>
          <w:bCs w:val="0"/>
        </w:rPr>
        <w:t xml:space="preserve">, Harms, and Lepak, 2017, p. 150). While these initiatives are </w:t>
      </w:r>
      <w:r w:rsidR="00C7488F">
        <w:rPr>
          <w:rStyle w:val="Strong"/>
          <w:rFonts w:ascii="Arial" w:eastAsiaTheme="majorEastAsia" w:hAnsi="Arial" w:cs="Arial"/>
          <w:b w:val="0"/>
          <w:bCs w:val="0"/>
        </w:rPr>
        <w:t>prioritised</w:t>
      </w:r>
      <w:r w:rsidRPr="005971B0">
        <w:rPr>
          <w:rStyle w:val="Strong"/>
          <w:rFonts w:ascii="Arial" w:eastAsiaTheme="majorEastAsia" w:hAnsi="Arial" w:cs="Arial"/>
          <w:b w:val="0"/>
          <w:bCs w:val="0"/>
        </w:rPr>
        <w:t xml:space="preserve">, the debate is whether they are efficient in creating a diverse, inclusive, and prosperous business setting. On the other hand, the effect of recruitment policies on long-term employee retention and </w:t>
      </w:r>
      <w:r w:rsidR="00C7488F">
        <w:rPr>
          <w:rStyle w:val="Strong"/>
          <w:rFonts w:ascii="Arial" w:eastAsiaTheme="majorEastAsia" w:hAnsi="Arial" w:cs="Arial"/>
          <w:b w:val="0"/>
          <w:bCs w:val="0"/>
        </w:rPr>
        <w:t>organisational</w:t>
      </w:r>
      <w:r w:rsidRPr="005971B0">
        <w:rPr>
          <w:rStyle w:val="Strong"/>
          <w:rFonts w:ascii="Arial" w:eastAsiaTheme="majorEastAsia" w:hAnsi="Arial" w:cs="Arial"/>
          <w:b w:val="0"/>
          <w:bCs w:val="0"/>
        </w:rPr>
        <w:t xml:space="preserve"> performance needs to be </w:t>
      </w:r>
      <w:r w:rsidR="008C6F48" w:rsidRPr="005971B0">
        <w:rPr>
          <w:rStyle w:val="Strong"/>
          <w:rFonts w:ascii="Arial" w:eastAsiaTheme="majorEastAsia" w:hAnsi="Arial" w:cs="Arial"/>
          <w:b w:val="0"/>
          <w:bCs w:val="0"/>
        </w:rPr>
        <w:t>studied</w:t>
      </w:r>
      <w:r w:rsidRPr="005971B0">
        <w:rPr>
          <w:rStyle w:val="Strong"/>
          <w:rFonts w:ascii="Arial" w:eastAsiaTheme="majorEastAsia" w:hAnsi="Arial" w:cs="Arial"/>
          <w:b w:val="0"/>
          <w:bCs w:val="0"/>
        </w:rPr>
        <w:t xml:space="preserve"> as the hospitality industry keeps changing and employee expectations are getting higher.</w:t>
      </w:r>
    </w:p>
    <w:p w14:paraId="4590E26D" w14:textId="24935490" w:rsidR="00653774" w:rsidRPr="005971B0" w:rsidRDefault="00653774" w:rsidP="005971B0">
      <w:pPr>
        <w:pStyle w:val="NormalWeb"/>
        <w:spacing w:line="360" w:lineRule="auto"/>
        <w:jc w:val="both"/>
        <w:rPr>
          <w:rFonts w:ascii="Arial" w:hAnsi="Arial" w:cs="Arial"/>
        </w:rPr>
      </w:pPr>
      <w:r w:rsidRPr="005971B0">
        <w:rPr>
          <w:rStyle w:val="Strong"/>
          <w:rFonts w:ascii="Arial" w:eastAsiaTheme="majorEastAsia" w:hAnsi="Arial" w:cs="Arial"/>
          <w:b w:val="0"/>
          <w:bCs w:val="0"/>
        </w:rPr>
        <w:t xml:space="preserve">The fact that Marriott International uses HR planning to direct its recruitment process may inadvertently lead to missing consideration of candidates who have valuable skills but need more specific language or experience criteria (Marchington et al., 2016, p. 200). The pre-employment screening process is more of a fit for culture and company values, which could result in similarity and, in the end, close creativity and innovation (Kukreja, 2020, p. 2503). However, the fact that technical skills and cultural alignment are </w:t>
      </w:r>
      <w:r w:rsidR="00C7488F">
        <w:rPr>
          <w:rStyle w:val="Strong"/>
          <w:rFonts w:ascii="Arial" w:eastAsiaTheme="majorEastAsia" w:hAnsi="Arial" w:cs="Arial"/>
          <w:b w:val="0"/>
          <w:bCs w:val="0"/>
        </w:rPr>
        <w:t>prioritised</w:t>
      </w:r>
      <w:r w:rsidRPr="005971B0">
        <w:rPr>
          <w:rStyle w:val="Strong"/>
          <w:rFonts w:ascii="Arial" w:eastAsiaTheme="majorEastAsia" w:hAnsi="Arial" w:cs="Arial"/>
          <w:b w:val="0"/>
          <w:bCs w:val="0"/>
        </w:rPr>
        <w:t xml:space="preserve"> could lead to ignoring other essential features, namely, adaptability and resilience, which are crucial in the contemporary business environment. As a result, Marriott's recruitment strategies could indirectly contribute to a lack of diversity in the </w:t>
      </w:r>
      <w:r w:rsidRPr="005971B0">
        <w:rPr>
          <w:rStyle w:val="Strong"/>
          <w:rFonts w:ascii="Arial" w:eastAsiaTheme="majorEastAsia" w:hAnsi="Arial" w:cs="Arial"/>
          <w:b w:val="0"/>
          <w:bCs w:val="0"/>
        </w:rPr>
        <w:lastRenderedPageBreak/>
        <w:t xml:space="preserve">workplace, thus hampering the </w:t>
      </w:r>
      <w:r w:rsidR="004B18BE">
        <w:rPr>
          <w:rStyle w:val="Strong"/>
          <w:rFonts w:ascii="Arial" w:eastAsiaTheme="majorEastAsia" w:hAnsi="Arial" w:cs="Arial"/>
          <w:b w:val="0"/>
          <w:bCs w:val="0"/>
        </w:rPr>
        <w:t>organisation's</w:t>
      </w:r>
      <w:r w:rsidRPr="005971B0">
        <w:rPr>
          <w:rStyle w:val="Strong"/>
          <w:rFonts w:ascii="Arial" w:eastAsiaTheme="majorEastAsia" w:hAnsi="Arial" w:cs="Arial"/>
          <w:b w:val="0"/>
          <w:bCs w:val="0"/>
        </w:rPr>
        <w:t xml:space="preserve"> ability to deal with the new problems and opportunities that may arise</w:t>
      </w:r>
      <w:r w:rsidRPr="005971B0">
        <w:rPr>
          <w:rStyle w:val="Strong"/>
          <w:rFonts w:ascii="Arial" w:eastAsiaTheme="majorEastAsia" w:hAnsi="Arial" w:cs="Arial"/>
        </w:rPr>
        <w:t>.</w:t>
      </w:r>
      <w:r w:rsidRPr="005971B0">
        <w:rPr>
          <w:rFonts w:ascii="Arial" w:hAnsi="Arial" w:cs="Arial"/>
        </w:rPr>
        <w:t> Top of Form</w:t>
      </w:r>
    </w:p>
    <w:p w14:paraId="624B4DEE" w14:textId="3B4357B8" w:rsidR="00653774" w:rsidRPr="005971B0" w:rsidRDefault="00653774" w:rsidP="005971B0">
      <w:pPr>
        <w:pStyle w:val="NormalWeb"/>
        <w:spacing w:line="360" w:lineRule="auto"/>
        <w:jc w:val="both"/>
        <w:rPr>
          <w:rFonts w:ascii="Arial" w:hAnsi="Arial" w:cs="Arial"/>
        </w:rPr>
      </w:pPr>
      <w:r w:rsidRPr="005971B0">
        <w:rPr>
          <w:rFonts w:ascii="Arial" w:hAnsi="Arial" w:cs="Arial"/>
        </w:rPr>
        <w:t xml:space="preserve">Effective HRM at Marriott International is the most critical factor in the company's growth and development. The company's HRM planning functions as a helpful HR instrument for recruiting, selecting, and developing human resources that align with the company's goals and can meet changing </w:t>
      </w:r>
      <w:r w:rsidR="004B18BE">
        <w:rPr>
          <w:rFonts w:ascii="Arial" w:hAnsi="Arial" w:cs="Arial"/>
        </w:rPr>
        <w:t>organisational</w:t>
      </w:r>
      <w:r w:rsidRPr="005971B0">
        <w:rPr>
          <w:rFonts w:ascii="Arial" w:hAnsi="Arial" w:cs="Arial"/>
        </w:rPr>
        <w:t xml:space="preserve"> demands. Through the intelligent use of a broad range of staff recruitment techniques, with cultural fit being one of the critical aspects of the selection process, Marriott International creates a robust workforce. This workforce promotes innovation, boosts customer experience, and ensures Marriott's competitive advantage in the market. Boosting the internal position of the corporation to the status of a world leader in the hospitality industry is its dedication to creating a diverse and inclusive place of work. Hereafter, an effective strategic HR management of Marriott International will enable the company to be more assertive and agile in this data-driven market and maintain business fulfilment through uncertainties and opportunities.</w:t>
      </w:r>
    </w:p>
    <w:p w14:paraId="7DF99799" w14:textId="77777777" w:rsidR="00653774" w:rsidRPr="00791804" w:rsidRDefault="00653774" w:rsidP="00791804">
      <w:pPr>
        <w:pStyle w:val="NormalWeb"/>
        <w:spacing w:line="360" w:lineRule="auto"/>
        <w:jc w:val="both"/>
        <w:rPr>
          <w:rFonts w:ascii="Arial" w:hAnsi="Arial" w:cs="Arial"/>
          <w:u w:val="single"/>
        </w:rPr>
      </w:pPr>
      <w:r w:rsidRPr="00791804">
        <w:rPr>
          <w:rStyle w:val="Strong"/>
          <w:rFonts w:ascii="Arial" w:eastAsiaTheme="majorEastAsia" w:hAnsi="Arial" w:cs="Arial"/>
          <w:u w:val="single"/>
        </w:rPr>
        <w:t>Reference List</w:t>
      </w:r>
    </w:p>
    <w:p w14:paraId="6B39B740" w14:textId="5D618BE5" w:rsidR="00653774" w:rsidRPr="00791804" w:rsidRDefault="00653774" w:rsidP="00791804">
      <w:pPr>
        <w:pStyle w:val="NormalWeb"/>
        <w:spacing w:line="360" w:lineRule="auto"/>
        <w:jc w:val="both"/>
        <w:rPr>
          <w:rFonts w:ascii="Arial" w:hAnsi="Arial" w:cs="Arial"/>
        </w:rPr>
      </w:pPr>
      <w:r w:rsidRPr="00791804">
        <w:rPr>
          <w:rFonts w:ascii="Arial" w:hAnsi="Arial" w:cs="Arial"/>
        </w:rPr>
        <w:t>Ahammad, T., (2017). Personnel management to human resource management (HRM): How HRM functions. </w:t>
      </w:r>
      <w:r w:rsidRPr="00791804">
        <w:rPr>
          <w:rStyle w:val="Emphasis"/>
          <w:rFonts w:ascii="Arial" w:eastAsiaTheme="majorEastAsia" w:hAnsi="Arial" w:cs="Arial"/>
        </w:rPr>
        <w:t>Journal of Modern Accounting and Auditing</w:t>
      </w:r>
      <w:r w:rsidRPr="00791804">
        <w:rPr>
          <w:rFonts w:ascii="Arial" w:hAnsi="Arial" w:cs="Arial"/>
        </w:rPr>
        <w:t>, </w:t>
      </w:r>
      <w:r w:rsidRPr="00791804">
        <w:rPr>
          <w:rStyle w:val="Emphasis"/>
          <w:rFonts w:ascii="Arial" w:eastAsiaTheme="majorEastAsia" w:hAnsi="Arial" w:cs="Arial"/>
        </w:rPr>
        <w:t>13</w:t>
      </w:r>
      <w:r w:rsidRPr="00791804">
        <w:rPr>
          <w:rFonts w:ascii="Arial" w:hAnsi="Arial" w:cs="Arial"/>
        </w:rPr>
        <w:t>(9), pp.412-420.</w:t>
      </w:r>
      <w:r w:rsidR="005901BE" w:rsidRPr="00791804">
        <w:rPr>
          <w:rFonts w:ascii="Arial" w:hAnsi="Arial" w:cs="Arial"/>
        </w:rPr>
        <w:t xml:space="preserve"> Available at:</w:t>
      </w:r>
      <w:r w:rsidRPr="00791804">
        <w:rPr>
          <w:rFonts w:ascii="Arial" w:hAnsi="Arial" w:cs="Arial"/>
        </w:rPr>
        <w:t> </w:t>
      </w:r>
      <w:hyperlink r:id="rId7" w:tgtFrame="_blank" w:history="1">
        <w:r w:rsidRPr="00791804">
          <w:rPr>
            <w:rStyle w:val="Hyperlink"/>
            <w:rFonts w:ascii="Arial" w:eastAsiaTheme="majorEastAsia" w:hAnsi="Arial" w:cs="Arial"/>
          </w:rPr>
          <w:t>https://www.researchgate.net/profile/Taslim-Ahammad/publication/321651611_Personnel_Management_to_Human_Resource_Management_HRM_How_HRM_Functions/links/5a742fcc0f7e9b20d490a8c5/Personnel-Management-to-Human-Resource-Management-HRM-How-HRM-Functions.pdf</w:t>
        </w:r>
      </w:hyperlink>
      <w:r w:rsidR="005F32B9" w:rsidRPr="00791804">
        <w:rPr>
          <w:rFonts w:ascii="Arial" w:hAnsi="Arial" w:cs="Arial"/>
        </w:rPr>
        <w:t xml:space="preserve"> </w:t>
      </w:r>
      <w:r w:rsidR="00337D80" w:rsidRPr="00791804">
        <w:rPr>
          <w:rFonts w:ascii="Arial" w:hAnsi="Arial" w:cs="Arial"/>
        </w:rPr>
        <w:t xml:space="preserve"> (Accessed</w:t>
      </w:r>
      <w:r w:rsidR="00E740B9" w:rsidRPr="00791804">
        <w:rPr>
          <w:rFonts w:ascii="Arial" w:hAnsi="Arial" w:cs="Arial"/>
        </w:rPr>
        <w:t xml:space="preserve">: </w:t>
      </w:r>
      <w:r w:rsidR="00BC02B5" w:rsidRPr="00791804">
        <w:rPr>
          <w:rFonts w:ascii="Arial" w:hAnsi="Arial" w:cs="Arial"/>
        </w:rPr>
        <w:t>01 May 2024).</w:t>
      </w:r>
    </w:p>
    <w:p w14:paraId="2037F708" w14:textId="673F109D" w:rsidR="00653774" w:rsidRPr="00AF46BD" w:rsidRDefault="00653774" w:rsidP="00AF46BD">
      <w:pPr>
        <w:spacing w:line="360" w:lineRule="auto"/>
        <w:jc w:val="both"/>
        <w:rPr>
          <w:rFonts w:ascii="Arial" w:hAnsi="Arial" w:cs="Arial"/>
          <w:shd w:val="clear" w:color="auto" w:fill="FFFFFF"/>
        </w:rPr>
      </w:pPr>
      <w:r w:rsidRPr="00791804">
        <w:rPr>
          <w:rFonts w:ascii="Arial" w:hAnsi="Arial" w:cs="Arial"/>
        </w:rPr>
        <w:t>Armstrong, M. and Taylor, S. (2020). </w:t>
      </w:r>
      <w:r w:rsidRPr="00791804">
        <w:rPr>
          <w:rStyle w:val="Emphasis"/>
          <w:rFonts w:ascii="Arial" w:hAnsi="Arial" w:cs="Arial"/>
        </w:rPr>
        <w:t>Armstrong's Handbook of </w:t>
      </w:r>
      <w:r w:rsidR="00872966" w:rsidRPr="00791804">
        <w:rPr>
          <w:rStyle w:val="Emphasis"/>
          <w:rFonts w:ascii="Arial" w:hAnsi="Arial" w:cs="Arial"/>
        </w:rPr>
        <w:t>Human Resource Management Practice</w:t>
      </w:r>
      <w:r w:rsidRPr="00791804">
        <w:rPr>
          <w:rFonts w:ascii="Arial" w:hAnsi="Arial" w:cs="Arial"/>
        </w:rPr>
        <w:t>. Kogan Page Publishers.</w:t>
      </w:r>
      <w:r w:rsidR="00337D80" w:rsidRPr="00791804">
        <w:rPr>
          <w:rFonts w:ascii="Arial" w:hAnsi="Arial" w:cs="Arial"/>
        </w:rPr>
        <w:t xml:space="preserve"> </w:t>
      </w:r>
    </w:p>
    <w:p w14:paraId="1E0CAD39" w14:textId="58BFA3A7" w:rsidR="00653774" w:rsidRPr="00791804" w:rsidRDefault="00653774" w:rsidP="00791804">
      <w:pPr>
        <w:pStyle w:val="NormalWeb"/>
        <w:spacing w:line="360" w:lineRule="auto"/>
        <w:jc w:val="both"/>
        <w:rPr>
          <w:rFonts w:ascii="Arial" w:hAnsi="Arial" w:cs="Arial"/>
        </w:rPr>
      </w:pPr>
      <w:proofErr w:type="spellStart"/>
      <w:r w:rsidRPr="00791804">
        <w:rPr>
          <w:rFonts w:ascii="Arial" w:hAnsi="Arial" w:cs="Arial"/>
        </w:rPr>
        <w:t>Aust</w:t>
      </w:r>
      <w:proofErr w:type="spellEnd"/>
      <w:r w:rsidRPr="00791804">
        <w:rPr>
          <w:rFonts w:ascii="Arial" w:hAnsi="Arial" w:cs="Arial"/>
        </w:rPr>
        <w:t xml:space="preserve">, I., Matthews, B. and Muller-Camen, M. (2020). Common good HRM: a paradigm </w:t>
      </w:r>
      <w:proofErr w:type="gramStart"/>
      <w:r w:rsidRPr="00791804">
        <w:rPr>
          <w:rFonts w:ascii="Arial" w:hAnsi="Arial" w:cs="Arial"/>
        </w:rPr>
        <w:t>shift</w:t>
      </w:r>
      <w:proofErr w:type="gramEnd"/>
      <w:r w:rsidRPr="00791804">
        <w:rPr>
          <w:rFonts w:ascii="Arial" w:hAnsi="Arial" w:cs="Arial"/>
        </w:rPr>
        <w:t xml:space="preserve"> in sustainable HRM</w:t>
      </w:r>
      <w:r w:rsidR="00262D80">
        <w:rPr>
          <w:rFonts w:ascii="Arial" w:hAnsi="Arial" w:cs="Arial"/>
        </w:rPr>
        <w:t>?</w:t>
      </w:r>
      <w:r w:rsidRPr="00791804">
        <w:rPr>
          <w:rFonts w:ascii="Arial" w:hAnsi="Arial" w:cs="Arial"/>
        </w:rPr>
        <w:t> </w:t>
      </w:r>
      <w:r w:rsidRPr="00791804">
        <w:rPr>
          <w:rStyle w:val="Emphasis"/>
          <w:rFonts w:ascii="Arial" w:eastAsiaTheme="majorEastAsia" w:hAnsi="Arial" w:cs="Arial"/>
        </w:rPr>
        <w:t>Human Resource Management Review</w:t>
      </w:r>
      <w:r w:rsidRPr="00791804">
        <w:rPr>
          <w:rFonts w:ascii="Arial" w:hAnsi="Arial" w:cs="Arial"/>
        </w:rPr>
        <w:t>, </w:t>
      </w:r>
      <w:r w:rsidRPr="00791804">
        <w:rPr>
          <w:rStyle w:val="Emphasis"/>
          <w:rFonts w:ascii="Arial" w:eastAsiaTheme="majorEastAsia" w:hAnsi="Arial" w:cs="Arial"/>
        </w:rPr>
        <w:t>30</w:t>
      </w:r>
      <w:r w:rsidRPr="00791804">
        <w:rPr>
          <w:rFonts w:ascii="Arial" w:hAnsi="Arial" w:cs="Arial"/>
        </w:rPr>
        <w:t xml:space="preserve">(3), </w:t>
      </w:r>
      <w:r w:rsidR="00F82C55" w:rsidRPr="00791804">
        <w:rPr>
          <w:rFonts w:ascii="Arial" w:hAnsi="Arial" w:cs="Arial"/>
        </w:rPr>
        <w:t>A</w:t>
      </w:r>
      <w:r w:rsidR="00D91035" w:rsidRPr="00791804">
        <w:rPr>
          <w:rFonts w:ascii="Arial" w:hAnsi="Arial" w:cs="Arial"/>
        </w:rPr>
        <w:t xml:space="preserve">vailable at: </w:t>
      </w:r>
      <w:r w:rsidRPr="00791804">
        <w:rPr>
          <w:rFonts w:ascii="Arial" w:hAnsi="Arial" w:cs="Arial"/>
        </w:rPr>
        <w:t>p.100705. </w:t>
      </w:r>
      <w:hyperlink r:id="rId8" w:tgtFrame="_blank" w:history="1">
        <w:r w:rsidRPr="00791804">
          <w:rPr>
            <w:rStyle w:val="Hyperlink"/>
            <w:rFonts w:ascii="Arial" w:eastAsiaTheme="majorEastAsia" w:hAnsi="Arial" w:cs="Arial"/>
          </w:rPr>
          <w:t>https://www.sciencedirect.com/science/article/pii/S1053482218303917</w:t>
        </w:r>
      </w:hyperlink>
      <w:r w:rsidR="00D91035" w:rsidRPr="00791804">
        <w:rPr>
          <w:rFonts w:ascii="Arial" w:hAnsi="Arial" w:cs="Arial"/>
        </w:rPr>
        <w:t xml:space="preserve"> (Accessed</w:t>
      </w:r>
      <w:r w:rsidR="001D13CB" w:rsidRPr="00791804">
        <w:rPr>
          <w:rFonts w:ascii="Arial" w:hAnsi="Arial" w:cs="Arial"/>
        </w:rPr>
        <w:t>:</w:t>
      </w:r>
      <w:r w:rsidR="00D91035" w:rsidRPr="00791804">
        <w:rPr>
          <w:rFonts w:ascii="Arial" w:hAnsi="Arial" w:cs="Arial"/>
        </w:rPr>
        <w:t xml:space="preserve"> </w:t>
      </w:r>
      <w:r w:rsidR="001D13CB" w:rsidRPr="00791804">
        <w:rPr>
          <w:rFonts w:ascii="Arial" w:hAnsi="Arial" w:cs="Arial"/>
        </w:rPr>
        <w:t>28 April 2024)</w:t>
      </w:r>
      <w:r w:rsidR="00B33455" w:rsidRPr="00791804">
        <w:rPr>
          <w:rFonts w:ascii="Arial" w:hAnsi="Arial" w:cs="Arial"/>
        </w:rPr>
        <w:t>.</w:t>
      </w:r>
    </w:p>
    <w:p w14:paraId="675E29D6" w14:textId="0251C9EE" w:rsidR="00653774" w:rsidRPr="00791804" w:rsidRDefault="00653774" w:rsidP="00791804">
      <w:pPr>
        <w:pStyle w:val="NormalWeb"/>
        <w:spacing w:line="360" w:lineRule="auto"/>
        <w:jc w:val="both"/>
        <w:rPr>
          <w:rFonts w:ascii="Arial" w:hAnsi="Arial" w:cs="Arial"/>
        </w:rPr>
      </w:pPr>
      <w:proofErr w:type="spellStart"/>
      <w:r w:rsidRPr="00791804">
        <w:rPr>
          <w:rFonts w:ascii="Arial" w:hAnsi="Arial" w:cs="Arial"/>
        </w:rPr>
        <w:lastRenderedPageBreak/>
        <w:t>Bondarouk</w:t>
      </w:r>
      <w:proofErr w:type="spellEnd"/>
      <w:r w:rsidRPr="00791804">
        <w:rPr>
          <w:rFonts w:ascii="Arial" w:hAnsi="Arial" w:cs="Arial"/>
        </w:rPr>
        <w:t>, T., Harms, R. and Lepak, D. (2017). Does e-HRM lead to better HRM service</w:t>
      </w:r>
      <w:r w:rsidR="00262D80">
        <w:rPr>
          <w:rFonts w:ascii="Arial" w:hAnsi="Arial" w:cs="Arial"/>
        </w:rPr>
        <w:t>?</w:t>
      </w:r>
      <w:r w:rsidRPr="00791804">
        <w:rPr>
          <w:rFonts w:ascii="Arial" w:hAnsi="Arial" w:cs="Arial"/>
        </w:rPr>
        <w:t> </w:t>
      </w:r>
      <w:r w:rsidRPr="00791804">
        <w:rPr>
          <w:rStyle w:val="Emphasis"/>
          <w:rFonts w:ascii="Arial" w:eastAsiaTheme="majorEastAsia" w:hAnsi="Arial" w:cs="Arial"/>
        </w:rPr>
        <w:t>The International Journal of Human Resource Management</w:t>
      </w:r>
      <w:r w:rsidRPr="00791804">
        <w:rPr>
          <w:rFonts w:ascii="Arial" w:hAnsi="Arial" w:cs="Arial"/>
        </w:rPr>
        <w:t>, </w:t>
      </w:r>
      <w:r w:rsidRPr="00791804">
        <w:rPr>
          <w:rStyle w:val="Emphasis"/>
          <w:rFonts w:ascii="Arial" w:eastAsiaTheme="majorEastAsia" w:hAnsi="Arial" w:cs="Arial"/>
        </w:rPr>
        <w:t>28</w:t>
      </w:r>
      <w:r w:rsidRPr="00791804">
        <w:rPr>
          <w:rFonts w:ascii="Arial" w:hAnsi="Arial" w:cs="Arial"/>
        </w:rPr>
        <w:t>(9), pp.1332-1362. </w:t>
      </w:r>
      <w:r w:rsidR="00B33455" w:rsidRPr="00791804">
        <w:rPr>
          <w:rFonts w:ascii="Arial" w:hAnsi="Arial" w:cs="Arial"/>
        </w:rPr>
        <w:t xml:space="preserve">Available at: </w:t>
      </w:r>
      <w:hyperlink r:id="rId9" w:history="1">
        <w:r w:rsidR="00B33455" w:rsidRPr="00791804">
          <w:rPr>
            <w:rStyle w:val="Hyperlink"/>
            <w:rFonts w:ascii="Arial" w:eastAsiaTheme="majorEastAsia" w:hAnsi="Arial" w:cs="Arial"/>
          </w:rPr>
          <w:t>https://www.tandfonline.com/doi/abs/10.1080/09585192.2015.1118139</w:t>
        </w:r>
      </w:hyperlink>
      <w:r w:rsidR="00B33455" w:rsidRPr="00791804">
        <w:rPr>
          <w:rFonts w:ascii="Arial" w:hAnsi="Arial" w:cs="Arial"/>
        </w:rPr>
        <w:t xml:space="preserve"> (Ac</w:t>
      </w:r>
      <w:r w:rsidR="000A25ED" w:rsidRPr="00791804">
        <w:rPr>
          <w:rFonts w:ascii="Arial" w:hAnsi="Arial" w:cs="Arial"/>
        </w:rPr>
        <w:t>cessed: 28 April 2024).</w:t>
      </w:r>
    </w:p>
    <w:p w14:paraId="2277F78C" w14:textId="30F8728E" w:rsidR="00653774" w:rsidRPr="00791804" w:rsidRDefault="00653774" w:rsidP="00791804">
      <w:pPr>
        <w:pStyle w:val="NormalWeb"/>
        <w:spacing w:line="360" w:lineRule="auto"/>
        <w:jc w:val="both"/>
        <w:rPr>
          <w:rFonts w:ascii="Arial" w:hAnsi="Arial" w:cs="Arial"/>
        </w:rPr>
      </w:pPr>
      <w:r w:rsidRPr="00791804">
        <w:rPr>
          <w:rFonts w:ascii="Arial" w:hAnsi="Arial" w:cs="Arial"/>
        </w:rPr>
        <w:t>Bos-</w:t>
      </w:r>
      <w:proofErr w:type="spellStart"/>
      <w:r w:rsidRPr="00791804">
        <w:rPr>
          <w:rFonts w:ascii="Arial" w:hAnsi="Arial" w:cs="Arial"/>
        </w:rPr>
        <w:t>Nehles</w:t>
      </w:r>
      <w:proofErr w:type="spellEnd"/>
      <w:r w:rsidRPr="00791804">
        <w:rPr>
          <w:rFonts w:ascii="Arial" w:hAnsi="Arial" w:cs="Arial"/>
        </w:rPr>
        <w:t xml:space="preserve">, A., </w:t>
      </w:r>
      <w:proofErr w:type="spellStart"/>
      <w:r w:rsidRPr="00791804">
        <w:rPr>
          <w:rFonts w:ascii="Arial" w:hAnsi="Arial" w:cs="Arial"/>
        </w:rPr>
        <w:t>Bondarouk</w:t>
      </w:r>
      <w:proofErr w:type="spellEnd"/>
      <w:r w:rsidRPr="00791804">
        <w:rPr>
          <w:rFonts w:ascii="Arial" w:hAnsi="Arial" w:cs="Arial"/>
        </w:rPr>
        <w:t>, T. and Labrenz, S., (2017). HRM implementation in multinational companies: The dynamics of multifaceted scenarios. </w:t>
      </w:r>
      <w:r w:rsidRPr="00791804">
        <w:rPr>
          <w:rStyle w:val="Emphasis"/>
          <w:rFonts w:ascii="Arial" w:eastAsiaTheme="majorEastAsia" w:hAnsi="Arial" w:cs="Arial"/>
        </w:rPr>
        <w:t>European Journal of International Management</w:t>
      </w:r>
      <w:r w:rsidRPr="00791804">
        <w:rPr>
          <w:rFonts w:ascii="Arial" w:hAnsi="Arial" w:cs="Arial"/>
        </w:rPr>
        <w:t>, </w:t>
      </w:r>
      <w:r w:rsidRPr="00791804">
        <w:rPr>
          <w:rStyle w:val="Emphasis"/>
          <w:rFonts w:ascii="Arial" w:eastAsiaTheme="majorEastAsia" w:hAnsi="Arial" w:cs="Arial"/>
        </w:rPr>
        <w:t>11</w:t>
      </w:r>
      <w:r w:rsidRPr="00791804">
        <w:rPr>
          <w:rFonts w:ascii="Arial" w:hAnsi="Arial" w:cs="Arial"/>
        </w:rPr>
        <w:t>(5), pp.515-536. </w:t>
      </w:r>
      <w:r w:rsidR="0048000C" w:rsidRPr="00791804">
        <w:rPr>
          <w:rFonts w:ascii="Arial" w:hAnsi="Arial" w:cs="Arial"/>
        </w:rPr>
        <w:t xml:space="preserve">Available at: </w:t>
      </w:r>
      <w:hyperlink r:id="rId10" w:history="1">
        <w:r w:rsidR="0048000C" w:rsidRPr="00791804">
          <w:rPr>
            <w:rStyle w:val="Hyperlink"/>
            <w:rFonts w:ascii="Arial" w:eastAsiaTheme="majorEastAsia" w:hAnsi="Arial" w:cs="Arial"/>
          </w:rPr>
          <w:t>https://www.inderscienceonline.com/doi/abs/10.1504/EJIM.2017.086696</w:t>
        </w:r>
      </w:hyperlink>
      <w:r w:rsidR="0048000C" w:rsidRPr="00791804">
        <w:rPr>
          <w:rFonts w:ascii="Arial" w:hAnsi="Arial" w:cs="Arial"/>
        </w:rPr>
        <w:t xml:space="preserve"> (Accessed:</w:t>
      </w:r>
      <w:r w:rsidR="00BB6012" w:rsidRPr="00791804">
        <w:rPr>
          <w:rFonts w:ascii="Arial" w:hAnsi="Arial" w:cs="Arial"/>
        </w:rPr>
        <w:t xml:space="preserve"> 02 May 2024)</w:t>
      </w:r>
      <w:r w:rsidR="00BB5A7E" w:rsidRPr="00791804">
        <w:rPr>
          <w:rFonts w:ascii="Arial" w:hAnsi="Arial" w:cs="Arial"/>
        </w:rPr>
        <w:t>.</w:t>
      </w:r>
    </w:p>
    <w:p w14:paraId="6F60728C" w14:textId="348D6F6D" w:rsidR="00653774" w:rsidRPr="00791804" w:rsidRDefault="00653774" w:rsidP="00791804">
      <w:pPr>
        <w:pStyle w:val="NormalWeb"/>
        <w:spacing w:line="360" w:lineRule="auto"/>
        <w:jc w:val="both"/>
        <w:rPr>
          <w:rFonts w:ascii="Arial" w:hAnsi="Arial" w:cs="Arial"/>
        </w:rPr>
      </w:pPr>
      <w:r w:rsidRPr="00791804">
        <w:rPr>
          <w:rFonts w:ascii="Arial" w:hAnsi="Arial" w:cs="Arial"/>
        </w:rPr>
        <w:t xml:space="preserve">Bretos, I., </w:t>
      </w:r>
      <w:proofErr w:type="spellStart"/>
      <w:r w:rsidRPr="00791804">
        <w:rPr>
          <w:rFonts w:ascii="Arial" w:hAnsi="Arial" w:cs="Arial"/>
        </w:rPr>
        <w:t>Errasti</w:t>
      </w:r>
      <w:proofErr w:type="spellEnd"/>
      <w:r w:rsidRPr="00791804">
        <w:rPr>
          <w:rFonts w:ascii="Arial" w:hAnsi="Arial" w:cs="Arial"/>
        </w:rPr>
        <w:t xml:space="preserve">, A. and </w:t>
      </w:r>
      <w:proofErr w:type="spellStart"/>
      <w:r w:rsidRPr="00791804">
        <w:rPr>
          <w:rFonts w:ascii="Arial" w:hAnsi="Arial" w:cs="Arial"/>
        </w:rPr>
        <w:t>Marcuello</w:t>
      </w:r>
      <w:proofErr w:type="spellEnd"/>
      <w:r w:rsidRPr="00791804">
        <w:rPr>
          <w:rFonts w:ascii="Arial" w:hAnsi="Arial" w:cs="Arial"/>
        </w:rPr>
        <w:t xml:space="preserve">, C., (2018). Ownership, governance, and the diffusion of HRM practices in multinational worker cooperatives: C </w:t>
      </w:r>
      <w:proofErr w:type="spellStart"/>
      <w:r w:rsidRPr="00791804">
        <w:rPr>
          <w:rFonts w:ascii="Arial" w:hAnsi="Arial" w:cs="Arial"/>
        </w:rPr>
        <w:t>ase</w:t>
      </w:r>
      <w:proofErr w:type="spellEnd"/>
      <w:r w:rsidRPr="00791804">
        <w:rPr>
          <w:rFonts w:ascii="Cambria Math" w:hAnsi="Cambria Math" w:cs="Cambria Math"/>
        </w:rPr>
        <w:t>‐</w:t>
      </w:r>
      <w:r w:rsidRPr="00791804">
        <w:rPr>
          <w:rFonts w:ascii="Arial" w:hAnsi="Arial" w:cs="Arial"/>
        </w:rPr>
        <w:t>study evidence from the M Mondragon group. </w:t>
      </w:r>
      <w:r w:rsidRPr="00791804">
        <w:rPr>
          <w:rStyle w:val="Emphasis"/>
          <w:rFonts w:ascii="Arial" w:eastAsiaTheme="majorEastAsia" w:hAnsi="Arial" w:cs="Arial"/>
        </w:rPr>
        <w:t>Human Resource Management Journal</w:t>
      </w:r>
      <w:r w:rsidRPr="00791804">
        <w:rPr>
          <w:rFonts w:ascii="Arial" w:hAnsi="Arial" w:cs="Arial"/>
        </w:rPr>
        <w:t>, </w:t>
      </w:r>
      <w:r w:rsidRPr="00791804">
        <w:rPr>
          <w:rStyle w:val="Emphasis"/>
          <w:rFonts w:ascii="Arial" w:eastAsiaTheme="majorEastAsia" w:hAnsi="Arial" w:cs="Arial"/>
        </w:rPr>
        <w:t>28</w:t>
      </w:r>
      <w:r w:rsidRPr="00791804">
        <w:rPr>
          <w:rFonts w:ascii="Arial" w:hAnsi="Arial" w:cs="Arial"/>
        </w:rPr>
        <w:t>(1), pp.76-91.</w:t>
      </w:r>
      <w:r w:rsidR="00BB6012" w:rsidRPr="00791804">
        <w:rPr>
          <w:rFonts w:ascii="Arial" w:hAnsi="Arial" w:cs="Arial"/>
        </w:rPr>
        <w:t xml:space="preserve"> Available at:</w:t>
      </w:r>
      <w:r w:rsidRPr="00791804">
        <w:rPr>
          <w:rFonts w:ascii="Arial" w:hAnsi="Arial" w:cs="Arial"/>
        </w:rPr>
        <w:t> </w:t>
      </w:r>
      <w:hyperlink r:id="rId11" w:tgtFrame="_blank" w:history="1">
        <w:r w:rsidRPr="00791804">
          <w:rPr>
            <w:rStyle w:val="Hyperlink"/>
            <w:rFonts w:ascii="Arial" w:eastAsiaTheme="majorEastAsia" w:hAnsi="Arial" w:cs="Arial"/>
          </w:rPr>
          <w:t>https://onlinelibrary.wiley.com/doi/abs/10.1111/1748-8583.12165</w:t>
        </w:r>
      </w:hyperlink>
      <w:r w:rsidR="0093587D" w:rsidRPr="00791804">
        <w:rPr>
          <w:rFonts w:ascii="Arial" w:hAnsi="Arial" w:cs="Arial"/>
        </w:rPr>
        <w:t xml:space="preserve"> (Accessed: 0</w:t>
      </w:r>
      <w:r w:rsidR="008A0106" w:rsidRPr="00791804">
        <w:rPr>
          <w:rFonts w:ascii="Arial" w:hAnsi="Arial" w:cs="Arial"/>
        </w:rPr>
        <w:t xml:space="preserve">4 </w:t>
      </w:r>
      <w:r w:rsidR="0093587D" w:rsidRPr="00791804">
        <w:rPr>
          <w:rFonts w:ascii="Arial" w:hAnsi="Arial" w:cs="Arial"/>
        </w:rPr>
        <w:t>May 2024)</w:t>
      </w:r>
      <w:r w:rsidR="00BB5A7E" w:rsidRPr="00791804">
        <w:rPr>
          <w:rFonts w:ascii="Arial" w:hAnsi="Arial" w:cs="Arial"/>
        </w:rPr>
        <w:t>.</w:t>
      </w:r>
    </w:p>
    <w:p w14:paraId="62176A01" w14:textId="5E27B667" w:rsidR="00653774" w:rsidRPr="00791804" w:rsidRDefault="00653774" w:rsidP="00791804">
      <w:pPr>
        <w:pStyle w:val="NormalWeb"/>
        <w:spacing w:line="360" w:lineRule="auto"/>
        <w:jc w:val="both"/>
        <w:rPr>
          <w:rFonts w:ascii="Arial" w:hAnsi="Arial" w:cs="Arial"/>
        </w:rPr>
      </w:pPr>
      <w:r w:rsidRPr="00791804">
        <w:rPr>
          <w:rFonts w:ascii="Arial" w:hAnsi="Arial" w:cs="Arial"/>
        </w:rPr>
        <w:t>Brewster, C. and Söderström, M., (2017). Human resources and line management 1. In </w:t>
      </w:r>
      <w:r w:rsidRPr="00791804">
        <w:rPr>
          <w:rStyle w:val="Emphasis"/>
          <w:rFonts w:ascii="Arial" w:eastAsiaTheme="majorEastAsia" w:hAnsi="Arial" w:cs="Arial"/>
        </w:rPr>
        <w:t>Policy and practice in European human resource management</w:t>
      </w:r>
      <w:r w:rsidRPr="00791804">
        <w:rPr>
          <w:rFonts w:ascii="Arial" w:hAnsi="Arial" w:cs="Arial"/>
        </w:rPr>
        <w:t> (pp. 51-67). Routledge.</w:t>
      </w:r>
      <w:r w:rsidR="006B44F5" w:rsidRPr="00791804">
        <w:rPr>
          <w:rFonts w:ascii="Arial" w:hAnsi="Arial" w:cs="Arial"/>
        </w:rPr>
        <w:t xml:space="preserve"> Available at:</w:t>
      </w:r>
      <w:r w:rsidRPr="00791804">
        <w:rPr>
          <w:rFonts w:ascii="Arial" w:hAnsi="Arial" w:cs="Arial"/>
        </w:rPr>
        <w:t> </w:t>
      </w:r>
      <w:hyperlink r:id="rId12" w:tgtFrame="_blank" w:history="1">
        <w:r w:rsidRPr="00791804">
          <w:rPr>
            <w:rStyle w:val="Hyperlink"/>
            <w:rFonts w:ascii="Arial" w:eastAsiaTheme="majorEastAsia" w:hAnsi="Arial" w:cs="Arial"/>
          </w:rPr>
          <w:t>https://www.taylorfrancis.com/chapters/edit/10.4324/9781315231426-4/human-resources-line-management-1-chris-brewster-magnus-s%C3%B6derstr%C3%B6</w:t>
        </w:r>
      </w:hyperlink>
      <w:r w:rsidR="008A0106" w:rsidRPr="00791804">
        <w:rPr>
          <w:rFonts w:ascii="Arial" w:hAnsi="Arial" w:cs="Arial"/>
        </w:rPr>
        <w:t xml:space="preserve"> (Accessed: 04 May 2024)</w:t>
      </w:r>
      <w:r w:rsidR="00BB5A7E" w:rsidRPr="00791804">
        <w:rPr>
          <w:rFonts w:ascii="Arial" w:hAnsi="Arial" w:cs="Arial"/>
        </w:rPr>
        <w:t>.</w:t>
      </w:r>
    </w:p>
    <w:p w14:paraId="374AA006" w14:textId="65649151" w:rsidR="00653774" w:rsidRPr="00791804" w:rsidRDefault="00653774" w:rsidP="00791804">
      <w:pPr>
        <w:pStyle w:val="NormalWeb"/>
        <w:spacing w:line="360" w:lineRule="auto"/>
        <w:jc w:val="both"/>
        <w:rPr>
          <w:rFonts w:ascii="Arial" w:hAnsi="Arial" w:cs="Arial"/>
        </w:rPr>
      </w:pPr>
      <w:r w:rsidRPr="00791804">
        <w:rPr>
          <w:rFonts w:ascii="Arial" w:hAnsi="Arial" w:cs="Arial"/>
        </w:rPr>
        <w:t>Burke, R.J., (2018). Human resource management in the hospitality and tourism sector. In </w:t>
      </w:r>
      <w:r w:rsidRPr="00791804">
        <w:rPr>
          <w:rStyle w:val="Emphasis"/>
          <w:rFonts w:ascii="Arial" w:eastAsiaTheme="majorEastAsia" w:hAnsi="Arial" w:cs="Arial"/>
        </w:rPr>
        <w:t>Handbook of human resource management in the tourism and hospitality industries</w:t>
      </w:r>
      <w:r w:rsidRPr="00791804">
        <w:rPr>
          <w:rFonts w:ascii="Arial" w:hAnsi="Arial" w:cs="Arial"/>
        </w:rPr>
        <w:t> (pp. 3-39). Edward Elgar Publishing. </w:t>
      </w:r>
      <w:r w:rsidR="006B44F5" w:rsidRPr="00791804">
        <w:rPr>
          <w:rFonts w:ascii="Arial" w:hAnsi="Arial" w:cs="Arial"/>
        </w:rPr>
        <w:t xml:space="preserve">Available at: </w:t>
      </w:r>
      <w:hyperlink r:id="rId13" w:tgtFrame="_blank" w:history="1">
        <w:r w:rsidRPr="00791804">
          <w:rPr>
            <w:rStyle w:val="Hyperlink"/>
            <w:rFonts w:ascii="Arial" w:eastAsiaTheme="majorEastAsia" w:hAnsi="Arial" w:cs="Arial"/>
          </w:rPr>
          <w:t>https://www.elgaronline.com/abstract/edcoll/9781786431363/9781786431363.00007.xml</w:t>
        </w:r>
      </w:hyperlink>
      <w:r w:rsidR="008A0106" w:rsidRPr="00791804">
        <w:rPr>
          <w:rFonts w:ascii="Arial" w:hAnsi="Arial" w:cs="Arial"/>
        </w:rPr>
        <w:t xml:space="preserve"> (Accessed: 05 May 2024)</w:t>
      </w:r>
      <w:r w:rsidR="00BB5A7E" w:rsidRPr="00791804">
        <w:rPr>
          <w:rFonts w:ascii="Arial" w:hAnsi="Arial" w:cs="Arial"/>
        </w:rPr>
        <w:t>.</w:t>
      </w:r>
    </w:p>
    <w:p w14:paraId="44E9E317" w14:textId="553A7DC4" w:rsidR="00653774" w:rsidRPr="00791804" w:rsidRDefault="00653774" w:rsidP="00791804">
      <w:pPr>
        <w:pStyle w:val="NormalWeb"/>
        <w:spacing w:line="360" w:lineRule="auto"/>
        <w:jc w:val="both"/>
        <w:rPr>
          <w:rFonts w:ascii="Arial" w:hAnsi="Arial" w:cs="Arial"/>
        </w:rPr>
      </w:pPr>
      <w:r w:rsidRPr="00791804">
        <w:rPr>
          <w:rFonts w:ascii="Arial" w:hAnsi="Arial" w:cs="Arial"/>
        </w:rPr>
        <w:t>Cooke, F.L., Wood, G., Wang, M. and Veen, A., (2019). How far has international HRM travelled? A systematic review of literature on multinational corporations (2000–2014). </w:t>
      </w:r>
      <w:r w:rsidRPr="00791804">
        <w:rPr>
          <w:rStyle w:val="Emphasis"/>
          <w:rFonts w:ascii="Arial" w:eastAsiaTheme="majorEastAsia" w:hAnsi="Arial" w:cs="Arial"/>
        </w:rPr>
        <w:t>Human Resource Management Review</w:t>
      </w:r>
      <w:r w:rsidRPr="00791804">
        <w:rPr>
          <w:rFonts w:ascii="Arial" w:hAnsi="Arial" w:cs="Arial"/>
        </w:rPr>
        <w:t>, </w:t>
      </w:r>
      <w:r w:rsidRPr="00791804">
        <w:rPr>
          <w:rStyle w:val="Emphasis"/>
          <w:rFonts w:ascii="Arial" w:eastAsiaTheme="majorEastAsia" w:hAnsi="Arial" w:cs="Arial"/>
        </w:rPr>
        <w:t>29</w:t>
      </w:r>
      <w:r w:rsidRPr="00791804">
        <w:rPr>
          <w:rFonts w:ascii="Arial" w:hAnsi="Arial" w:cs="Arial"/>
        </w:rPr>
        <w:t>(1), pp.59-75.</w:t>
      </w:r>
      <w:r w:rsidR="006B44F5" w:rsidRPr="00791804">
        <w:rPr>
          <w:rFonts w:ascii="Arial" w:hAnsi="Arial" w:cs="Arial"/>
        </w:rPr>
        <w:t xml:space="preserve"> Available </w:t>
      </w:r>
      <w:r w:rsidR="006B44F5" w:rsidRPr="00791804">
        <w:rPr>
          <w:rFonts w:ascii="Arial" w:hAnsi="Arial" w:cs="Arial"/>
        </w:rPr>
        <w:lastRenderedPageBreak/>
        <w:t>at:</w:t>
      </w:r>
      <w:r w:rsidRPr="00791804">
        <w:rPr>
          <w:rFonts w:ascii="Arial" w:hAnsi="Arial" w:cs="Arial"/>
        </w:rPr>
        <w:t> </w:t>
      </w:r>
      <w:hyperlink r:id="rId14" w:tgtFrame="_blank" w:history="1">
        <w:r w:rsidRPr="00791804">
          <w:rPr>
            <w:rStyle w:val="Hyperlink"/>
            <w:rFonts w:ascii="Arial" w:eastAsiaTheme="majorEastAsia" w:hAnsi="Arial" w:cs="Arial"/>
          </w:rPr>
          <w:t>https://www.sciencedirect.com/science/article/pii/S1053482218300317</w:t>
        </w:r>
      </w:hyperlink>
      <w:r w:rsidR="008A0106" w:rsidRPr="00791804">
        <w:rPr>
          <w:rFonts w:ascii="Arial" w:hAnsi="Arial" w:cs="Arial"/>
        </w:rPr>
        <w:t xml:space="preserve"> (Accessed: 07 May 2024)</w:t>
      </w:r>
      <w:r w:rsidR="00BB5A7E" w:rsidRPr="00791804">
        <w:rPr>
          <w:rFonts w:ascii="Arial" w:hAnsi="Arial" w:cs="Arial"/>
        </w:rPr>
        <w:t>.</w:t>
      </w:r>
    </w:p>
    <w:p w14:paraId="5BB9CC2F" w14:textId="66398E41" w:rsidR="00653774" w:rsidRPr="00791804" w:rsidRDefault="00653774" w:rsidP="00791804">
      <w:pPr>
        <w:pStyle w:val="NormalWeb"/>
        <w:spacing w:line="360" w:lineRule="auto"/>
        <w:jc w:val="both"/>
        <w:rPr>
          <w:rFonts w:ascii="Arial" w:hAnsi="Arial" w:cs="Arial"/>
        </w:rPr>
      </w:pPr>
      <w:r w:rsidRPr="00791804">
        <w:rPr>
          <w:rFonts w:ascii="Arial" w:hAnsi="Arial" w:cs="Arial"/>
        </w:rPr>
        <w:t>Dundon, T. and Rafferty, A. (2018). The (potential) demise of HRM</w:t>
      </w:r>
      <w:r w:rsidR="00262D80">
        <w:rPr>
          <w:rFonts w:ascii="Arial" w:hAnsi="Arial" w:cs="Arial"/>
        </w:rPr>
        <w:t>?</w:t>
      </w:r>
      <w:r w:rsidRPr="00791804">
        <w:rPr>
          <w:rFonts w:ascii="Arial" w:hAnsi="Arial" w:cs="Arial"/>
        </w:rPr>
        <w:t> </w:t>
      </w:r>
      <w:r w:rsidRPr="00791804">
        <w:rPr>
          <w:rStyle w:val="Emphasis"/>
          <w:rFonts w:ascii="Arial" w:eastAsiaTheme="majorEastAsia" w:hAnsi="Arial" w:cs="Arial"/>
        </w:rPr>
        <w:t>Human Resource Management Journal</w:t>
      </w:r>
      <w:r w:rsidRPr="00791804">
        <w:rPr>
          <w:rFonts w:ascii="Arial" w:hAnsi="Arial" w:cs="Arial"/>
        </w:rPr>
        <w:t>, </w:t>
      </w:r>
      <w:r w:rsidRPr="00791804">
        <w:rPr>
          <w:rStyle w:val="Emphasis"/>
          <w:rFonts w:ascii="Arial" w:eastAsiaTheme="majorEastAsia" w:hAnsi="Arial" w:cs="Arial"/>
        </w:rPr>
        <w:t>28</w:t>
      </w:r>
      <w:r w:rsidRPr="00791804">
        <w:rPr>
          <w:rFonts w:ascii="Arial" w:hAnsi="Arial" w:cs="Arial"/>
        </w:rPr>
        <w:t>(3), pp.377-391. </w:t>
      </w:r>
      <w:r w:rsidR="006B44F5" w:rsidRPr="00791804">
        <w:rPr>
          <w:rFonts w:ascii="Arial" w:hAnsi="Arial" w:cs="Arial"/>
        </w:rPr>
        <w:t xml:space="preserve">Available at: </w:t>
      </w:r>
      <w:hyperlink r:id="rId15" w:tgtFrame="_blank" w:history="1">
        <w:r w:rsidRPr="00791804">
          <w:rPr>
            <w:rStyle w:val="Hyperlink"/>
            <w:rFonts w:ascii="Arial" w:eastAsiaTheme="majorEastAsia" w:hAnsi="Arial" w:cs="Arial"/>
          </w:rPr>
          <w:t>https://onlinelibrary.wiley.com/doi/abs/10.1111/1748-8583.12195</w:t>
        </w:r>
      </w:hyperlink>
      <w:r w:rsidR="008A0106" w:rsidRPr="00791804">
        <w:rPr>
          <w:rFonts w:ascii="Arial" w:hAnsi="Arial" w:cs="Arial"/>
        </w:rPr>
        <w:t xml:space="preserve"> (Accessed: 07 May 2024)</w:t>
      </w:r>
      <w:r w:rsidR="00BB5A7E" w:rsidRPr="00791804">
        <w:rPr>
          <w:rFonts w:ascii="Arial" w:hAnsi="Arial" w:cs="Arial"/>
        </w:rPr>
        <w:t>.</w:t>
      </w:r>
    </w:p>
    <w:p w14:paraId="01DB1752"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Gautam, T.P., (2023). Human Resource Management Practices in Nepali Industries. </w:t>
      </w:r>
      <w:r w:rsidRPr="00791804">
        <w:rPr>
          <w:rStyle w:val="Emphasis"/>
          <w:rFonts w:ascii="Arial" w:eastAsiaTheme="majorEastAsia" w:hAnsi="Arial" w:cs="Arial"/>
        </w:rPr>
        <w:t>Journal of Productive Discourse</w:t>
      </w:r>
      <w:r w:rsidRPr="00791804">
        <w:rPr>
          <w:rFonts w:ascii="Arial" w:hAnsi="Arial" w:cs="Arial"/>
        </w:rPr>
        <w:t>, </w:t>
      </w:r>
      <w:r w:rsidRPr="00791804">
        <w:rPr>
          <w:rStyle w:val="Emphasis"/>
          <w:rFonts w:ascii="Arial" w:eastAsiaTheme="majorEastAsia" w:hAnsi="Arial" w:cs="Arial"/>
        </w:rPr>
        <w:t>1</w:t>
      </w:r>
      <w:r w:rsidRPr="00791804">
        <w:rPr>
          <w:rFonts w:ascii="Arial" w:hAnsi="Arial" w:cs="Arial"/>
        </w:rPr>
        <w:t>(1), pp.75-86.</w:t>
      </w:r>
    </w:p>
    <w:p w14:paraId="4D1A5C03"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Harney, B., &amp; Alkhalaf, H. (2020). A quarter</w:t>
      </w:r>
      <w:r w:rsidRPr="00791804">
        <w:rPr>
          <w:rFonts w:ascii="Cambria Math" w:hAnsi="Cambria Math" w:cs="Cambria Math"/>
        </w:rPr>
        <w:t>‐</w:t>
      </w:r>
      <w:r w:rsidRPr="00791804">
        <w:rPr>
          <w:rFonts w:ascii="Arial" w:hAnsi="Arial" w:cs="Arial"/>
        </w:rPr>
        <w:t>century review of HRM in small and medium</w:t>
      </w:r>
      <w:r w:rsidRPr="00791804">
        <w:rPr>
          <w:rFonts w:ascii="Cambria Math" w:hAnsi="Cambria Math" w:cs="Cambria Math"/>
        </w:rPr>
        <w:t>‐</w:t>
      </w:r>
      <w:r w:rsidRPr="00791804">
        <w:rPr>
          <w:rFonts w:ascii="Arial" w:hAnsi="Arial" w:cs="Arial"/>
        </w:rPr>
        <w:t>sized enterprises: Capturing what we know, exploring where we need to go. Human Resource Management.</w:t>
      </w:r>
    </w:p>
    <w:p w14:paraId="0748B3EA" w14:textId="3529E6B7" w:rsidR="00653774" w:rsidRPr="00791804" w:rsidRDefault="00653774" w:rsidP="00791804">
      <w:pPr>
        <w:pStyle w:val="NormalWeb"/>
        <w:spacing w:line="360" w:lineRule="auto"/>
        <w:jc w:val="both"/>
        <w:rPr>
          <w:rFonts w:ascii="Arial" w:hAnsi="Arial" w:cs="Arial"/>
        </w:rPr>
      </w:pPr>
      <w:r w:rsidRPr="00791804">
        <w:rPr>
          <w:rFonts w:ascii="Arial" w:hAnsi="Arial" w:cs="Arial"/>
        </w:rPr>
        <w:t>Horak, S., Farndale, E., Brannen, M.Y. and Collings, D.G., (2019). International human resource management in an era of political nationalism. </w:t>
      </w:r>
      <w:r w:rsidRPr="00791804">
        <w:rPr>
          <w:rStyle w:val="Emphasis"/>
          <w:rFonts w:ascii="Arial" w:eastAsiaTheme="majorEastAsia" w:hAnsi="Arial" w:cs="Arial"/>
        </w:rPr>
        <w:t>Thunderbird International Business Review</w:t>
      </w:r>
      <w:r w:rsidRPr="00791804">
        <w:rPr>
          <w:rFonts w:ascii="Arial" w:hAnsi="Arial" w:cs="Arial"/>
        </w:rPr>
        <w:t>, </w:t>
      </w:r>
      <w:r w:rsidRPr="00791804">
        <w:rPr>
          <w:rStyle w:val="Emphasis"/>
          <w:rFonts w:ascii="Arial" w:eastAsiaTheme="majorEastAsia" w:hAnsi="Arial" w:cs="Arial"/>
        </w:rPr>
        <w:t>61</w:t>
      </w:r>
      <w:r w:rsidRPr="00791804">
        <w:rPr>
          <w:rFonts w:ascii="Arial" w:hAnsi="Arial" w:cs="Arial"/>
        </w:rPr>
        <w:t>(3), pp.471-480. </w:t>
      </w:r>
      <w:r w:rsidR="006B44F5" w:rsidRPr="00791804">
        <w:rPr>
          <w:rFonts w:ascii="Arial" w:hAnsi="Arial" w:cs="Arial"/>
        </w:rPr>
        <w:t xml:space="preserve">Available at: </w:t>
      </w:r>
      <w:hyperlink r:id="rId16" w:tgtFrame="_blank" w:history="1">
        <w:r w:rsidRPr="00791804">
          <w:rPr>
            <w:rStyle w:val="Hyperlink"/>
            <w:rFonts w:ascii="Arial" w:eastAsiaTheme="majorEastAsia" w:hAnsi="Arial" w:cs="Arial"/>
          </w:rPr>
          <w:t>https://onlinelibrary.wiley.com/doi/abs/10.1002/tie.21959</w:t>
        </w:r>
      </w:hyperlink>
      <w:r w:rsidR="008A0106" w:rsidRPr="00791804">
        <w:rPr>
          <w:rFonts w:ascii="Arial" w:hAnsi="Arial" w:cs="Arial"/>
        </w:rPr>
        <w:t xml:space="preserve"> (Accessed: 07 May 2024)</w:t>
      </w:r>
      <w:r w:rsidR="00BB5A7E" w:rsidRPr="00791804">
        <w:rPr>
          <w:rFonts w:ascii="Arial" w:hAnsi="Arial" w:cs="Arial"/>
        </w:rPr>
        <w:t>.</w:t>
      </w:r>
    </w:p>
    <w:p w14:paraId="0B2AD3CE" w14:textId="3E17E145" w:rsidR="00653774" w:rsidRPr="00791804" w:rsidRDefault="00653774" w:rsidP="00791804">
      <w:pPr>
        <w:pStyle w:val="NormalWeb"/>
        <w:spacing w:line="360" w:lineRule="auto"/>
        <w:jc w:val="both"/>
        <w:rPr>
          <w:rFonts w:ascii="Arial" w:hAnsi="Arial" w:cs="Arial"/>
        </w:rPr>
      </w:pPr>
      <w:r w:rsidRPr="00791804">
        <w:rPr>
          <w:rFonts w:ascii="Arial" w:hAnsi="Arial" w:cs="Arial"/>
        </w:rPr>
        <w:t>Horwitz, F., (2017). International HRM in South African multinational companies. </w:t>
      </w:r>
      <w:r w:rsidRPr="00791804">
        <w:rPr>
          <w:rStyle w:val="Emphasis"/>
          <w:rFonts w:ascii="Arial" w:eastAsiaTheme="majorEastAsia" w:hAnsi="Arial" w:cs="Arial"/>
        </w:rPr>
        <w:t>Journal of International Management</w:t>
      </w:r>
      <w:r w:rsidRPr="00791804">
        <w:rPr>
          <w:rFonts w:ascii="Arial" w:hAnsi="Arial" w:cs="Arial"/>
        </w:rPr>
        <w:t>, </w:t>
      </w:r>
      <w:r w:rsidRPr="00791804">
        <w:rPr>
          <w:rStyle w:val="Emphasis"/>
          <w:rFonts w:ascii="Arial" w:eastAsiaTheme="majorEastAsia" w:hAnsi="Arial" w:cs="Arial"/>
        </w:rPr>
        <w:t>23</w:t>
      </w:r>
      <w:r w:rsidRPr="00791804">
        <w:rPr>
          <w:rFonts w:ascii="Arial" w:hAnsi="Arial" w:cs="Arial"/>
        </w:rPr>
        <w:t>(2), pp.208-222.</w:t>
      </w:r>
      <w:r w:rsidR="006B44F5" w:rsidRPr="00791804">
        <w:rPr>
          <w:rFonts w:ascii="Arial" w:hAnsi="Arial" w:cs="Arial"/>
        </w:rPr>
        <w:t xml:space="preserve"> Available at:</w:t>
      </w:r>
      <w:r w:rsidRPr="00791804">
        <w:rPr>
          <w:rFonts w:ascii="Arial" w:hAnsi="Arial" w:cs="Arial"/>
        </w:rPr>
        <w:t> </w:t>
      </w:r>
      <w:hyperlink r:id="rId17" w:tgtFrame="_blank" w:history="1">
        <w:r w:rsidRPr="00791804">
          <w:rPr>
            <w:rStyle w:val="Hyperlink"/>
            <w:rFonts w:ascii="Arial" w:eastAsiaTheme="majorEastAsia" w:hAnsi="Arial" w:cs="Arial"/>
          </w:rPr>
          <w:t>https://www.sciencedirect.com/science/article/pii/S1075425317300388</w:t>
        </w:r>
      </w:hyperlink>
      <w:r w:rsidR="008A0106" w:rsidRPr="00791804">
        <w:rPr>
          <w:rFonts w:ascii="Arial" w:hAnsi="Arial" w:cs="Arial"/>
        </w:rPr>
        <w:t xml:space="preserve"> (Accessed: 12 May 2024)</w:t>
      </w:r>
      <w:r w:rsidR="00BB5A7E" w:rsidRPr="00791804">
        <w:rPr>
          <w:rFonts w:ascii="Arial" w:hAnsi="Arial" w:cs="Arial"/>
        </w:rPr>
        <w:t>.</w:t>
      </w:r>
    </w:p>
    <w:p w14:paraId="050C375E" w14:textId="09C74E6A" w:rsidR="00653774" w:rsidRPr="00791804" w:rsidRDefault="00653774" w:rsidP="00791804">
      <w:pPr>
        <w:pStyle w:val="NormalWeb"/>
        <w:spacing w:line="360" w:lineRule="auto"/>
        <w:jc w:val="both"/>
        <w:rPr>
          <w:rFonts w:ascii="Arial" w:hAnsi="Arial" w:cs="Arial"/>
        </w:rPr>
      </w:pPr>
      <w:r w:rsidRPr="00791804">
        <w:rPr>
          <w:rFonts w:ascii="Arial" w:hAnsi="Arial" w:cs="Arial"/>
        </w:rPr>
        <w:t>Inman, M., O'Sullivan, N. and Murton, A., (2014). </w:t>
      </w:r>
      <w:r w:rsidRPr="00791804">
        <w:rPr>
          <w:rStyle w:val="Emphasis"/>
          <w:rFonts w:ascii="Arial" w:eastAsiaTheme="majorEastAsia" w:hAnsi="Arial" w:cs="Arial"/>
        </w:rPr>
        <w:t>Unlocking human resource management</w:t>
      </w:r>
      <w:r w:rsidRPr="00791804">
        <w:rPr>
          <w:rFonts w:ascii="Arial" w:hAnsi="Arial" w:cs="Arial"/>
        </w:rPr>
        <w:t>. Routledge.</w:t>
      </w:r>
      <w:r w:rsidR="006B44F5" w:rsidRPr="00791804">
        <w:rPr>
          <w:rFonts w:ascii="Arial" w:hAnsi="Arial" w:cs="Arial"/>
        </w:rPr>
        <w:t xml:space="preserve"> Available at: </w:t>
      </w:r>
      <w:hyperlink r:id="rId18" w:history="1">
        <w:r w:rsidR="00F02073" w:rsidRPr="00791804">
          <w:rPr>
            <w:rStyle w:val="Hyperlink"/>
            <w:rFonts w:ascii="Arial" w:eastAsiaTheme="majorEastAsia" w:hAnsi="Arial" w:cs="Arial"/>
          </w:rPr>
          <w:t>https://api.taylorfrancis.com/content/books/mono/download?identifierName=doi&amp;identifierValue=10.4324/9780203781043&amp;type=googlepdf</w:t>
        </w:r>
      </w:hyperlink>
      <w:r w:rsidR="008A0106" w:rsidRPr="00791804">
        <w:rPr>
          <w:rFonts w:ascii="Arial" w:eastAsiaTheme="majorEastAsia" w:hAnsi="Arial" w:cs="Arial"/>
        </w:rPr>
        <w:t xml:space="preserve"> </w:t>
      </w:r>
      <w:r w:rsidR="008A0106" w:rsidRPr="00791804">
        <w:rPr>
          <w:rFonts w:ascii="Arial" w:hAnsi="Arial" w:cs="Arial"/>
        </w:rPr>
        <w:t>(Accessed: 12 May 2024)</w:t>
      </w:r>
      <w:r w:rsidR="00BB5A7E" w:rsidRPr="00791804">
        <w:rPr>
          <w:rFonts w:ascii="Arial" w:hAnsi="Arial" w:cs="Arial"/>
        </w:rPr>
        <w:t>.</w:t>
      </w:r>
    </w:p>
    <w:p w14:paraId="40B4C719" w14:textId="4A0CC049" w:rsidR="00653774" w:rsidRPr="00791804" w:rsidRDefault="00653774" w:rsidP="00791804">
      <w:pPr>
        <w:pStyle w:val="NormalWeb"/>
        <w:spacing w:line="360" w:lineRule="auto"/>
        <w:jc w:val="both"/>
        <w:rPr>
          <w:rFonts w:ascii="Arial" w:hAnsi="Arial" w:cs="Arial"/>
        </w:rPr>
      </w:pPr>
      <w:r w:rsidRPr="00791804">
        <w:rPr>
          <w:rFonts w:ascii="Arial" w:hAnsi="Arial" w:cs="Arial"/>
        </w:rPr>
        <w:t>Kukreja, S. (2020). Nature of human resource management. Management Study. Retrieved 2t6 February 2021 from</w:t>
      </w:r>
      <w:r w:rsidR="00F02073" w:rsidRPr="00791804">
        <w:rPr>
          <w:rFonts w:ascii="Arial" w:hAnsi="Arial" w:cs="Arial"/>
        </w:rPr>
        <w:t>:</w:t>
      </w:r>
      <w:r w:rsidRPr="00791804">
        <w:rPr>
          <w:rFonts w:ascii="Arial" w:hAnsi="Arial" w:cs="Arial"/>
        </w:rPr>
        <w:t> </w:t>
      </w:r>
      <w:hyperlink r:id="rId19" w:tgtFrame="_blank" w:history="1">
        <w:r w:rsidRPr="00791804">
          <w:rPr>
            <w:rStyle w:val="Hyperlink"/>
            <w:rFonts w:ascii="Arial" w:eastAsiaTheme="majorEastAsia" w:hAnsi="Arial" w:cs="Arial"/>
          </w:rPr>
          <w:t>https://www.managementstudyhq.com/nature</w:t>
        </w:r>
      </w:hyperlink>
      <w:r w:rsidR="008A0106" w:rsidRPr="00791804">
        <w:rPr>
          <w:rFonts w:ascii="Arial" w:hAnsi="Arial" w:cs="Arial"/>
        </w:rPr>
        <w:t xml:space="preserve"> (Accessed: 12 May 2024)</w:t>
      </w:r>
      <w:r w:rsidR="00BB5A7E" w:rsidRPr="00791804">
        <w:rPr>
          <w:rFonts w:ascii="Arial" w:hAnsi="Arial" w:cs="Arial"/>
        </w:rPr>
        <w:t>.</w:t>
      </w:r>
    </w:p>
    <w:p w14:paraId="7246DB87" w14:textId="73341AC0" w:rsidR="00653774" w:rsidRPr="00791804" w:rsidRDefault="00653774" w:rsidP="00791804">
      <w:pPr>
        <w:pStyle w:val="NormalWeb"/>
        <w:spacing w:line="360" w:lineRule="auto"/>
        <w:jc w:val="both"/>
        <w:rPr>
          <w:rFonts w:ascii="Arial" w:hAnsi="Arial" w:cs="Arial"/>
        </w:rPr>
      </w:pPr>
      <w:r w:rsidRPr="00791804">
        <w:rPr>
          <w:rFonts w:ascii="Arial" w:hAnsi="Arial" w:cs="Arial"/>
        </w:rPr>
        <w:t xml:space="preserve">Mahadevan, J. and Kilian-Yasin, K., (2017). Dominant discourse, </w:t>
      </w:r>
      <w:proofErr w:type="gramStart"/>
      <w:r w:rsidRPr="00791804">
        <w:rPr>
          <w:rFonts w:ascii="Arial" w:hAnsi="Arial" w:cs="Arial"/>
        </w:rPr>
        <w:t>orientalism</w:t>
      </w:r>
      <w:proofErr w:type="gramEnd"/>
      <w:r w:rsidRPr="00791804">
        <w:rPr>
          <w:rFonts w:ascii="Arial" w:hAnsi="Arial" w:cs="Arial"/>
        </w:rPr>
        <w:t xml:space="preserve"> and the need for reflexive HRM: Skilled Muslim migrants in the German context. </w:t>
      </w:r>
      <w:r w:rsidRPr="00791804">
        <w:rPr>
          <w:rStyle w:val="Emphasis"/>
          <w:rFonts w:ascii="Arial" w:eastAsiaTheme="majorEastAsia" w:hAnsi="Arial" w:cs="Arial"/>
        </w:rPr>
        <w:t xml:space="preserve">The </w:t>
      </w:r>
      <w:r w:rsidRPr="00791804">
        <w:rPr>
          <w:rStyle w:val="Emphasis"/>
          <w:rFonts w:ascii="Arial" w:eastAsiaTheme="majorEastAsia" w:hAnsi="Arial" w:cs="Arial"/>
        </w:rPr>
        <w:lastRenderedPageBreak/>
        <w:t>International Journal of Human Resource Management</w:t>
      </w:r>
      <w:r w:rsidRPr="00791804">
        <w:rPr>
          <w:rFonts w:ascii="Arial" w:hAnsi="Arial" w:cs="Arial"/>
        </w:rPr>
        <w:t>, </w:t>
      </w:r>
      <w:r w:rsidRPr="00791804">
        <w:rPr>
          <w:rStyle w:val="Emphasis"/>
          <w:rFonts w:ascii="Arial" w:eastAsiaTheme="majorEastAsia" w:hAnsi="Arial" w:cs="Arial"/>
        </w:rPr>
        <w:t>28</w:t>
      </w:r>
      <w:r w:rsidRPr="00791804">
        <w:rPr>
          <w:rFonts w:ascii="Arial" w:hAnsi="Arial" w:cs="Arial"/>
        </w:rPr>
        <w:t>(8), pp.1140-1162. </w:t>
      </w:r>
      <w:r w:rsidR="00F02073" w:rsidRPr="00791804">
        <w:rPr>
          <w:rFonts w:ascii="Arial" w:hAnsi="Arial" w:cs="Arial"/>
        </w:rPr>
        <w:t xml:space="preserve">Available at: </w:t>
      </w:r>
      <w:hyperlink r:id="rId20" w:tgtFrame="_blank" w:history="1">
        <w:r w:rsidRPr="00791804">
          <w:rPr>
            <w:rStyle w:val="Hyperlink"/>
            <w:rFonts w:ascii="Arial" w:eastAsiaTheme="majorEastAsia" w:hAnsi="Arial" w:cs="Arial"/>
          </w:rPr>
          <w:t>https://www.tandfonline.com/doi/abs/10.1080/09585192.2016.1166786</w:t>
        </w:r>
      </w:hyperlink>
      <w:r w:rsidR="008A0106" w:rsidRPr="00791804">
        <w:rPr>
          <w:rFonts w:ascii="Arial" w:hAnsi="Arial" w:cs="Arial"/>
        </w:rPr>
        <w:t xml:space="preserve"> (Accessed: 12 May 2024)</w:t>
      </w:r>
      <w:r w:rsidR="00BB5A7E" w:rsidRPr="00791804">
        <w:rPr>
          <w:rFonts w:ascii="Arial" w:hAnsi="Arial" w:cs="Arial"/>
        </w:rPr>
        <w:t>.</w:t>
      </w:r>
    </w:p>
    <w:p w14:paraId="2360B4E5"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xml:space="preserve">Marchington, M., Wilkinson, A., Donnelly, R. and </w:t>
      </w:r>
      <w:proofErr w:type="spellStart"/>
      <w:r w:rsidRPr="00791804">
        <w:rPr>
          <w:rFonts w:ascii="Arial" w:hAnsi="Arial" w:cs="Arial"/>
        </w:rPr>
        <w:t>Kynighou</w:t>
      </w:r>
      <w:proofErr w:type="spellEnd"/>
      <w:r w:rsidRPr="00791804">
        <w:rPr>
          <w:rFonts w:ascii="Arial" w:hAnsi="Arial" w:cs="Arial"/>
        </w:rPr>
        <w:t>, A., (2016). </w:t>
      </w:r>
      <w:r w:rsidRPr="00791804">
        <w:rPr>
          <w:rStyle w:val="Emphasis"/>
          <w:rFonts w:ascii="Arial" w:eastAsiaTheme="majorEastAsia" w:hAnsi="Arial" w:cs="Arial"/>
        </w:rPr>
        <w:t>Human resource management at work</w:t>
      </w:r>
      <w:r w:rsidRPr="00791804">
        <w:rPr>
          <w:rFonts w:ascii="Arial" w:hAnsi="Arial" w:cs="Arial"/>
        </w:rPr>
        <w:t>. Kogan Page Publishers.</w:t>
      </w:r>
    </w:p>
    <w:p w14:paraId="50086991" w14:textId="1DA227A3" w:rsidR="00653774" w:rsidRPr="00791804" w:rsidRDefault="00653774" w:rsidP="00791804">
      <w:pPr>
        <w:pStyle w:val="NormalWeb"/>
        <w:spacing w:line="360" w:lineRule="auto"/>
        <w:jc w:val="both"/>
        <w:rPr>
          <w:rFonts w:ascii="Arial" w:hAnsi="Arial" w:cs="Arial"/>
        </w:rPr>
      </w:pPr>
      <w:r w:rsidRPr="00791804">
        <w:rPr>
          <w:rFonts w:ascii="Arial" w:hAnsi="Arial" w:cs="Arial"/>
        </w:rPr>
        <w:t xml:space="preserve">Marriot. (2020). Marriott. </w:t>
      </w:r>
      <w:r w:rsidRPr="00791804">
        <w:rPr>
          <w:rFonts w:ascii="Arial" w:hAnsi="Arial" w:cs="Arial"/>
          <w:i/>
          <w:iCs/>
        </w:rPr>
        <w:t>Hospitality Net</w:t>
      </w:r>
      <w:r w:rsidRPr="00791804">
        <w:rPr>
          <w:rFonts w:ascii="Arial" w:hAnsi="Arial" w:cs="Arial"/>
        </w:rPr>
        <w:t>. Retrieved 26 February 2021 from</w:t>
      </w:r>
      <w:r w:rsidR="00CC6F01" w:rsidRPr="00791804">
        <w:rPr>
          <w:rFonts w:ascii="Arial" w:hAnsi="Arial" w:cs="Arial"/>
        </w:rPr>
        <w:t xml:space="preserve">: </w:t>
      </w:r>
      <w:hyperlink r:id="rId21" w:tgtFrame="_blank" w:history="1">
        <w:r w:rsidRPr="00791804">
          <w:rPr>
            <w:rStyle w:val="Hyperlink"/>
            <w:rFonts w:ascii="Arial" w:eastAsiaTheme="majorEastAsia" w:hAnsi="Arial" w:cs="Arial"/>
          </w:rPr>
          <w:t>https://www.hospitalitynet.org/brand/23000015/marriott.html</w:t>
        </w:r>
      </w:hyperlink>
      <w:r w:rsidR="008A0106" w:rsidRPr="00791804">
        <w:rPr>
          <w:rFonts w:ascii="Arial" w:hAnsi="Arial" w:cs="Arial"/>
        </w:rPr>
        <w:t xml:space="preserve"> (Accessed: 16 May 2024)</w:t>
      </w:r>
      <w:r w:rsidR="00BB5A7E" w:rsidRPr="00791804">
        <w:rPr>
          <w:rFonts w:ascii="Arial" w:hAnsi="Arial" w:cs="Arial"/>
        </w:rPr>
        <w:t>.</w:t>
      </w:r>
    </w:p>
    <w:p w14:paraId="6DC6B83D" w14:textId="70F8DC8F" w:rsidR="00653774" w:rsidRPr="00791804" w:rsidRDefault="00653774" w:rsidP="00791804">
      <w:pPr>
        <w:pStyle w:val="NormalWeb"/>
        <w:spacing w:line="360" w:lineRule="auto"/>
        <w:jc w:val="both"/>
        <w:rPr>
          <w:rFonts w:ascii="Arial" w:hAnsi="Arial" w:cs="Arial"/>
        </w:rPr>
      </w:pPr>
      <w:r w:rsidRPr="00791804">
        <w:rPr>
          <w:rFonts w:ascii="Arial" w:hAnsi="Arial" w:cs="Arial"/>
        </w:rPr>
        <w:t>Ojo, A.O., Tan, C.N.L. and Alias, M., (2022). We are linking green HRM practices to environmental performance through pro-environment behaviour in the information technology sector. </w:t>
      </w:r>
      <w:r w:rsidRPr="00791804">
        <w:rPr>
          <w:rStyle w:val="Emphasis"/>
          <w:rFonts w:ascii="Arial" w:eastAsiaTheme="majorEastAsia" w:hAnsi="Arial" w:cs="Arial"/>
        </w:rPr>
        <w:t>Social Responsibility Journal</w:t>
      </w:r>
      <w:r w:rsidRPr="00791804">
        <w:rPr>
          <w:rFonts w:ascii="Arial" w:hAnsi="Arial" w:cs="Arial"/>
        </w:rPr>
        <w:t>, </w:t>
      </w:r>
      <w:r w:rsidRPr="00791804">
        <w:rPr>
          <w:rStyle w:val="Emphasis"/>
          <w:rFonts w:ascii="Arial" w:eastAsiaTheme="majorEastAsia" w:hAnsi="Arial" w:cs="Arial"/>
        </w:rPr>
        <w:t>18</w:t>
      </w:r>
      <w:r w:rsidRPr="00791804">
        <w:rPr>
          <w:rFonts w:ascii="Arial" w:hAnsi="Arial" w:cs="Arial"/>
        </w:rPr>
        <w:t>(1), pp.1-18.</w:t>
      </w:r>
      <w:r w:rsidR="00CC6F01" w:rsidRPr="00791804">
        <w:rPr>
          <w:rFonts w:ascii="Arial" w:hAnsi="Arial" w:cs="Arial"/>
        </w:rPr>
        <w:t xml:space="preserve"> Available at:</w:t>
      </w:r>
      <w:r w:rsidRPr="00791804">
        <w:rPr>
          <w:rFonts w:ascii="Arial" w:hAnsi="Arial" w:cs="Arial"/>
        </w:rPr>
        <w:t> </w:t>
      </w:r>
      <w:hyperlink r:id="rId22" w:tgtFrame="_blank" w:history="1">
        <w:r w:rsidRPr="00791804">
          <w:rPr>
            <w:rStyle w:val="Hyperlink"/>
            <w:rFonts w:ascii="Arial" w:eastAsiaTheme="majorEastAsia" w:hAnsi="Arial" w:cs="Arial"/>
          </w:rPr>
          <w:t>https://www.emerald.com/insight/content/doi/10.1108/SRJ-12-2019-0403/full/html</w:t>
        </w:r>
      </w:hyperlink>
      <w:r w:rsidR="008A0106" w:rsidRPr="00791804">
        <w:rPr>
          <w:rFonts w:ascii="Arial" w:hAnsi="Arial" w:cs="Arial"/>
        </w:rPr>
        <w:t xml:space="preserve"> (Accessed: 16 May 2024)</w:t>
      </w:r>
      <w:r w:rsidR="00BB5A7E" w:rsidRPr="00791804">
        <w:rPr>
          <w:rFonts w:ascii="Arial" w:hAnsi="Arial" w:cs="Arial"/>
        </w:rPr>
        <w:t>.</w:t>
      </w:r>
    </w:p>
    <w:p w14:paraId="7B96F0D2" w14:textId="3B4213A8" w:rsidR="00653774" w:rsidRPr="00791804" w:rsidRDefault="00653774" w:rsidP="00791804">
      <w:pPr>
        <w:pStyle w:val="NormalWeb"/>
        <w:spacing w:line="360" w:lineRule="auto"/>
        <w:jc w:val="both"/>
        <w:rPr>
          <w:rFonts w:ascii="Arial" w:hAnsi="Arial" w:cs="Arial"/>
        </w:rPr>
      </w:pPr>
      <w:r w:rsidRPr="00791804">
        <w:rPr>
          <w:rFonts w:ascii="Arial" w:hAnsi="Arial" w:cs="Arial"/>
        </w:rPr>
        <w:t>Paauwe, J. and Boon, C., (2018). Strategic HRM: A critical review. </w:t>
      </w:r>
      <w:r w:rsidRPr="00791804">
        <w:rPr>
          <w:rStyle w:val="Emphasis"/>
          <w:rFonts w:ascii="Arial" w:eastAsiaTheme="majorEastAsia" w:hAnsi="Arial" w:cs="Arial"/>
        </w:rPr>
        <w:t>Human resource management</w:t>
      </w:r>
      <w:r w:rsidRPr="00791804">
        <w:rPr>
          <w:rFonts w:ascii="Arial" w:hAnsi="Arial" w:cs="Arial"/>
        </w:rPr>
        <w:t>, pp.49-73.</w:t>
      </w:r>
      <w:r w:rsidR="00CC6F01" w:rsidRPr="00791804">
        <w:rPr>
          <w:rFonts w:ascii="Arial" w:hAnsi="Arial" w:cs="Arial"/>
        </w:rPr>
        <w:t xml:space="preserve"> Available at:</w:t>
      </w:r>
      <w:r w:rsidRPr="00791804">
        <w:rPr>
          <w:rFonts w:ascii="Arial" w:hAnsi="Arial" w:cs="Arial"/>
        </w:rPr>
        <w:t> </w:t>
      </w:r>
      <w:hyperlink r:id="rId23" w:tgtFrame="_blank" w:history="1">
        <w:r w:rsidRPr="00791804">
          <w:rPr>
            <w:rStyle w:val="Hyperlink"/>
            <w:rFonts w:ascii="Arial" w:eastAsiaTheme="majorEastAsia" w:hAnsi="Arial" w:cs="Arial"/>
          </w:rPr>
          <w:t>https://www.taylorfrancis.com/chapters/edit/10.4324/9781315299556-3/strategic-hrm-jaap-paauwe-corine-boon</w:t>
        </w:r>
      </w:hyperlink>
      <w:r w:rsidR="008A0106" w:rsidRPr="00791804">
        <w:rPr>
          <w:rFonts w:ascii="Arial" w:hAnsi="Arial" w:cs="Arial"/>
        </w:rPr>
        <w:t xml:space="preserve"> (Accessed: 16 May 2024)</w:t>
      </w:r>
      <w:r w:rsidR="00BB5A7E" w:rsidRPr="00791804">
        <w:rPr>
          <w:rFonts w:ascii="Arial" w:hAnsi="Arial" w:cs="Arial"/>
        </w:rPr>
        <w:t>.</w:t>
      </w:r>
    </w:p>
    <w:p w14:paraId="68A1A172" w14:textId="178DF022" w:rsidR="00653774" w:rsidRPr="00791804" w:rsidRDefault="00653774" w:rsidP="00791804">
      <w:pPr>
        <w:pStyle w:val="NormalWeb"/>
        <w:spacing w:line="360" w:lineRule="auto"/>
        <w:jc w:val="both"/>
        <w:rPr>
          <w:rFonts w:ascii="Arial" w:hAnsi="Arial" w:cs="Arial"/>
        </w:rPr>
      </w:pPr>
      <w:proofErr w:type="spellStart"/>
      <w:r w:rsidRPr="00791804">
        <w:rPr>
          <w:rFonts w:ascii="Arial" w:hAnsi="Arial" w:cs="Arial"/>
        </w:rPr>
        <w:t>Pattanayak</w:t>
      </w:r>
      <w:proofErr w:type="spellEnd"/>
      <w:r w:rsidRPr="00791804">
        <w:rPr>
          <w:rFonts w:ascii="Arial" w:hAnsi="Arial" w:cs="Arial"/>
        </w:rPr>
        <w:t>, B., (2020). </w:t>
      </w:r>
      <w:r w:rsidRPr="00791804">
        <w:rPr>
          <w:rStyle w:val="Emphasis"/>
          <w:rFonts w:ascii="Arial" w:eastAsiaTheme="majorEastAsia" w:hAnsi="Arial" w:cs="Arial"/>
        </w:rPr>
        <w:t>Human resource management</w:t>
      </w:r>
      <w:r w:rsidRPr="00791804">
        <w:rPr>
          <w:rFonts w:ascii="Arial" w:hAnsi="Arial" w:cs="Arial"/>
        </w:rPr>
        <w:t xml:space="preserve">. PHI Learning </w:t>
      </w:r>
      <w:proofErr w:type="spellStart"/>
      <w:r w:rsidRPr="00791804">
        <w:rPr>
          <w:rFonts w:ascii="Arial" w:hAnsi="Arial" w:cs="Arial"/>
        </w:rPr>
        <w:t>Pvt.</w:t>
      </w:r>
      <w:proofErr w:type="spellEnd"/>
      <w:r w:rsidRPr="00791804">
        <w:rPr>
          <w:rFonts w:ascii="Arial" w:hAnsi="Arial" w:cs="Arial"/>
        </w:rPr>
        <w:t xml:space="preserve"> </w:t>
      </w:r>
      <w:r w:rsidR="00CC6F01" w:rsidRPr="00791804">
        <w:rPr>
          <w:rFonts w:ascii="Arial" w:hAnsi="Arial" w:cs="Arial"/>
        </w:rPr>
        <w:t>Ltd.</w:t>
      </w:r>
      <w:r w:rsidRPr="00791804">
        <w:rPr>
          <w:rFonts w:ascii="Arial" w:hAnsi="Arial" w:cs="Arial"/>
        </w:rPr>
        <w:t> </w:t>
      </w:r>
      <w:r w:rsidR="00CC6F01" w:rsidRPr="00791804">
        <w:rPr>
          <w:rFonts w:ascii="Arial" w:hAnsi="Arial" w:cs="Arial"/>
        </w:rPr>
        <w:t xml:space="preserve">Available at: </w:t>
      </w:r>
      <w:hyperlink r:id="rId24" w:tgtFrame="_blank" w:history="1">
        <w:r w:rsidRPr="00791804">
          <w:rPr>
            <w:rStyle w:val="Hyperlink"/>
            <w:rFonts w:ascii="Arial" w:eastAsiaTheme="majorEastAsia" w:hAnsi="Arial" w:cs="Arial"/>
          </w:rPr>
          <w:t>https://books.google.com/books?hl=en&amp;lr=&amp;id=Lif4DwAAQBAJ&amp;oi=fnd&amp;pg=PP1&amp;dq=Human+Resource+Management&amp;ots=UZcS6icZ1I&amp;sig=L9exOs0sjdoKvszzT2204L3l1hM</w:t>
        </w:r>
      </w:hyperlink>
      <w:r w:rsidR="008A0106" w:rsidRPr="00791804">
        <w:rPr>
          <w:rFonts w:ascii="Arial" w:hAnsi="Arial" w:cs="Arial"/>
        </w:rPr>
        <w:t xml:space="preserve"> (Accessed: </w:t>
      </w:r>
      <w:r w:rsidR="00BB5A7E" w:rsidRPr="00791804">
        <w:rPr>
          <w:rFonts w:ascii="Arial" w:hAnsi="Arial" w:cs="Arial"/>
        </w:rPr>
        <w:t>16</w:t>
      </w:r>
      <w:r w:rsidR="008A0106" w:rsidRPr="00791804">
        <w:rPr>
          <w:rFonts w:ascii="Arial" w:hAnsi="Arial" w:cs="Arial"/>
        </w:rPr>
        <w:t xml:space="preserve"> May 2024)</w:t>
      </w:r>
      <w:r w:rsidR="00BB5A7E" w:rsidRPr="00791804">
        <w:rPr>
          <w:rFonts w:ascii="Arial" w:hAnsi="Arial" w:cs="Arial"/>
        </w:rPr>
        <w:t>.</w:t>
      </w:r>
    </w:p>
    <w:p w14:paraId="190AF224" w14:textId="026A7B67" w:rsidR="00DD27B1" w:rsidRPr="00791804" w:rsidRDefault="00653774" w:rsidP="00791804">
      <w:pPr>
        <w:pStyle w:val="NormalWeb"/>
        <w:spacing w:line="360" w:lineRule="auto"/>
        <w:jc w:val="both"/>
        <w:rPr>
          <w:rFonts w:ascii="Arial" w:hAnsi="Arial" w:cs="Arial"/>
        </w:rPr>
      </w:pPr>
      <w:r w:rsidRPr="00791804">
        <w:rPr>
          <w:rFonts w:ascii="Arial" w:hAnsi="Arial" w:cs="Arial"/>
        </w:rPr>
        <w:t xml:space="preserve">Sheehan, M., Grant, K. and </w:t>
      </w:r>
      <w:proofErr w:type="spellStart"/>
      <w:r w:rsidRPr="00791804">
        <w:rPr>
          <w:rFonts w:ascii="Arial" w:hAnsi="Arial" w:cs="Arial"/>
        </w:rPr>
        <w:t>Garavan</w:t>
      </w:r>
      <w:proofErr w:type="spellEnd"/>
      <w:r w:rsidRPr="00791804">
        <w:rPr>
          <w:rFonts w:ascii="Arial" w:hAnsi="Arial" w:cs="Arial"/>
        </w:rPr>
        <w:t>, T. (2018). Strategic talent management: A macro and micro analysis of current issues in hospitality and tourism. </w:t>
      </w:r>
      <w:r w:rsidRPr="00791804">
        <w:rPr>
          <w:rStyle w:val="Emphasis"/>
          <w:rFonts w:ascii="Arial" w:eastAsiaTheme="majorEastAsia" w:hAnsi="Arial" w:cs="Arial"/>
        </w:rPr>
        <w:t>Worldwide Hospitality and Tourism Themes</w:t>
      </w:r>
      <w:r w:rsidRPr="00791804">
        <w:rPr>
          <w:rFonts w:ascii="Arial" w:hAnsi="Arial" w:cs="Arial"/>
        </w:rPr>
        <w:t>, </w:t>
      </w:r>
      <w:r w:rsidRPr="00791804">
        <w:rPr>
          <w:rStyle w:val="Emphasis"/>
          <w:rFonts w:ascii="Arial" w:eastAsiaTheme="majorEastAsia" w:hAnsi="Arial" w:cs="Arial"/>
        </w:rPr>
        <w:t>10</w:t>
      </w:r>
      <w:r w:rsidRPr="00791804">
        <w:rPr>
          <w:rFonts w:ascii="Arial" w:hAnsi="Arial" w:cs="Arial"/>
        </w:rPr>
        <w:t>(1), pp.28-41.</w:t>
      </w:r>
      <w:r w:rsidR="0093587D" w:rsidRPr="00791804">
        <w:rPr>
          <w:rFonts w:ascii="Arial" w:hAnsi="Arial" w:cs="Arial"/>
        </w:rPr>
        <w:t xml:space="preserve"> Available at:</w:t>
      </w:r>
      <w:r w:rsidRPr="00791804">
        <w:rPr>
          <w:rFonts w:ascii="Arial" w:hAnsi="Arial" w:cs="Arial"/>
        </w:rPr>
        <w:t> </w:t>
      </w:r>
      <w:hyperlink r:id="rId25" w:tgtFrame="_blank" w:history="1">
        <w:r w:rsidRPr="00791804">
          <w:rPr>
            <w:rStyle w:val="Hyperlink"/>
            <w:rFonts w:ascii="Arial" w:eastAsiaTheme="majorEastAsia" w:hAnsi="Arial" w:cs="Arial"/>
          </w:rPr>
          <w:t>https://www.emerald.com/insight/content/doi/10.1108/WHATT-10-2017-0062/full/html</w:t>
        </w:r>
      </w:hyperlink>
      <w:r w:rsidR="00DD27B1" w:rsidRPr="00791804">
        <w:rPr>
          <w:rFonts w:ascii="Arial" w:hAnsi="Arial" w:cs="Arial"/>
        </w:rPr>
        <w:t xml:space="preserve"> (Accessed: 16 May 2024).</w:t>
      </w:r>
    </w:p>
    <w:p w14:paraId="1BBB87AE" w14:textId="53F82086" w:rsidR="00653774" w:rsidRPr="00791804" w:rsidRDefault="00653774" w:rsidP="00791804">
      <w:pPr>
        <w:pStyle w:val="NormalWeb"/>
        <w:spacing w:line="360" w:lineRule="auto"/>
        <w:jc w:val="both"/>
        <w:rPr>
          <w:rFonts w:ascii="Arial" w:hAnsi="Arial" w:cs="Arial"/>
        </w:rPr>
      </w:pPr>
    </w:p>
    <w:p w14:paraId="0450DBF5" w14:textId="77777777" w:rsidR="00653774" w:rsidRPr="00791804" w:rsidRDefault="00653774" w:rsidP="00791804">
      <w:pPr>
        <w:pStyle w:val="NormalWeb"/>
        <w:spacing w:line="360" w:lineRule="auto"/>
        <w:jc w:val="both"/>
        <w:rPr>
          <w:rFonts w:ascii="Arial" w:hAnsi="Arial" w:cs="Arial"/>
        </w:rPr>
      </w:pPr>
      <w:proofErr w:type="spellStart"/>
      <w:r w:rsidRPr="00791804">
        <w:rPr>
          <w:rFonts w:ascii="Arial" w:hAnsi="Arial" w:cs="Arial"/>
        </w:rPr>
        <w:lastRenderedPageBreak/>
        <w:t>Stankevičiūtė</w:t>
      </w:r>
      <w:proofErr w:type="spellEnd"/>
      <w:r w:rsidRPr="00791804">
        <w:rPr>
          <w:rFonts w:ascii="Arial" w:hAnsi="Arial" w:cs="Arial"/>
        </w:rPr>
        <w:t xml:space="preserve">, Ž., &amp; </w:t>
      </w:r>
      <w:proofErr w:type="spellStart"/>
      <w:r w:rsidRPr="00791804">
        <w:rPr>
          <w:rFonts w:ascii="Arial" w:hAnsi="Arial" w:cs="Arial"/>
        </w:rPr>
        <w:t>Savanevičienė</w:t>
      </w:r>
      <w:proofErr w:type="spellEnd"/>
      <w:r w:rsidRPr="00791804">
        <w:rPr>
          <w:rFonts w:ascii="Arial" w:hAnsi="Arial" w:cs="Arial"/>
        </w:rPr>
        <w:t>, A. (2018). Designing sustainable HRM: The core characteristics of an emerging field. Sustainability, 10(12), 4798.</w:t>
      </w:r>
    </w:p>
    <w:p w14:paraId="6E1781C4" w14:textId="3531CD2F" w:rsidR="00DD27B1" w:rsidRPr="00791804" w:rsidRDefault="00653774" w:rsidP="00791804">
      <w:pPr>
        <w:pStyle w:val="NormalWeb"/>
        <w:spacing w:line="360" w:lineRule="auto"/>
        <w:jc w:val="both"/>
        <w:rPr>
          <w:rFonts w:ascii="Arial" w:hAnsi="Arial" w:cs="Arial"/>
        </w:rPr>
      </w:pPr>
      <w:r w:rsidRPr="00791804">
        <w:rPr>
          <w:rFonts w:ascii="Arial" w:hAnsi="Arial" w:cs="Arial"/>
        </w:rPr>
        <w:t>Tiwari, V., Srivastava, S. and Kumar, D.P., (2019). Adoption of HRM practices: A practical model-case study of a hotel. </w:t>
      </w:r>
      <w:r w:rsidRPr="00791804">
        <w:rPr>
          <w:rStyle w:val="Emphasis"/>
          <w:rFonts w:ascii="Arial" w:eastAsiaTheme="majorEastAsia" w:hAnsi="Arial" w:cs="Arial"/>
        </w:rPr>
        <w:t>IOSR Journal of Business and Management (IOSR-JBM)</w:t>
      </w:r>
      <w:r w:rsidRPr="00791804">
        <w:rPr>
          <w:rFonts w:ascii="Arial" w:hAnsi="Arial" w:cs="Arial"/>
        </w:rPr>
        <w:t>, </w:t>
      </w:r>
      <w:r w:rsidRPr="00791804">
        <w:rPr>
          <w:rStyle w:val="Emphasis"/>
          <w:rFonts w:ascii="Arial" w:eastAsiaTheme="majorEastAsia" w:hAnsi="Arial" w:cs="Arial"/>
        </w:rPr>
        <w:t>21</w:t>
      </w:r>
      <w:r w:rsidRPr="00791804">
        <w:rPr>
          <w:rFonts w:ascii="Arial" w:hAnsi="Arial" w:cs="Arial"/>
        </w:rPr>
        <w:t>(4), pp.59-63.</w:t>
      </w:r>
      <w:r w:rsidR="0093587D" w:rsidRPr="00791804">
        <w:rPr>
          <w:rFonts w:ascii="Arial" w:hAnsi="Arial" w:cs="Arial"/>
        </w:rPr>
        <w:t xml:space="preserve"> Available at: </w:t>
      </w:r>
      <w:hyperlink r:id="rId26" w:tgtFrame="_blank" w:history="1">
        <w:r w:rsidRPr="00791804">
          <w:rPr>
            <w:rStyle w:val="Hyperlink"/>
            <w:rFonts w:ascii="Arial" w:eastAsiaTheme="majorEastAsia" w:hAnsi="Arial" w:cs="Arial"/>
          </w:rPr>
          <w:t>https://papers.ssrn.com/sol3/papers.cfm?abstract_id=3379586</w:t>
        </w:r>
      </w:hyperlink>
      <w:r w:rsidR="00DD27B1" w:rsidRPr="00791804">
        <w:rPr>
          <w:rFonts w:ascii="Arial" w:hAnsi="Arial" w:cs="Arial"/>
        </w:rPr>
        <w:t xml:space="preserve"> (Accessed: 16 May 2024).</w:t>
      </w:r>
    </w:p>
    <w:p w14:paraId="2D12ECE5" w14:textId="16DA2255" w:rsidR="00653774" w:rsidRPr="00791804" w:rsidRDefault="00653774" w:rsidP="00791804">
      <w:pPr>
        <w:pStyle w:val="NormalWeb"/>
        <w:spacing w:line="360" w:lineRule="auto"/>
        <w:jc w:val="both"/>
        <w:rPr>
          <w:rFonts w:ascii="Arial" w:hAnsi="Arial" w:cs="Arial"/>
        </w:rPr>
      </w:pPr>
    </w:p>
    <w:p w14:paraId="4A16CB15"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w:t>
      </w:r>
    </w:p>
    <w:p w14:paraId="6779BFD1"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w:t>
      </w:r>
    </w:p>
    <w:p w14:paraId="44C090F0"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w:t>
      </w:r>
    </w:p>
    <w:p w14:paraId="2A852320"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w:t>
      </w:r>
    </w:p>
    <w:p w14:paraId="50A15798" w14:textId="77777777" w:rsidR="00653774" w:rsidRPr="00791804" w:rsidRDefault="00653774" w:rsidP="00791804">
      <w:pPr>
        <w:pStyle w:val="NormalWeb"/>
        <w:spacing w:line="360" w:lineRule="auto"/>
        <w:jc w:val="both"/>
        <w:rPr>
          <w:rFonts w:ascii="Arial" w:hAnsi="Arial" w:cs="Arial"/>
        </w:rPr>
      </w:pPr>
      <w:r w:rsidRPr="00791804">
        <w:rPr>
          <w:rFonts w:ascii="Arial" w:hAnsi="Arial" w:cs="Arial"/>
        </w:rPr>
        <w:t> </w:t>
      </w:r>
    </w:p>
    <w:p w14:paraId="58AA3B4F" w14:textId="77777777" w:rsidR="00653774" w:rsidRDefault="00653774" w:rsidP="00653774">
      <w:pPr>
        <w:pStyle w:val="NormalWeb"/>
      </w:pPr>
      <w:r>
        <w:t> </w:t>
      </w:r>
    </w:p>
    <w:p w14:paraId="15B21E6B" w14:textId="77777777" w:rsidR="00653774" w:rsidRDefault="00653774" w:rsidP="00653774">
      <w:pPr>
        <w:pStyle w:val="NormalWeb"/>
      </w:pPr>
      <w:r>
        <w:t> </w:t>
      </w:r>
    </w:p>
    <w:p w14:paraId="6D45A4BE" w14:textId="77777777" w:rsidR="00653774" w:rsidRDefault="00653774" w:rsidP="00653774">
      <w:pPr>
        <w:pStyle w:val="NormalWeb"/>
      </w:pPr>
      <w:r>
        <w:t> </w:t>
      </w:r>
    </w:p>
    <w:p w14:paraId="23CDFDDE" w14:textId="77777777" w:rsidR="00653774" w:rsidRDefault="00653774" w:rsidP="00653774">
      <w:pPr>
        <w:pStyle w:val="NormalWeb"/>
      </w:pPr>
      <w:r>
        <w:t> </w:t>
      </w:r>
    </w:p>
    <w:p w14:paraId="3090F668" w14:textId="77777777" w:rsidR="00653774" w:rsidRDefault="00653774" w:rsidP="00653774">
      <w:pPr>
        <w:pStyle w:val="NormalWeb"/>
      </w:pPr>
      <w:r>
        <w:t> </w:t>
      </w:r>
    </w:p>
    <w:p w14:paraId="4449B591" w14:textId="77777777" w:rsidR="00653774" w:rsidRDefault="00653774" w:rsidP="00653774">
      <w:pPr>
        <w:pStyle w:val="NormalWeb"/>
      </w:pPr>
      <w:r>
        <w:t> </w:t>
      </w:r>
    </w:p>
    <w:p w14:paraId="5AC767F2" w14:textId="77777777" w:rsidR="00653774" w:rsidRDefault="00653774" w:rsidP="00653774">
      <w:pPr>
        <w:pStyle w:val="NormalWeb"/>
      </w:pPr>
      <w:r>
        <w:t> </w:t>
      </w:r>
    </w:p>
    <w:p w14:paraId="2EEB9AD0" w14:textId="77777777" w:rsidR="00653774" w:rsidRDefault="00653774" w:rsidP="00653774">
      <w:pPr>
        <w:pStyle w:val="NormalWeb"/>
      </w:pPr>
      <w:r>
        <w:t> </w:t>
      </w:r>
    </w:p>
    <w:p w14:paraId="7824E991" w14:textId="77777777" w:rsidR="00653774" w:rsidRDefault="00653774"/>
    <w:sectPr w:rsidR="00653774" w:rsidSect="00E66E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774"/>
    <w:rsid w:val="00076F31"/>
    <w:rsid w:val="00077485"/>
    <w:rsid w:val="000A25ED"/>
    <w:rsid w:val="000C226E"/>
    <w:rsid w:val="00182124"/>
    <w:rsid w:val="001D13CB"/>
    <w:rsid w:val="002259D0"/>
    <w:rsid w:val="00262D80"/>
    <w:rsid w:val="00337D80"/>
    <w:rsid w:val="003B6210"/>
    <w:rsid w:val="00413F79"/>
    <w:rsid w:val="00476AE5"/>
    <w:rsid w:val="0048000C"/>
    <w:rsid w:val="004B18BE"/>
    <w:rsid w:val="0054007F"/>
    <w:rsid w:val="005901BE"/>
    <w:rsid w:val="005971B0"/>
    <w:rsid w:val="005E6535"/>
    <w:rsid w:val="005F32B9"/>
    <w:rsid w:val="00653774"/>
    <w:rsid w:val="00696C16"/>
    <w:rsid w:val="006B44F5"/>
    <w:rsid w:val="00791804"/>
    <w:rsid w:val="00795B05"/>
    <w:rsid w:val="00814A7D"/>
    <w:rsid w:val="00844AB8"/>
    <w:rsid w:val="00872966"/>
    <w:rsid w:val="00873D3C"/>
    <w:rsid w:val="008A0106"/>
    <w:rsid w:val="008C6F48"/>
    <w:rsid w:val="0093587D"/>
    <w:rsid w:val="00975A13"/>
    <w:rsid w:val="009E766C"/>
    <w:rsid w:val="00AF46BD"/>
    <w:rsid w:val="00B14FBA"/>
    <w:rsid w:val="00B33455"/>
    <w:rsid w:val="00B35036"/>
    <w:rsid w:val="00BB5A7E"/>
    <w:rsid w:val="00BB6012"/>
    <w:rsid w:val="00BC02B5"/>
    <w:rsid w:val="00C7488F"/>
    <w:rsid w:val="00CC6F01"/>
    <w:rsid w:val="00D555CD"/>
    <w:rsid w:val="00D91035"/>
    <w:rsid w:val="00DA76FA"/>
    <w:rsid w:val="00DD27B1"/>
    <w:rsid w:val="00E66E56"/>
    <w:rsid w:val="00E740B9"/>
    <w:rsid w:val="00EA7736"/>
    <w:rsid w:val="00F02073"/>
    <w:rsid w:val="00F057AB"/>
    <w:rsid w:val="00F82C55"/>
    <w:rsid w:val="00FA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6F3021"/>
  <w15:chartTrackingRefBased/>
  <w15:docId w15:val="{2B2611C5-DDA8-44EB-B204-59C41B8CE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774"/>
    <w:rPr>
      <w:rFonts w:eastAsiaTheme="majorEastAsia" w:cstheme="majorBidi"/>
      <w:color w:val="272727" w:themeColor="text1" w:themeTint="D8"/>
    </w:rPr>
  </w:style>
  <w:style w:type="paragraph" w:styleId="Title">
    <w:name w:val="Title"/>
    <w:basedOn w:val="Normal"/>
    <w:next w:val="Normal"/>
    <w:link w:val="TitleChar"/>
    <w:uiPriority w:val="10"/>
    <w:qFormat/>
    <w:rsid w:val="00653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774"/>
    <w:pPr>
      <w:spacing w:before="160"/>
      <w:jc w:val="center"/>
    </w:pPr>
    <w:rPr>
      <w:i/>
      <w:iCs/>
      <w:color w:val="404040" w:themeColor="text1" w:themeTint="BF"/>
    </w:rPr>
  </w:style>
  <w:style w:type="character" w:customStyle="1" w:styleId="QuoteChar">
    <w:name w:val="Quote Char"/>
    <w:basedOn w:val="DefaultParagraphFont"/>
    <w:link w:val="Quote"/>
    <w:uiPriority w:val="29"/>
    <w:rsid w:val="00653774"/>
    <w:rPr>
      <w:i/>
      <w:iCs/>
      <w:color w:val="404040" w:themeColor="text1" w:themeTint="BF"/>
    </w:rPr>
  </w:style>
  <w:style w:type="paragraph" w:styleId="ListParagraph">
    <w:name w:val="List Paragraph"/>
    <w:basedOn w:val="Normal"/>
    <w:uiPriority w:val="34"/>
    <w:qFormat/>
    <w:rsid w:val="00653774"/>
    <w:pPr>
      <w:ind w:left="720"/>
      <w:contextualSpacing/>
    </w:pPr>
  </w:style>
  <w:style w:type="character" w:styleId="IntenseEmphasis">
    <w:name w:val="Intense Emphasis"/>
    <w:basedOn w:val="DefaultParagraphFont"/>
    <w:uiPriority w:val="21"/>
    <w:qFormat/>
    <w:rsid w:val="00653774"/>
    <w:rPr>
      <w:i/>
      <w:iCs/>
      <w:color w:val="0F4761" w:themeColor="accent1" w:themeShade="BF"/>
    </w:rPr>
  </w:style>
  <w:style w:type="paragraph" w:styleId="IntenseQuote">
    <w:name w:val="Intense Quote"/>
    <w:basedOn w:val="Normal"/>
    <w:next w:val="Normal"/>
    <w:link w:val="IntenseQuoteChar"/>
    <w:uiPriority w:val="30"/>
    <w:qFormat/>
    <w:rsid w:val="00653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774"/>
    <w:rPr>
      <w:i/>
      <w:iCs/>
      <w:color w:val="0F4761" w:themeColor="accent1" w:themeShade="BF"/>
    </w:rPr>
  </w:style>
  <w:style w:type="character" w:styleId="IntenseReference">
    <w:name w:val="Intense Reference"/>
    <w:basedOn w:val="DefaultParagraphFont"/>
    <w:uiPriority w:val="32"/>
    <w:qFormat/>
    <w:rsid w:val="00653774"/>
    <w:rPr>
      <w:b/>
      <w:bCs/>
      <w:smallCaps/>
      <w:color w:val="0F4761" w:themeColor="accent1" w:themeShade="BF"/>
      <w:spacing w:val="5"/>
    </w:rPr>
  </w:style>
  <w:style w:type="paragraph" w:styleId="NormalWeb">
    <w:name w:val="Normal (Web)"/>
    <w:basedOn w:val="Normal"/>
    <w:uiPriority w:val="99"/>
    <w:semiHidden/>
    <w:unhideWhenUsed/>
    <w:rsid w:val="006537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53774"/>
    <w:rPr>
      <w:b/>
      <w:bCs/>
    </w:rPr>
  </w:style>
  <w:style w:type="character" w:styleId="Emphasis">
    <w:name w:val="Emphasis"/>
    <w:basedOn w:val="DefaultParagraphFont"/>
    <w:uiPriority w:val="20"/>
    <w:qFormat/>
    <w:rsid w:val="00653774"/>
    <w:rPr>
      <w:i/>
      <w:iCs/>
    </w:rPr>
  </w:style>
  <w:style w:type="character" w:styleId="Hyperlink">
    <w:name w:val="Hyperlink"/>
    <w:basedOn w:val="DefaultParagraphFont"/>
    <w:uiPriority w:val="99"/>
    <w:unhideWhenUsed/>
    <w:rsid w:val="00653774"/>
    <w:rPr>
      <w:color w:val="0000FF"/>
      <w:u w:val="single"/>
    </w:rPr>
  </w:style>
  <w:style w:type="paragraph" w:styleId="NoSpacing">
    <w:name w:val="No Spacing"/>
    <w:link w:val="NoSpacingChar"/>
    <w:uiPriority w:val="1"/>
    <w:qFormat/>
    <w:rsid w:val="00E66E5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6E56"/>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B33455"/>
    <w:rPr>
      <w:color w:val="605E5C"/>
      <w:shd w:val="clear" w:color="auto" w:fill="E1DFDD"/>
    </w:rPr>
  </w:style>
  <w:style w:type="character" w:styleId="FollowedHyperlink">
    <w:name w:val="FollowedHyperlink"/>
    <w:basedOn w:val="DefaultParagraphFont"/>
    <w:uiPriority w:val="99"/>
    <w:semiHidden/>
    <w:unhideWhenUsed/>
    <w:rsid w:val="00EA77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41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53482218303917" TargetMode="External"/><Relationship Id="rId13" Type="http://schemas.openxmlformats.org/officeDocument/2006/relationships/hyperlink" Target="https://www.elgaronline.com/abstract/edcoll/9781786431363/9781786431363.00007.xml" TargetMode="External"/><Relationship Id="rId18" Type="http://schemas.openxmlformats.org/officeDocument/2006/relationships/hyperlink" Target="https://api.taylorfrancis.com/content/books/mono/download?identifierName=doi&amp;identifierValue=10.4324/9780203781043&amp;type=googlepdf" TargetMode="External"/><Relationship Id="rId26" Type="http://schemas.openxmlformats.org/officeDocument/2006/relationships/hyperlink" Target="https://papers.ssrn.com/sol3/papers.cfm?abstract_id=3379586" TargetMode="External"/><Relationship Id="rId3" Type="http://schemas.openxmlformats.org/officeDocument/2006/relationships/settings" Target="settings.xml"/><Relationship Id="rId21" Type="http://schemas.openxmlformats.org/officeDocument/2006/relationships/hyperlink" Target="https://www.hospitalitynet.org/brand/23000015/marriott.html" TargetMode="External"/><Relationship Id="rId7" Type="http://schemas.openxmlformats.org/officeDocument/2006/relationships/hyperlink" Target="https://www.researchgate.net/profile/Taslim-Ahammad/publication/321651611_Personnel_Management_to_Human_Resource_Management_HRM_How_HRM_Functions/links/5a742fcc0f7e9b20d490a8c5/Personnel-Management-to-Human-Resource-Management-HRM-How-HRM-Functions.pdf" TargetMode="External"/><Relationship Id="rId12" Type="http://schemas.openxmlformats.org/officeDocument/2006/relationships/hyperlink" Target="https://www.taylorfrancis.com/chapters/edit/10.4324/9781315231426-4/human-resources-line-management-1-chris-brewster-magnus-s%C3%B6derstr%C3%B6" TargetMode="External"/><Relationship Id="rId17" Type="http://schemas.openxmlformats.org/officeDocument/2006/relationships/hyperlink" Target="https://www.sciencedirect.com/science/article/pii/S1075425317300388" TargetMode="External"/><Relationship Id="rId25" Type="http://schemas.openxmlformats.org/officeDocument/2006/relationships/hyperlink" Target="https://www.emerald.com/insight/content/doi/10.1108/WHATT-10-2017-0062/full/html" TargetMode="External"/><Relationship Id="rId2" Type="http://schemas.openxmlformats.org/officeDocument/2006/relationships/styles" Target="styles.xml"/><Relationship Id="rId16" Type="http://schemas.openxmlformats.org/officeDocument/2006/relationships/hyperlink" Target="https://onlinelibrary.wiley.com/doi/abs/10.1002/tie.21959" TargetMode="External"/><Relationship Id="rId20" Type="http://schemas.openxmlformats.org/officeDocument/2006/relationships/hyperlink" Target="https://www.tandfonline.com/doi/abs/10.1080/09585192.2016.116678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onlinelibrary.wiley.com/doi/abs/10.1111/1748-8583.12165" TargetMode="External"/><Relationship Id="rId24" Type="http://schemas.openxmlformats.org/officeDocument/2006/relationships/hyperlink" Target="https://books.google.com/books?hl=en&amp;lr=&amp;id=Lif4DwAAQBAJ&amp;oi=fnd&amp;pg=PP1&amp;dq=Human+Resource+Management&amp;ots=UZcS6icZ1I&amp;sig=L9exOs0sjdoKvszzT2204L3l1hM" TargetMode="External"/><Relationship Id="rId5" Type="http://schemas.openxmlformats.org/officeDocument/2006/relationships/image" Target="media/image1.png"/><Relationship Id="rId15" Type="http://schemas.openxmlformats.org/officeDocument/2006/relationships/hyperlink" Target="https://onlinelibrary.wiley.com/doi/abs/10.1111/1748-8583.12195" TargetMode="External"/><Relationship Id="rId23" Type="http://schemas.openxmlformats.org/officeDocument/2006/relationships/hyperlink" Target="https://www.taylorfrancis.com/chapters/edit/10.4324/9781315299556-3/strategic-hrm-jaap-paauwe-corine-boon" TargetMode="External"/><Relationship Id="rId28" Type="http://schemas.openxmlformats.org/officeDocument/2006/relationships/glossaryDocument" Target="glossary/document.xml"/><Relationship Id="rId10" Type="http://schemas.openxmlformats.org/officeDocument/2006/relationships/hyperlink" Target="https://www.inderscienceonline.com/doi/abs/10.1504/EJIM.2017.086696" TargetMode="External"/><Relationship Id="rId19" Type="http://schemas.openxmlformats.org/officeDocument/2006/relationships/hyperlink" Target="https://www.managementstudyhq.com/nature" TargetMode="External"/><Relationship Id="rId4" Type="http://schemas.openxmlformats.org/officeDocument/2006/relationships/webSettings" Target="webSettings.xml"/><Relationship Id="rId9" Type="http://schemas.openxmlformats.org/officeDocument/2006/relationships/hyperlink" Target="https://www.tandfonline.com/doi/abs/10.1080/09585192.2015.1118139" TargetMode="External"/><Relationship Id="rId14" Type="http://schemas.openxmlformats.org/officeDocument/2006/relationships/hyperlink" Target="https://www.sciencedirect.com/science/article/pii/S1053482218300317" TargetMode="External"/><Relationship Id="rId22" Type="http://schemas.openxmlformats.org/officeDocument/2006/relationships/hyperlink" Target="https://www.emerald.com/insight/content/doi/10.1108/SRJ-12-2019-0403/full/html"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BDAE51231024714981BB90579C04DE5"/>
        <w:category>
          <w:name w:val="General"/>
          <w:gallery w:val="placeholder"/>
        </w:category>
        <w:types>
          <w:type w:val="bbPlcHdr"/>
        </w:types>
        <w:behaviors>
          <w:behavior w:val="content"/>
        </w:behaviors>
        <w:guid w:val="{EDC8E882-86C5-482C-BBDA-C0E845A5F128}"/>
      </w:docPartPr>
      <w:docPartBody>
        <w:p w:rsidR="0000690A" w:rsidRDefault="00737991" w:rsidP="00737991">
          <w:pPr>
            <w:pStyle w:val="2BDAE51231024714981BB90579C04DE5"/>
          </w:pPr>
          <w:r>
            <w:rPr>
              <w:rFonts w:asciiTheme="majorHAnsi" w:eastAsiaTheme="majorEastAsia" w:hAnsiTheme="majorHAnsi" w:cstheme="majorBidi"/>
              <w:caps/>
              <w:color w:val="156082" w:themeColor="accent1"/>
              <w:sz w:val="80"/>
              <w:szCs w:val="80"/>
            </w:rPr>
            <w:t>[Document title]</w:t>
          </w:r>
        </w:p>
      </w:docPartBody>
    </w:docPart>
    <w:docPart>
      <w:docPartPr>
        <w:name w:val="D416F13A88A1499099315F1B39941CD7"/>
        <w:category>
          <w:name w:val="General"/>
          <w:gallery w:val="placeholder"/>
        </w:category>
        <w:types>
          <w:type w:val="bbPlcHdr"/>
        </w:types>
        <w:behaviors>
          <w:behavior w:val="content"/>
        </w:behaviors>
        <w:guid w:val="{3D16E1CF-8FC6-4DFE-A032-A49574086E74}"/>
      </w:docPartPr>
      <w:docPartBody>
        <w:p w:rsidR="0000690A" w:rsidRDefault="00737991" w:rsidP="00737991">
          <w:pPr>
            <w:pStyle w:val="D416F13A88A1499099315F1B39941CD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991"/>
    <w:rsid w:val="0000690A"/>
    <w:rsid w:val="006B6C80"/>
    <w:rsid w:val="00737991"/>
    <w:rsid w:val="00A33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DAE51231024714981BB90579C04DE5">
    <w:name w:val="2BDAE51231024714981BB90579C04DE5"/>
    <w:rsid w:val="00737991"/>
  </w:style>
  <w:style w:type="paragraph" w:customStyle="1" w:styleId="D416F13A88A1499099315F1B39941CD7">
    <w:name w:val="D416F13A88A1499099315F1B39941CD7"/>
    <w:rsid w:val="007379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Scott James</PublishDate>
  <Abstract/>
  <CompanyAddress>                                                    Azeb Atsebha (2234854)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2712</Words>
  <Characters>18021</Characters>
  <Application>Microsoft Office Word</Application>
  <DocSecurity>0</DocSecurity>
  <Lines>305</Lines>
  <Paragraphs>43</Paragraphs>
  <ScaleCrop>false</ScaleCrop>
  <HeadingPairs>
    <vt:vector size="2" baseType="variant">
      <vt:variant>
        <vt:lpstr>Title</vt:lpstr>
      </vt:variant>
      <vt:variant>
        <vt:i4>1</vt:i4>
      </vt:variant>
    </vt:vector>
  </HeadingPairs>
  <TitlesOfParts>
    <vt:vector size="1" baseType="lpstr">
      <vt:lpstr/>
    </vt:vector>
  </TitlesOfParts>
  <Company>19/05/2024</Company>
  <LinksUpToDate>false</LinksUpToDate>
  <CharactersWithSpaces>20710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 (BMIH5005)</dc:title>
  <dc:subject>​​HOW THE EVOLUTION OF HUMAN RESOURCES MANAGEMENT (HRM) FACILITATES THE STRATEGIC DEVELOPMENT OF THE MARRIOTT INTERNATIONAL BRAND THROUGH WORKFORCE PLANNING, RECRUITMENT, AND SELECTION​</dc:subject>
  <dc:creator>Azeb Adera</dc:creator>
  <cp:keywords/>
  <dc:description/>
  <cp:lastModifiedBy>Azeb Adera</cp:lastModifiedBy>
  <cp:revision>54</cp:revision>
  <dcterms:created xsi:type="dcterms:W3CDTF">2024-05-13T17:48:00Z</dcterms:created>
  <dcterms:modified xsi:type="dcterms:W3CDTF">2024-05-13T18:49:00Z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21cf83a1-c273-48c1-922c-9bf240c0911c</vt:lpwstr>
  </property>
</Properties>
</file>