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E10E2F">
        <w:trPr>
          <w:gridAfter w:val="1"/>
          <w:wAfter w:w="29" w:type="dxa"/>
        </w:trPr>
        <w:tc>
          <w:tcPr>
            <w:tcW w:w="2093"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14E20C6" w:rsidR="00763CB3" w:rsidRPr="00876921" w:rsidRDefault="00E5418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 6396 Rikki Hall</w:t>
            </w:r>
          </w:p>
        </w:tc>
        <w:tc>
          <w:tcPr>
            <w:tcW w:w="2268"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9191484" w:rsidR="00763CB3" w:rsidRPr="00876921" w:rsidRDefault="00E5418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1815887</w:t>
            </w:r>
          </w:p>
        </w:tc>
      </w:tr>
      <w:tr w:rsidR="00763CB3" w:rsidRPr="00876921" w14:paraId="62602496" w14:textId="77777777" w:rsidTr="00E10E2F">
        <w:trPr>
          <w:gridAfter w:val="1"/>
          <w:wAfter w:w="29" w:type="dxa"/>
        </w:trPr>
        <w:tc>
          <w:tcPr>
            <w:tcW w:w="2093"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22DDB0B8" w:rsidR="00763CB3" w:rsidRPr="00876921" w:rsidRDefault="00E5418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0E10E2F">
        <w:trPr>
          <w:gridAfter w:val="1"/>
          <w:wAfter w:w="29" w:type="dxa"/>
        </w:trPr>
        <w:tc>
          <w:tcPr>
            <w:tcW w:w="2093"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E10E2F">
        <w:trPr>
          <w:gridAfter w:val="1"/>
          <w:wAfter w:w="29" w:type="dxa"/>
        </w:trPr>
        <w:tc>
          <w:tcPr>
            <w:tcW w:w="2093"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E10E2F">
        <w:trPr>
          <w:gridAfter w:val="1"/>
          <w:wAfter w:w="29" w:type="dxa"/>
        </w:trPr>
        <w:tc>
          <w:tcPr>
            <w:tcW w:w="2093" w:type="dxa"/>
            <w:shd w:val="pct15" w:color="auto" w:fill="auto"/>
          </w:tcPr>
          <w:p w14:paraId="6F089514" w14:textId="334E17B3" w:rsidR="00763CB3" w:rsidRPr="00876921" w:rsidRDefault="00E8094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3" w:type="dxa"/>
          </w:tcPr>
          <w:p w14:paraId="374C0665" w14:textId="00DC0685" w:rsidR="00763CB3" w:rsidRPr="00876921" w:rsidRDefault="00E8094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E10E2F">
        <w:trPr>
          <w:gridAfter w:val="1"/>
          <w:wAfter w:w="29" w:type="dxa"/>
        </w:trPr>
        <w:tc>
          <w:tcPr>
            <w:tcW w:w="2093"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E10E2F">
        <w:trPr>
          <w:gridAfter w:val="1"/>
          <w:wAfter w:w="29" w:type="dxa"/>
        </w:trPr>
        <w:tc>
          <w:tcPr>
            <w:tcW w:w="2093"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FD6A5C3" w:rsidR="00763CB3" w:rsidRPr="00876921" w:rsidRDefault="000F778C"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00DC3BA2" w:rsidRPr="00DC3BA2">
              <w:rPr>
                <w:rFonts w:ascii="Arial" w:eastAsia="Times New Roman" w:hAnsi="Arial" w:cs="Arial"/>
                <w:b/>
                <w:vertAlign w:val="superscript"/>
                <w:lang w:eastAsia="en-GB"/>
              </w:rPr>
              <w:t>th</w:t>
            </w:r>
            <w:r w:rsidR="00DC3BA2">
              <w:rPr>
                <w:rFonts w:ascii="Arial" w:eastAsia="Times New Roman" w:hAnsi="Arial" w:cs="Arial"/>
                <w:b/>
                <w:lang w:eastAsia="en-GB"/>
              </w:rPr>
              <w:t xml:space="preserve"> January 2021</w:t>
            </w:r>
          </w:p>
        </w:tc>
        <w:tc>
          <w:tcPr>
            <w:tcW w:w="2268"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06994002" w14:textId="77777777" w:rsidTr="00E10E2F">
        <w:trPr>
          <w:gridAfter w:val="1"/>
          <w:wAfter w:w="29" w:type="dxa"/>
        </w:trPr>
        <w:tc>
          <w:tcPr>
            <w:tcW w:w="2093"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E10E2F">
        <w:trPr>
          <w:gridAfter w:val="1"/>
          <w:wAfter w:w="29" w:type="dxa"/>
        </w:trPr>
        <w:tc>
          <w:tcPr>
            <w:tcW w:w="2093"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E10E2F">
        <w:tc>
          <w:tcPr>
            <w:tcW w:w="995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E10E2F">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2161A0" w:rsidRDefault="00FF774E" w:rsidP="00FF774E">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0CCA6F35"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4D18FDB9" w14:textId="77777777" w:rsidR="00E54184" w:rsidRDefault="00E54184"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DBF9E2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following essay will analyse why key incidents/events have had a damaging effect on the willingness of communities to engage with the police. It will also evaluate the role of community policing in fostering and maintaining community cohesion and understand and apply key principles of effective community engagement.</w:t>
      </w:r>
    </w:p>
    <w:p w14:paraId="7B22DA6A"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In general members of the public have a good relationship with the police however certain traits in a minority of people make them have a bad relationship with police and have disregard for laws. “These traits will determine how likely an individual is to consider themselves bound by the rules. Some people will follow the rules to the letter, some will follow only those rules that they consider legitimate and justified, and a very small proportion will not abide by any rule that prevents them from achieving their goals. Using pen-and-paper personality scales it is possible to predict, with a fair degree of accuracy, how an individual will perceive the rules and how likely they will be to abide by them. However, all this assumes that we are conscious of the rule-breaking behaviours that we are engaging in, and are able to think logically and rationally about it..” (Cris Burgess-1999)</w:t>
      </w:r>
    </w:p>
    <w:p w14:paraId="032200B5"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Although certain traits cause certain people to have a negative relationship with police and authority figures there have been key incidents and events that have caused a negative effect on the willingness of communities to engage positively with police. One of these incidents that was a relevant event was the murder of Stephen Lawrence. </w:t>
      </w:r>
    </w:p>
    <w:p w14:paraId="4A81DE52"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Stephen Lawrence was a black teenager who was stabbed by a gang of white youths in South-East London in April 1993. Lawrence’s friend reported the suspects however this information was not acted upon promptly. The suspects were arrested in May 1993, were identified by the witness and charged however they denied all the allegations. CPS have then dropped the investigation due to lack of evidence. In 1994 a private investigation was started prompted by Lawrence’s parents. In 1996 the private prosecution collapses. In 1997 Home Secretary Jack Straw opens the investigation back up. Police were found guilty of “institutional racism” in 1999 upon re-investigation and 70 recommendations for changes to policing were made. In 2012 the suspects are found guilty of the murder of Stephen Lawrence. </w:t>
      </w:r>
    </w:p>
    <w:p w14:paraId="733ABCF7"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The murder of Stephen Lawrence caused a negative effect on the relationship between community and police especially the black community. “The catastrophic loss of confidence in the police that was well documented in the Lawrence inquiry after years of neglect of, and often overt hostility towards, the black community, lies behind the cycle of violence that is currently manifest in the persistence of knife crime in British cities. The challenge </w:t>
      </w:r>
      <w:r w:rsidRPr="00E54184">
        <w:rPr>
          <w:rFonts w:ascii="Calibri" w:eastAsia="Calibri" w:hAnsi="Calibri" w:cs="Times New Roman"/>
        </w:rPr>
        <w:lastRenderedPageBreak/>
        <w:t>facing the police service today is to show that it exists to serve all sections of society, not through the failed aggressive enforcement practices of the past, but through painstaking efforts to build trust and demonstrate fairness and respect in every encounter with the public.”(Benjamin Bowling-2018)</w:t>
      </w:r>
    </w:p>
    <w:p w14:paraId="2F704405"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 more recent event that has taken place that has led to a negative effect on communities’ engagement with police is the Black Lives Matter movement. This movement started out in response to the perceived unproportioned police brutality rates against black Americans which led to high profile US sports stars kneeling for the national anthem before games in 2016. On the 25</w:t>
      </w:r>
      <w:r w:rsidRPr="00E54184">
        <w:rPr>
          <w:rFonts w:ascii="Calibri" w:eastAsia="Calibri" w:hAnsi="Calibri" w:cs="Times New Roman"/>
          <w:vertAlign w:val="superscript"/>
        </w:rPr>
        <w:t>th</w:t>
      </w:r>
      <w:r w:rsidRPr="00E54184">
        <w:rPr>
          <w:rFonts w:ascii="Calibri" w:eastAsia="Calibri" w:hAnsi="Calibri" w:cs="Times New Roman"/>
        </w:rPr>
        <w:t xml:space="preserve"> of May 2020 the death of George Floyd whilst being restrained by police whereby a video captured a police officer kneeling on his neck. This has then caused this movement to have worldwide national exposure and has generally caused a negative perception of police amongst all communities. “The fact that George Floyd’s death happened in another country at the hands of another police force, has allowed favourable comparisons to be made with the British police.  It is possible, ………..that this moment of inclusiveness will continue and there will be genuine measures taken to banish institutional racism not just in the police but in all areas of society.  But the signs that this may be so are not at all promising.” (Jennifer Davis-2020)</w:t>
      </w:r>
    </w:p>
    <w:p w14:paraId="00EE4A10"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Although both these incidents involve racial minorities, the effects can also affect other parts of society as the community as a whole will see these incidents as an injustice and Police abusing their powers.</w:t>
      </w:r>
    </w:p>
    <w:p w14:paraId="509BFDE9"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To help build the bonds with the community effective community policing is key. “There is a strong theoretical case for community engagement in policing. It is suggested that informal mechanisms of social control play a greater role than formal mechanisms based on traditional, reactive, enforcement-based policing. Greater community participation in policing is likely to have benefits for both police-community relations and actual levels of crime and disorder.” (Andy Myhill-2006)</w:t>
      </w:r>
    </w:p>
    <w:p w14:paraId="0B68B30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For effective community policing and community engagement there are certain goals for Police to obtain to provide effective service.</w:t>
      </w:r>
    </w:p>
    <w:p w14:paraId="4AA9019D" w14:textId="77777777" w:rsidR="00E54184" w:rsidRPr="00E54184" w:rsidRDefault="00E54184" w:rsidP="00E54184">
      <w:pPr>
        <w:rPr>
          <w:rFonts w:ascii="Calibri" w:eastAsia="Calibri" w:hAnsi="Calibri" w:cs="Times New Roman"/>
          <w:b/>
        </w:rPr>
      </w:pPr>
      <w:r w:rsidRPr="00E54184">
        <w:rPr>
          <w:rFonts w:ascii="Calibri" w:eastAsia="Calibri" w:hAnsi="Calibri" w:cs="Times New Roman"/>
          <w:b/>
        </w:rPr>
        <w:t>“Essential elements include:</w:t>
      </w:r>
    </w:p>
    <w:p w14:paraId="50AFB75B"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A clearly defined and transparent purpose for engagement activities</w:t>
      </w:r>
    </w:p>
    <w:p w14:paraId="0019F74D"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Regular formal and informal contact with communities</w:t>
      </w:r>
    </w:p>
    <w:p w14:paraId="7F310542"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Working with partners (e.g, by identifying communities and sharing arrangements for engagement)</w:t>
      </w:r>
    </w:p>
    <w:p w14:paraId="16A3AF57"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Making available information about local crime and policing issues to communities</w:t>
      </w:r>
    </w:p>
    <w:p w14:paraId="208A4F2F"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Engagement that is tailored to the needs and preferences of different communities</w:t>
      </w:r>
    </w:p>
    <w:p w14:paraId="750C88DA"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Using engagement to identify local priorities and inform problem solving</w:t>
      </w:r>
    </w:p>
    <w:p w14:paraId="7CEAF7A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Officers, staff and volunteers providing feedback and being accountable to communities</w:t>
      </w:r>
    </w:p>
    <w:p w14:paraId="5D2C71A7"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Officers, staff and volunteers supporting communities, where appropriate, to be more active in the policing of their local areas.</w:t>
      </w:r>
    </w:p>
    <w:p w14:paraId="0D10EA5D" w14:textId="77777777" w:rsidR="00E54184" w:rsidRPr="00E54184" w:rsidRDefault="00E54184" w:rsidP="00E54184">
      <w:pPr>
        <w:rPr>
          <w:rFonts w:ascii="Calibri" w:eastAsia="Calibri" w:hAnsi="Calibri" w:cs="Times New Roman"/>
          <w:b/>
        </w:rPr>
      </w:pPr>
      <w:r w:rsidRPr="00E54184">
        <w:rPr>
          <w:rFonts w:ascii="Calibri" w:eastAsia="Calibri" w:hAnsi="Calibri" w:cs="Times New Roman"/>
          <w:b/>
        </w:rPr>
        <w:t>Community engagement in neighbourhoods should:</w:t>
      </w:r>
    </w:p>
    <w:p w14:paraId="5CFBAB54"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Provide an ongoing two-way dialogue between the police and the public</w:t>
      </w:r>
    </w:p>
    <w:p w14:paraId="3DE8A289"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Enable the police to develop a better understanding of communities and their needs, risks and threats.” (College of Policing-2020)</w:t>
      </w:r>
    </w:p>
    <w:p w14:paraId="20B046A0"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To show the effectiveness that community policing is having on the public the confidence cycle can be used to determine where faults may lie. </w:t>
      </w:r>
    </w:p>
    <w:p w14:paraId="25922E5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lastRenderedPageBreak/>
        <w:t>“</w:t>
      </w:r>
      <w:r w:rsidRPr="00E54184">
        <w:rPr>
          <w:rFonts w:ascii="Calibri" w:eastAsia="Calibri" w:hAnsi="Calibri" w:cs="Times New Roman"/>
          <w:noProof/>
          <w:lang w:eastAsia="en-GB"/>
        </w:rPr>
        <w:drawing>
          <wp:inline distT="0" distB="0" distL="0" distR="0" wp14:anchorId="680C685F" wp14:editId="3F0CFF9F">
            <wp:extent cx="5731510" cy="4178456"/>
            <wp:effectExtent l="0" t="0" r="0" b="0"/>
            <wp:docPr id="5" name="Picture 5" descr="Diagram showing the confidenc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the confidenc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78456"/>
                    </a:xfrm>
                    <a:prstGeom prst="rect">
                      <a:avLst/>
                    </a:prstGeom>
                    <a:noFill/>
                    <a:ln>
                      <a:noFill/>
                    </a:ln>
                  </pic:spPr>
                </pic:pic>
              </a:graphicData>
            </a:graphic>
          </wp:inline>
        </w:drawing>
      </w:r>
      <w:r w:rsidRPr="00E54184">
        <w:rPr>
          <w:rFonts w:ascii="Calibri" w:eastAsia="Calibri" w:hAnsi="Calibri" w:cs="Times New Roman"/>
        </w:rPr>
        <w:t>”(College of Policing-2020)</w:t>
      </w:r>
    </w:p>
    <w:p w14:paraId="7408544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In conclusion key incidents and events can always effect the public’s relationship with the police depending on many factors such as media presentation of the events. However if Police continue positive community engagement it will help create positive relationships with individuals and will attach names and faces to an otherwise vast entity which is the Police service. If Police can maintain a constant positive relationship with the public through effective community policing, incidents such as the ones mentioned previously will less likely effect the overall relationship as they will already have these personal relationships already built. Therefore to change their perception of the Police from a positive one to a negative one would be more difficult. </w:t>
      </w:r>
    </w:p>
    <w:p w14:paraId="7E965373" w14:textId="77777777" w:rsidR="00E54184" w:rsidRPr="00E54184" w:rsidRDefault="00E54184" w:rsidP="00E54184">
      <w:pPr>
        <w:rPr>
          <w:rFonts w:ascii="Calibri" w:eastAsia="Calibri" w:hAnsi="Calibri" w:cs="Times New Roman"/>
          <w:b/>
        </w:rPr>
      </w:pPr>
      <w:r w:rsidRPr="00E54184">
        <w:rPr>
          <w:rFonts w:ascii="Calibri" w:eastAsia="Calibri" w:hAnsi="Calibri" w:cs="Times New Roman"/>
          <w:b/>
        </w:rPr>
        <w:t>1082 Words</w:t>
      </w:r>
    </w:p>
    <w:p w14:paraId="470D46E9" w14:textId="77777777" w:rsidR="00FF774E" w:rsidRP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7DFAA10" w14:textId="3A8C0181" w:rsidR="00BB18E4" w:rsidRDefault="00BB18E4" w:rsidP="00FF774E">
      <w:pPr>
        <w:spacing w:after="0" w:line="240" w:lineRule="auto"/>
        <w:ind w:left="426"/>
        <w:rPr>
          <w:rFonts w:ascii="Arial" w:eastAsia="Times New Roman" w:hAnsi="Arial" w:cs="Arial"/>
          <w:b/>
          <w:sz w:val="24"/>
          <w:szCs w:val="24"/>
          <w:lang w:eastAsia="en-GB"/>
        </w:rPr>
      </w:pPr>
    </w:p>
    <w:p w14:paraId="2822759A" w14:textId="28899E1A"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763CB3">
      <w:pPr>
        <w:spacing w:after="0" w:line="240" w:lineRule="auto"/>
        <w:ind w:left="426"/>
        <w:jc w:val="center"/>
        <w:rPr>
          <w:rFonts w:ascii="Arial" w:eastAsia="Times New Roman" w:hAnsi="Arial" w:cs="Arial"/>
          <w:b/>
          <w:sz w:val="24"/>
          <w:szCs w:val="24"/>
          <w:lang w:eastAsia="en-GB"/>
        </w:rPr>
      </w:pPr>
    </w:p>
    <w:p w14:paraId="1D69F2A6"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Explain and employ analytical products provided by intelligence specialists during the course of an investigation</w:t>
      </w:r>
    </w:p>
    <w:p w14:paraId="207C0936" w14:textId="5CC728F7" w:rsidR="00FF774E" w:rsidRDefault="00FF774E" w:rsidP="00FF774E">
      <w:pPr>
        <w:spacing w:after="0" w:line="240" w:lineRule="auto"/>
        <w:ind w:left="426"/>
        <w:rPr>
          <w:rFonts w:ascii="Arial" w:eastAsia="Times New Roman" w:hAnsi="Arial" w:cs="Arial"/>
          <w:b/>
          <w:sz w:val="24"/>
          <w:szCs w:val="24"/>
          <w:lang w:eastAsia="en-GB"/>
        </w:rPr>
      </w:pPr>
    </w:p>
    <w:p w14:paraId="4FABD95D"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following essay will assess the strengths and weakness of different policing models in relation to crime, victimisation and the public and explore crime prevention theories initiates and strategies. It will also explain and employ analytical products provided by intelligence specialists during the course of an investigation.</w:t>
      </w:r>
    </w:p>
    <w:p w14:paraId="0EBEA080"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Within Policing we use many different models to help prevent/investigate crime and help victims and the public. Within doing so it helps investigators and officers have a base if which to provide options and goals of how to </w:t>
      </w:r>
      <w:r w:rsidRPr="00E54184">
        <w:rPr>
          <w:rFonts w:ascii="Calibri" w:eastAsia="Calibri" w:hAnsi="Calibri" w:cs="Times New Roman"/>
        </w:rPr>
        <w:lastRenderedPageBreak/>
        <w:t>tackle each problem. Although these models can be useful they are not without their flaws which I will discuss in turn.</w:t>
      </w:r>
    </w:p>
    <w:p w14:paraId="42200E90"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One of the tactics used by the Police service is using Problem orientated Policing. In the late 1970’s researchers started to study alternative ways of Policing as they found that conducting random patrols and promptly responding to incidents after they happened were too reactive as opposed to being proactive. Experimentation of problem orientated policing started in the early 1980’s in US states such as Wisconsin and Maryland. Since these experiments were mostly positive these principles were adopted in Canada, Scandinavia, Australia, New Zealand, and the United Kingdom. </w:t>
      </w:r>
    </w:p>
    <w:p w14:paraId="62DB8FC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To implement Problem Orientated Policing certain Policing models can be implemented. The S.A.R.A model is an acronym for Scanning, Analysis, Response and Assessment which are all the stages in which Problem Orientated Policing can be split into. The following is a breakdown of how these can stages can be implemented-</w:t>
      </w:r>
    </w:p>
    <w:p w14:paraId="1C2729C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“Scanning:</w:t>
      </w:r>
    </w:p>
    <w:p w14:paraId="257B378D"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Identifying recurring problems of concern to the public and the police.</w:t>
      </w:r>
    </w:p>
    <w:p w14:paraId="030ED7CB"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Identifying the consequences of the problem for the community and the police.</w:t>
      </w:r>
    </w:p>
    <w:p w14:paraId="6B7949BB"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Prioritizing those problems.</w:t>
      </w:r>
    </w:p>
    <w:p w14:paraId="270E739D"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Developing broad goals.</w:t>
      </w:r>
    </w:p>
    <w:p w14:paraId="70760EFF"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Confirming that the problems exist.</w:t>
      </w:r>
    </w:p>
    <w:p w14:paraId="7C2A38FB"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Determining how frequently the problem occurs and how long it has been taking place.</w:t>
      </w:r>
    </w:p>
    <w:p w14:paraId="7AD8E832" w14:textId="77777777" w:rsidR="00E54184" w:rsidRPr="00E54184" w:rsidRDefault="00E54184" w:rsidP="00E54184">
      <w:pPr>
        <w:numPr>
          <w:ilvl w:val="0"/>
          <w:numId w:val="10"/>
        </w:numPr>
        <w:rPr>
          <w:rFonts w:ascii="Calibri" w:eastAsia="Calibri" w:hAnsi="Calibri" w:cs="Times New Roman"/>
        </w:rPr>
      </w:pPr>
      <w:r w:rsidRPr="00E54184">
        <w:rPr>
          <w:rFonts w:ascii="Calibri" w:eastAsia="Calibri" w:hAnsi="Calibri" w:cs="Times New Roman"/>
        </w:rPr>
        <w:t>Selecting problems for closer examination.</w:t>
      </w:r>
    </w:p>
    <w:p w14:paraId="6E50BF7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Analysis:</w:t>
      </w:r>
    </w:p>
    <w:p w14:paraId="2ACE61CB"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Identifying and understanding the events and conditions that precede and accompany the problem.</w:t>
      </w:r>
    </w:p>
    <w:p w14:paraId="4A8A84AF"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Identifying relevant data to be collected.</w:t>
      </w:r>
    </w:p>
    <w:p w14:paraId="3F11028B"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Researching what is known about the problem type.</w:t>
      </w:r>
    </w:p>
    <w:p w14:paraId="0A9B6797"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Taking inventory of how the problem is currently addressed and the strengths and limitations of the current response.</w:t>
      </w:r>
    </w:p>
    <w:p w14:paraId="06E1BE36"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Narrowing the scope of the problem as specifically as possible.</w:t>
      </w:r>
    </w:p>
    <w:p w14:paraId="1D4AD37E"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Identifying a variety of resources that may be of assistance in developing a deeper understanding of the problem.</w:t>
      </w:r>
    </w:p>
    <w:p w14:paraId="5AA05340" w14:textId="77777777" w:rsidR="00E54184" w:rsidRPr="00E54184" w:rsidRDefault="00E54184" w:rsidP="00E54184">
      <w:pPr>
        <w:numPr>
          <w:ilvl w:val="0"/>
          <w:numId w:val="11"/>
        </w:numPr>
        <w:rPr>
          <w:rFonts w:ascii="Calibri" w:eastAsia="Calibri" w:hAnsi="Calibri" w:cs="Times New Roman"/>
        </w:rPr>
      </w:pPr>
      <w:r w:rsidRPr="00E54184">
        <w:rPr>
          <w:rFonts w:ascii="Calibri" w:eastAsia="Calibri" w:hAnsi="Calibri" w:cs="Times New Roman"/>
        </w:rPr>
        <w:t>Developing a working hypothesis about why the problem is occurring.</w:t>
      </w:r>
    </w:p>
    <w:p w14:paraId="53A6AD3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Response:</w:t>
      </w:r>
    </w:p>
    <w:p w14:paraId="3C50178F" w14:textId="77777777" w:rsidR="00E54184" w:rsidRPr="00E54184" w:rsidRDefault="00E54184" w:rsidP="00E54184">
      <w:pPr>
        <w:numPr>
          <w:ilvl w:val="0"/>
          <w:numId w:val="12"/>
        </w:numPr>
        <w:rPr>
          <w:rFonts w:ascii="Calibri" w:eastAsia="Calibri" w:hAnsi="Calibri" w:cs="Times New Roman"/>
        </w:rPr>
      </w:pPr>
      <w:r w:rsidRPr="00E54184">
        <w:rPr>
          <w:rFonts w:ascii="Calibri" w:eastAsia="Calibri" w:hAnsi="Calibri" w:cs="Times New Roman"/>
        </w:rPr>
        <w:t>Brainstorming for new interventions.</w:t>
      </w:r>
    </w:p>
    <w:p w14:paraId="67A49719" w14:textId="77777777" w:rsidR="00E54184" w:rsidRPr="00E54184" w:rsidRDefault="00E54184" w:rsidP="00E54184">
      <w:pPr>
        <w:numPr>
          <w:ilvl w:val="0"/>
          <w:numId w:val="12"/>
        </w:numPr>
        <w:rPr>
          <w:rFonts w:ascii="Calibri" w:eastAsia="Calibri" w:hAnsi="Calibri" w:cs="Times New Roman"/>
        </w:rPr>
      </w:pPr>
      <w:r w:rsidRPr="00E54184">
        <w:rPr>
          <w:rFonts w:ascii="Calibri" w:eastAsia="Calibri" w:hAnsi="Calibri" w:cs="Times New Roman"/>
        </w:rPr>
        <w:t>Searching for what other communities with similar problems have done.</w:t>
      </w:r>
    </w:p>
    <w:p w14:paraId="3045853B" w14:textId="77777777" w:rsidR="00E54184" w:rsidRPr="00E54184" w:rsidRDefault="00E54184" w:rsidP="00E54184">
      <w:pPr>
        <w:numPr>
          <w:ilvl w:val="0"/>
          <w:numId w:val="12"/>
        </w:numPr>
        <w:rPr>
          <w:rFonts w:ascii="Calibri" w:eastAsia="Calibri" w:hAnsi="Calibri" w:cs="Times New Roman"/>
        </w:rPr>
      </w:pPr>
      <w:r w:rsidRPr="00E54184">
        <w:rPr>
          <w:rFonts w:ascii="Calibri" w:eastAsia="Calibri" w:hAnsi="Calibri" w:cs="Times New Roman"/>
        </w:rPr>
        <w:t>Choosing among the alternative interventions.</w:t>
      </w:r>
    </w:p>
    <w:p w14:paraId="7614F887" w14:textId="77777777" w:rsidR="00E54184" w:rsidRPr="00E54184" w:rsidRDefault="00E54184" w:rsidP="00E54184">
      <w:pPr>
        <w:numPr>
          <w:ilvl w:val="0"/>
          <w:numId w:val="12"/>
        </w:numPr>
        <w:rPr>
          <w:rFonts w:ascii="Calibri" w:eastAsia="Calibri" w:hAnsi="Calibri" w:cs="Times New Roman"/>
        </w:rPr>
      </w:pPr>
      <w:r w:rsidRPr="00E54184">
        <w:rPr>
          <w:rFonts w:ascii="Calibri" w:eastAsia="Calibri" w:hAnsi="Calibri" w:cs="Times New Roman"/>
        </w:rPr>
        <w:t>Outlining a response plan and identifying responsible parties.</w:t>
      </w:r>
    </w:p>
    <w:p w14:paraId="1D8F59EB" w14:textId="77777777" w:rsidR="00E54184" w:rsidRPr="00E54184" w:rsidRDefault="00E54184" w:rsidP="00E54184">
      <w:pPr>
        <w:numPr>
          <w:ilvl w:val="0"/>
          <w:numId w:val="12"/>
        </w:numPr>
        <w:rPr>
          <w:rFonts w:ascii="Calibri" w:eastAsia="Calibri" w:hAnsi="Calibri" w:cs="Times New Roman"/>
        </w:rPr>
      </w:pPr>
      <w:r w:rsidRPr="00E54184">
        <w:rPr>
          <w:rFonts w:ascii="Calibri" w:eastAsia="Calibri" w:hAnsi="Calibri" w:cs="Times New Roman"/>
        </w:rPr>
        <w:t>Stating the specific objectives for the response plan.</w:t>
      </w:r>
    </w:p>
    <w:p w14:paraId="1F793E0D" w14:textId="77777777" w:rsidR="00E54184" w:rsidRPr="00E54184" w:rsidRDefault="00E54184" w:rsidP="00E54184">
      <w:pPr>
        <w:numPr>
          <w:ilvl w:val="0"/>
          <w:numId w:val="12"/>
        </w:numPr>
        <w:rPr>
          <w:rFonts w:ascii="Calibri" w:eastAsia="Calibri" w:hAnsi="Calibri" w:cs="Times New Roman"/>
        </w:rPr>
      </w:pPr>
      <w:r w:rsidRPr="00E54184">
        <w:rPr>
          <w:rFonts w:ascii="Calibri" w:eastAsia="Calibri" w:hAnsi="Calibri" w:cs="Times New Roman"/>
        </w:rPr>
        <w:lastRenderedPageBreak/>
        <w:t>Carrying out the planned activities.</w:t>
      </w:r>
    </w:p>
    <w:p w14:paraId="094E3C9D"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Assessment:</w:t>
      </w:r>
    </w:p>
    <w:p w14:paraId="1977F5E1" w14:textId="77777777" w:rsidR="00E54184" w:rsidRPr="00E54184" w:rsidRDefault="00E54184" w:rsidP="00E54184">
      <w:pPr>
        <w:numPr>
          <w:ilvl w:val="0"/>
          <w:numId w:val="13"/>
        </w:numPr>
        <w:rPr>
          <w:rFonts w:ascii="Calibri" w:eastAsia="Calibri" w:hAnsi="Calibri" w:cs="Times New Roman"/>
        </w:rPr>
      </w:pPr>
      <w:r w:rsidRPr="00E54184">
        <w:rPr>
          <w:rFonts w:ascii="Calibri" w:eastAsia="Calibri" w:hAnsi="Calibri" w:cs="Times New Roman"/>
        </w:rPr>
        <w:t>Determining whether the plan was implemented (a process evaluation).</w:t>
      </w:r>
    </w:p>
    <w:p w14:paraId="2A207DF9" w14:textId="77777777" w:rsidR="00E54184" w:rsidRPr="00E54184" w:rsidRDefault="00E54184" w:rsidP="00E54184">
      <w:pPr>
        <w:numPr>
          <w:ilvl w:val="0"/>
          <w:numId w:val="13"/>
        </w:numPr>
        <w:rPr>
          <w:rFonts w:ascii="Calibri" w:eastAsia="Calibri" w:hAnsi="Calibri" w:cs="Times New Roman"/>
        </w:rPr>
      </w:pPr>
      <w:r w:rsidRPr="00E54184">
        <w:rPr>
          <w:rFonts w:ascii="Calibri" w:eastAsia="Calibri" w:hAnsi="Calibri" w:cs="Times New Roman"/>
        </w:rPr>
        <w:t>Collecting pre and post response qualitative and quantitative data.</w:t>
      </w:r>
    </w:p>
    <w:p w14:paraId="3B8D8D01" w14:textId="77777777" w:rsidR="00E54184" w:rsidRPr="00E54184" w:rsidRDefault="00E54184" w:rsidP="00E54184">
      <w:pPr>
        <w:numPr>
          <w:ilvl w:val="0"/>
          <w:numId w:val="13"/>
        </w:numPr>
        <w:rPr>
          <w:rFonts w:ascii="Calibri" w:eastAsia="Calibri" w:hAnsi="Calibri" w:cs="Times New Roman"/>
        </w:rPr>
      </w:pPr>
      <w:r w:rsidRPr="00E54184">
        <w:rPr>
          <w:rFonts w:ascii="Calibri" w:eastAsia="Calibri" w:hAnsi="Calibri" w:cs="Times New Roman"/>
        </w:rPr>
        <w:t>Determining whether broad goals and specific objectives were attained.</w:t>
      </w:r>
    </w:p>
    <w:p w14:paraId="40672725" w14:textId="77777777" w:rsidR="00E54184" w:rsidRPr="00E54184" w:rsidRDefault="00E54184" w:rsidP="00E54184">
      <w:pPr>
        <w:numPr>
          <w:ilvl w:val="0"/>
          <w:numId w:val="13"/>
        </w:numPr>
        <w:rPr>
          <w:rFonts w:ascii="Calibri" w:eastAsia="Calibri" w:hAnsi="Calibri" w:cs="Times New Roman"/>
        </w:rPr>
      </w:pPr>
      <w:r w:rsidRPr="00E54184">
        <w:rPr>
          <w:rFonts w:ascii="Calibri" w:eastAsia="Calibri" w:hAnsi="Calibri" w:cs="Times New Roman"/>
        </w:rPr>
        <w:t>Identifying any new strategies needed to augment the original plan.</w:t>
      </w:r>
    </w:p>
    <w:p w14:paraId="505590BB" w14:textId="77777777" w:rsidR="00E54184" w:rsidRPr="00E54184" w:rsidRDefault="00E54184" w:rsidP="00E54184">
      <w:pPr>
        <w:numPr>
          <w:ilvl w:val="0"/>
          <w:numId w:val="13"/>
        </w:numPr>
        <w:rPr>
          <w:rFonts w:ascii="Calibri" w:eastAsia="Calibri" w:hAnsi="Calibri" w:cs="Times New Roman"/>
        </w:rPr>
      </w:pPr>
      <w:r w:rsidRPr="00E54184">
        <w:rPr>
          <w:rFonts w:ascii="Calibri" w:eastAsia="Calibri" w:hAnsi="Calibri" w:cs="Times New Roman"/>
        </w:rPr>
        <w:t>Conducting ongoing assessment to ensure continued effectiveness.”(Goldstein-2001)</w:t>
      </w:r>
    </w:p>
    <w:p w14:paraId="7D9E2B0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S.A.R.A model can also be used alongside the Problem Analysis Triangle which can be shown below:</w:t>
      </w:r>
    </w:p>
    <w:p w14:paraId="37E678C0" w14:textId="77777777" w:rsidR="00E54184" w:rsidRPr="00E54184" w:rsidRDefault="00E54184" w:rsidP="00E54184">
      <w:pPr>
        <w:rPr>
          <w:rFonts w:ascii="Calibri" w:eastAsia="Calibri" w:hAnsi="Calibri" w:cs="Times New Roman"/>
        </w:rPr>
      </w:pPr>
      <w:r w:rsidRPr="00E54184">
        <w:rPr>
          <w:rFonts w:ascii="Calibri" w:eastAsia="Calibri" w:hAnsi="Calibri" w:cs="Times New Roman"/>
          <w:noProof/>
          <w:lang w:eastAsia="en-GB"/>
        </w:rPr>
        <w:drawing>
          <wp:inline distT="0" distB="0" distL="0" distR="0" wp14:anchorId="70B25002" wp14:editId="03B43DD6">
            <wp:extent cx="5731510" cy="2662379"/>
            <wp:effectExtent l="0" t="0" r="0" b="0"/>
            <wp:docPr id="4" name="Picture 4" descr="https://www.app.college.police.uk/wp-content/uploads/2018/06/C948I0518_APP_Diagram1_Offender_victim_location_triangl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8/06/C948I0518_APP_Diagram1_Offender_victim_location_triangle-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62379"/>
                    </a:xfrm>
                    <a:prstGeom prst="rect">
                      <a:avLst/>
                    </a:prstGeom>
                    <a:noFill/>
                    <a:ln>
                      <a:noFill/>
                    </a:ln>
                  </pic:spPr>
                </pic:pic>
              </a:graphicData>
            </a:graphic>
          </wp:inline>
        </w:drawing>
      </w:r>
      <w:r w:rsidRPr="00E54184">
        <w:rPr>
          <w:rFonts w:ascii="Calibri" w:eastAsia="Calibri" w:hAnsi="Calibri" w:cs="Times New Roman"/>
        </w:rPr>
        <w:t>(College of Policing-2013)</w:t>
      </w:r>
    </w:p>
    <w:p w14:paraId="1FB32E4D"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main idea behind the Problem Analysis Triangle is that every crime needs a offender, victim and location and by taking one of these elements away can deter a crime.</w:t>
      </w:r>
    </w:p>
    <w:p w14:paraId="3803FD91"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Both of these above crime models I find are useful when building principles for which organised policing is involved. However there are still downfalls to using these models. “In terms of using the SARA model to guide POP, police agencies typically fail to conduct in-depth problem-analysis. Indeed they often engage in a form of “shallow problem solving” that involves only peripheral analysis of crime data and a largely law enforcement-oriented response.”(George Mason Unversity-2020) On top of this the SARA model is more suited for a managerial implementation rather than an operational “boots on the ground” implementation. It may not be best practice to ponder about the Scanning, Analysis, Response and Assessment of a crime when time can be critical to someone’s safety or a suspect trying to punch or spit in your face. </w:t>
      </w:r>
    </w:p>
    <w:p w14:paraId="0C2362FE"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implementation of the Problem Analysis Triangle should also be implemented the same way and not taken as gospel when dealing with crime and Anti-social behaviour. The reason for this is that the principle of the model is that if you take away either the offender, victim, or location the crime will stop. However if a location is flooded with patrols there is a high probability that the problem will simply move somewhere else. As stated previously these two models are best kept as managerial principles and not as a ridged structure of policing.</w:t>
      </w:r>
    </w:p>
    <w:p w14:paraId="4499706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As opposed to this the National Decision Model is a model that can be used in all forms and levels of Policing. The philosophy behind the National Decision Model is that by using it you should make the most rational and ethical decision.</w:t>
      </w:r>
    </w:p>
    <w:p w14:paraId="4D7A2038" w14:textId="77777777" w:rsidR="00E54184" w:rsidRPr="00E54184" w:rsidRDefault="00E54184" w:rsidP="00E54184">
      <w:pPr>
        <w:rPr>
          <w:rFonts w:ascii="Calibri" w:eastAsia="Calibri" w:hAnsi="Calibri" w:cs="Times New Roman"/>
        </w:rPr>
      </w:pPr>
      <w:r w:rsidRPr="00E54184">
        <w:rPr>
          <w:rFonts w:ascii="Calibri" w:eastAsia="Calibri" w:hAnsi="Calibri" w:cs="Times New Roman"/>
          <w:noProof/>
          <w:lang w:eastAsia="en-GB"/>
        </w:rPr>
        <w:lastRenderedPageBreak/>
        <w:drawing>
          <wp:inline distT="0" distB="0" distL="0" distR="0" wp14:anchorId="34B4FDCE" wp14:editId="1E79911E">
            <wp:extent cx="3695700" cy="3708400"/>
            <wp:effectExtent l="0" t="0" r="0" b="6350"/>
            <wp:docPr id="2" name="Picture 2" descr="national-decision-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decision-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95700" cy="3708400"/>
                    </a:xfrm>
                    <a:prstGeom prst="rect">
                      <a:avLst/>
                    </a:prstGeom>
                    <a:noFill/>
                    <a:ln>
                      <a:noFill/>
                    </a:ln>
                  </pic:spPr>
                </pic:pic>
              </a:graphicData>
            </a:graphic>
          </wp:inline>
        </w:drawing>
      </w:r>
      <w:r w:rsidRPr="00E54184">
        <w:rPr>
          <w:rFonts w:ascii="Calibri" w:eastAsia="Calibri" w:hAnsi="Calibri" w:cs="Times New Roman"/>
        </w:rPr>
        <w:t xml:space="preserve"> (nationaldecisionmodel.co.uk-2020)</w:t>
      </w:r>
    </w:p>
    <w:p w14:paraId="6132E76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National Decision Model therefore is a more reliable base at all levels of policing to make the right decisions and create a better service to the public. The only negative about the national decision model is that there may be disagreements at each stage which constitutes as ethical due to different values or beliefs. However this can be justified by the individual and although a third party may not agree with it, it can help them understand the decision.</w:t>
      </w:r>
    </w:p>
    <w:p w14:paraId="78E412D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Analytical products by intelligence experts can be used to show the progress of the implementation of Policing models. These numbers and statistics will show certain relevant information such as knife crime or burglaries in certain areas. These numbers can also be used on a broader scale to show a grander scale of crime statistics such as shown below:</w:t>
      </w:r>
    </w:p>
    <w:p w14:paraId="60B3935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lastRenderedPageBreak/>
        <w:t xml:space="preserve">   </w:t>
      </w:r>
      <w:r w:rsidRPr="00E54184">
        <w:rPr>
          <w:rFonts w:ascii="Calibri" w:eastAsia="Calibri" w:hAnsi="Calibri" w:cs="Times New Roman"/>
          <w:noProof/>
          <w:lang w:eastAsia="en-GB"/>
        </w:rPr>
        <w:drawing>
          <wp:inline distT="0" distB="0" distL="0" distR="0" wp14:anchorId="38C0F81A" wp14:editId="5DFACCDE">
            <wp:extent cx="5731510" cy="3294998"/>
            <wp:effectExtent l="0" t="0" r="2540" b="1270"/>
            <wp:docPr id="3" name="Picture 3" descr="http://researchbriefings.files.parliament.uk/documents/SN04304/assets/2a09c676-d880-4fed-9381-f84db9eb480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researchbriefings.files.parliament.uk/documents/SN04304/assets/2a09c676-d880-4fed-9381-f84db9eb480f.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94998"/>
                    </a:xfrm>
                    <a:prstGeom prst="rect">
                      <a:avLst/>
                    </a:prstGeom>
                    <a:noFill/>
                    <a:ln>
                      <a:noFill/>
                    </a:ln>
                  </pic:spPr>
                </pic:pic>
              </a:graphicData>
            </a:graphic>
          </wp:inline>
        </w:drawing>
      </w:r>
      <w:r w:rsidRPr="00E54184">
        <w:rPr>
          <w:rFonts w:ascii="Calibri" w:eastAsia="Calibri" w:hAnsi="Calibri" w:cs="Times New Roman"/>
        </w:rPr>
        <w:t xml:space="preserve"> (Kirk-Wade-2020)</w:t>
      </w:r>
    </w:p>
    <w:p w14:paraId="6427D375"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Although these statistics can be useful in seeing if certain operations are working in deterring and detecting crime it is important to remember the context and the purpose of the statistics. It is important to think about the motivations on the statistics being collected. Are a department going to inflate knife crime numbers to keep funding of a specialised stop and search team? Are crimes being kept recorded as such even though after officer attendance it is merely a misunderstanding? It is important to remember a quote from former prime minister in the early days of the metropolitan police, Benjamin Disraeli “There are three kinds of lies: lies, damned lies, and statistics.”</w:t>
      </w:r>
    </w:p>
    <w:p w14:paraId="66E81674" w14:textId="77777777" w:rsidR="00E54184" w:rsidRPr="00E54184" w:rsidRDefault="00E54184" w:rsidP="00E54184">
      <w:pPr>
        <w:rPr>
          <w:rFonts w:ascii="Calibri" w:eastAsia="Calibri" w:hAnsi="Calibri" w:cs="Times New Roman"/>
          <w:b/>
        </w:rPr>
      </w:pPr>
      <w:r w:rsidRPr="00E54184">
        <w:rPr>
          <w:rFonts w:ascii="Calibri" w:eastAsia="Calibri" w:hAnsi="Calibri" w:cs="Times New Roman"/>
          <w:b/>
        </w:rPr>
        <w:t>1039 words</w:t>
      </w:r>
    </w:p>
    <w:p w14:paraId="5F7B699D" w14:textId="77777777" w:rsidR="00E54184" w:rsidRDefault="00E54184" w:rsidP="00FF774E">
      <w:pPr>
        <w:spacing w:after="0" w:line="240" w:lineRule="auto"/>
        <w:ind w:left="426"/>
        <w:rPr>
          <w:rFonts w:ascii="Arial" w:eastAsia="Times New Roman" w:hAnsi="Arial" w:cs="Arial"/>
          <w:b/>
          <w:sz w:val="24"/>
          <w:szCs w:val="24"/>
          <w:lang w:eastAsia="en-GB"/>
        </w:rPr>
      </w:pPr>
    </w:p>
    <w:p w14:paraId="559F79AC" w14:textId="77777777" w:rsidR="00FF774E" w:rsidRDefault="00FF774E" w:rsidP="00763CB3">
      <w:pPr>
        <w:spacing w:after="0" w:line="240" w:lineRule="auto"/>
        <w:ind w:left="426"/>
        <w:jc w:val="center"/>
        <w:rPr>
          <w:rFonts w:ascii="Arial" w:eastAsia="Times New Roman" w:hAnsi="Arial" w:cs="Arial"/>
          <w:b/>
          <w:sz w:val="24"/>
          <w:szCs w:val="24"/>
          <w:lang w:eastAsia="en-GB"/>
        </w:rPr>
      </w:pPr>
    </w:p>
    <w:p w14:paraId="1C2BB245" w14:textId="5362CB52" w:rsidR="00BB18E4" w:rsidRDefault="00BB18E4" w:rsidP="00FF774E">
      <w:pPr>
        <w:spacing w:after="0" w:line="240" w:lineRule="auto"/>
        <w:ind w:left="426"/>
        <w:rPr>
          <w:rFonts w:ascii="Arial" w:eastAsia="Times New Roman" w:hAnsi="Arial" w:cs="Arial"/>
          <w:b/>
          <w:sz w:val="24"/>
          <w:szCs w:val="24"/>
          <w:lang w:eastAsia="en-GB"/>
        </w:rPr>
      </w:pPr>
    </w:p>
    <w:p w14:paraId="101EE2DB" w14:textId="02B0EFD4"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51DD3A6E" w14:textId="2F177A62" w:rsidR="00BB18E4" w:rsidRDefault="00BB18E4" w:rsidP="00763CB3">
      <w:pPr>
        <w:spacing w:after="0" w:line="240" w:lineRule="auto"/>
        <w:ind w:left="426"/>
        <w:jc w:val="center"/>
        <w:rPr>
          <w:rFonts w:ascii="Arial" w:eastAsia="Times New Roman" w:hAnsi="Arial" w:cs="Arial"/>
          <w:b/>
          <w:sz w:val="24"/>
          <w:szCs w:val="24"/>
          <w:lang w:eastAsia="en-GB"/>
        </w:rPr>
      </w:pPr>
    </w:p>
    <w:p w14:paraId="41852F90" w14:textId="512AE04D" w:rsidR="009E333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 xml:space="preserve">’. </w:t>
      </w:r>
    </w:p>
    <w:p w14:paraId="0051BFFE" w14:textId="77777777" w:rsidR="00E54184" w:rsidRPr="00E54184" w:rsidRDefault="00E54184" w:rsidP="00E54184">
      <w:pPr>
        <w:overflowPunct w:val="0"/>
        <w:autoSpaceDE w:val="0"/>
        <w:autoSpaceDN w:val="0"/>
        <w:adjustRightInd w:val="0"/>
        <w:spacing w:before="240" w:after="0" w:line="240" w:lineRule="auto"/>
        <w:jc w:val="both"/>
        <w:textAlignment w:val="baseline"/>
        <w:rPr>
          <w:rFonts w:ascii="Calibri" w:eastAsia="Times New Roman" w:hAnsi="Calibri" w:cs="Calibri"/>
          <w:lang w:eastAsia="en-GB"/>
        </w:rPr>
      </w:pPr>
      <w:r w:rsidRPr="00E54184">
        <w:rPr>
          <w:rFonts w:ascii="Calibri" w:eastAsia="Calibri" w:hAnsi="Calibri" w:cs="Calibri"/>
        </w:rPr>
        <w:t xml:space="preserve">The following essay will </w:t>
      </w:r>
      <w:r w:rsidRPr="00E54184">
        <w:rPr>
          <w:rFonts w:ascii="Calibri" w:eastAsia="Times New Roman" w:hAnsi="Calibri" w:cs="Calibri"/>
          <w:lang w:eastAsia="en-GB"/>
        </w:rPr>
        <w:t xml:space="preserve">critically review key issues relating to the complexity and challenges of operational policing. It will also review examples of critical and major incidents and analyse the role of the police within a joint emergency services operation to establish what ‘best practice’ in these incidents. </w:t>
      </w:r>
    </w:p>
    <w:p w14:paraId="5B3F3210"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When attending any incident it is best practice to make sure all the relevant tasks and updates are done promptly and effectively for the best possible outcome. However the need for all tasks and actions to be done to the best of one’s ability at the time navigating the unique problems that may occur during any incident have a greater importance when dealing with major and critical incidents.</w:t>
      </w:r>
    </w:p>
    <w:p w14:paraId="227071E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Before explaining best practice of how to deal with these incidents it is best to define as accurate as possible what a major and critical incident is and the differences between them. “A major incident is an emergency that </w:t>
      </w:r>
      <w:r w:rsidRPr="00E54184">
        <w:rPr>
          <w:rFonts w:ascii="Calibri" w:eastAsia="Calibri" w:hAnsi="Calibri" w:cs="Times New Roman"/>
        </w:rPr>
        <w:lastRenderedPageBreak/>
        <w:t>requires the implementation of special arrangements by one or more of the emergency services, the MHS, or local authority.” (Bryant, R &amp; Bryant, S-2018)</w:t>
      </w:r>
    </w:p>
    <w:p w14:paraId="4ECE3D80"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Critical incidents are any incident whereby the outcome and police decisions will have a great impact on the community, the victim’s family or the victim themselves. Important to remember that any incident can evolve into a critical one if not dealt with effectively. (e.g. a domestic argument turning into a murder if the proper safeguarding precautions are not put into place.) “Critical incidents are also about risk, threat, hazard, concerns, worries, anxieties, consequences, likelihood and analysis. They are about proximate, distal and/or cumulative impact, sometimes aggregate by police leaders in partnership with many other agencies.”( L Alison &amp; J Crego-2008)</w:t>
      </w:r>
    </w:p>
    <w:p w14:paraId="591A332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Within operational policing there are a number of complex challenges when attending incidents. When attending major incidents or incidents that involve multiple agencies to ensure cohesion to maintain safety or investigate a crime. As a first responder it is best practice to use the JESIP (Joint Emergency Services Interoperability Principles) M/ETHANE approach. JESIP was first started to make more efficient and set the ground work for the way the fire and rescue, ambulance services and police cohesively work when attending to multi-agency, major incidents.</w:t>
      </w:r>
    </w:p>
    <w:p w14:paraId="5D28A52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“M/ETHANE is now the recognised common model for passing incident information between services and their control rooms. </w:t>
      </w:r>
    </w:p>
    <w:p w14:paraId="7B55728E"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M Major Incident declared?</w:t>
      </w:r>
    </w:p>
    <w:p w14:paraId="1818AF2B"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E Exact Location</w:t>
      </w:r>
    </w:p>
    <w:p w14:paraId="0604C89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 Type of incident</w:t>
      </w:r>
    </w:p>
    <w:p w14:paraId="008FCC4E"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H Hazards present or suspected</w:t>
      </w:r>
    </w:p>
    <w:p w14:paraId="279D8D7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 Access - routes that are safe to use</w:t>
      </w:r>
    </w:p>
    <w:p w14:paraId="624848B2"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N Number, type, severity of casualties</w:t>
      </w:r>
    </w:p>
    <w:p w14:paraId="0A19CACB"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E Emergency services present and those required” (JESIP-2020)</w:t>
      </w:r>
    </w:p>
    <w:p w14:paraId="1A857BC1"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Although the goals of dealing as a first responder to major incidents is clearly constructed for you to follow there are many obstacles that can hinder your approach to completing all the points of the M/ETHANE acronym. It is important to keep in mind that major and critical incidents can have many different parts to them with many people involved whether this be victims, casualties, perpetrators, Police, ambulance crew, the fire service, or by standers. </w:t>
      </w:r>
    </w:p>
    <w:p w14:paraId="0DE962D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main reason for hindrance this is the human element involved when dealing with major and critical incidents. Although Police are expected to initially as first responders to give the M/ETHANE information to the public control centre this could be interrupted if Police officers need to physically deal with a suspect or subject trying to attack or physically stop an officer achieving their duty. There could also potentially be a casualty or soon to be causality which needs Officer Intervention to protect life.</w:t>
      </w:r>
    </w:p>
    <w:p w14:paraId="4D80E59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next element potentially restricting M/ETHANE information being passed promptly and used effectively is the radio airwave becoming congested. More often than not a dedicated channel will be created for a major incident. However the more services needed the more service members will be attached to the channel. If an individual such as an inspector or a high ranking member of the fire service is passing a lengthy update or command this can clog the airway. Therefore if something time critical is about to take place this information can be delayed in this process.</w:t>
      </w:r>
    </w:p>
    <w:p w14:paraId="64F56AE9"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Another element that could hinder an effective first response is the “red mist” effect. As a major or critical incident is likely to have factors such as saviour injuries or death, the weight of the decisions on the responding </w:t>
      </w:r>
      <w:r w:rsidRPr="00E54184">
        <w:rPr>
          <w:rFonts w:ascii="Calibri" w:eastAsia="Calibri" w:hAnsi="Calibri" w:cs="Times New Roman"/>
        </w:rPr>
        <w:lastRenderedPageBreak/>
        <w:t>officer could cause a rush of adrenaline causing certain information such as exact location or number of people involved in the incident to be missed by the officer.</w:t>
      </w:r>
    </w:p>
    <w:p w14:paraId="3613534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Major incidents that have happened in the UK which have been assessed include the London Bombings that took place on 7</w:t>
      </w:r>
      <w:r w:rsidRPr="00E54184">
        <w:rPr>
          <w:rFonts w:ascii="Calibri" w:eastAsia="Calibri" w:hAnsi="Calibri" w:cs="Times New Roman"/>
          <w:vertAlign w:val="superscript"/>
        </w:rPr>
        <w:t>th</w:t>
      </w:r>
      <w:r w:rsidRPr="00E54184">
        <w:rPr>
          <w:rFonts w:ascii="Calibri" w:eastAsia="Calibri" w:hAnsi="Calibri" w:cs="Times New Roman"/>
        </w:rPr>
        <w:t xml:space="preserve"> July 2005. During this incident 3 bombs were set off in quick succession 52 people died and over 700 were injured. Although Police at the time were able to deal with the fallout of this terrorist attack the following issues were identified for the improvement of their response:</w:t>
      </w:r>
    </w:p>
    <w:p w14:paraId="1E6F5E9B"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It is unacceptable that the emergency services, with the exception of the British</w:t>
      </w:r>
    </w:p>
    <w:p w14:paraId="318D2B8A"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Transport Police, are still not able to communicate by radio when they are underground.</w:t>
      </w:r>
    </w:p>
    <w:p w14:paraId="0FCC0EB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……..the lack of planning to care for people who survived and were traumatised by the attacks. Hundreds of people were left to wander off from the scenes</w:t>
      </w:r>
    </w:p>
    <w:p w14:paraId="225C9A0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London’s emergency plans must be recast to take account of the needs of the individuals involved, rather than focusing solely on impersonal ‘incidents” (Greater London Authority-2006)</w:t>
      </w:r>
    </w:p>
    <w:p w14:paraId="558DF6CD"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Another major incident dealt with more recently by Police was the Manchester Arena Bombings which took place on 22</w:t>
      </w:r>
      <w:r w:rsidRPr="00E54184">
        <w:rPr>
          <w:rFonts w:ascii="Calibri" w:eastAsia="Calibri" w:hAnsi="Calibri" w:cs="Times New Roman"/>
          <w:vertAlign w:val="superscript"/>
        </w:rPr>
        <w:t>nd</w:t>
      </w:r>
      <w:r w:rsidRPr="00E54184">
        <w:rPr>
          <w:rFonts w:ascii="Calibri" w:eastAsia="Calibri" w:hAnsi="Calibri" w:cs="Times New Roman"/>
        </w:rPr>
        <w:t xml:space="preserve"> May 2017 where a series of bombs were set off after a pop concert causing 23 deaths and over 800 were wounded. Like the previously mentioned incident, the Police were mostly successful in dealing with the aftermath however the following critiques were found by the different agencies attending the incident:</w:t>
      </w:r>
    </w:p>
    <w:p w14:paraId="424204C4"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I found MI5 to be protective of its staff and inherently cautious in relation to the release of information. Occasionally this led to differences of opinion with CT Policing, or with me, as regards the content or phrasing of the reports.</w:t>
      </w:r>
    </w:p>
    <w:p w14:paraId="79BDBB6D"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On the police side, some useful learning points from the post-attack reviews came through rather late in the day, with the consequence that they have not been fully integrated into the OIR.” (D. Anderson-2017)</w:t>
      </w:r>
    </w:p>
    <w:p w14:paraId="7ECC37D5"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In conclusion initially responding to major and critical incidents the M/ETHANE model should be used when practical. A multi-agency approach is the best way to tackle major and critical incidents as different agencies can provide unique help when needed in a crisis. To improve the response to major and critical incidents we must improve communication and information sharing with other agencies to be effective.</w:t>
      </w:r>
    </w:p>
    <w:p w14:paraId="7B86F4AA" w14:textId="77777777" w:rsidR="00E54184" w:rsidRPr="00E54184" w:rsidRDefault="00E54184" w:rsidP="00E54184">
      <w:pPr>
        <w:rPr>
          <w:rFonts w:ascii="Calibri" w:eastAsia="Calibri" w:hAnsi="Calibri" w:cs="Times New Roman"/>
        </w:rPr>
      </w:pPr>
    </w:p>
    <w:p w14:paraId="03651B91" w14:textId="77777777" w:rsidR="00E54184" w:rsidRPr="00E54184" w:rsidRDefault="00E54184" w:rsidP="00E54184">
      <w:pPr>
        <w:rPr>
          <w:rFonts w:ascii="Calibri" w:eastAsia="Calibri" w:hAnsi="Calibri" w:cs="Times New Roman"/>
          <w:b/>
        </w:rPr>
      </w:pPr>
      <w:r w:rsidRPr="00E54184">
        <w:rPr>
          <w:rFonts w:ascii="Calibri" w:eastAsia="Calibri" w:hAnsi="Calibri" w:cs="Times New Roman"/>
          <w:b/>
        </w:rPr>
        <w:t>1100 Words</w:t>
      </w:r>
    </w:p>
    <w:p w14:paraId="669F1CE3" w14:textId="01242B94" w:rsidR="00BB18E4" w:rsidRDefault="00BB18E4" w:rsidP="009E333B">
      <w:pPr>
        <w:spacing w:after="0" w:line="240" w:lineRule="auto"/>
        <w:ind w:left="426"/>
        <w:rPr>
          <w:rFonts w:ascii="Arial" w:eastAsia="Times New Roman" w:hAnsi="Arial" w:cs="Arial"/>
          <w:b/>
          <w:sz w:val="24"/>
          <w:szCs w:val="24"/>
          <w:lang w:eastAsia="en-GB"/>
        </w:rPr>
      </w:pPr>
    </w:p>
    <w:p w14:paraId="63A86A96" w14:textId="4F0DE192" w:rsidR="00BB18E4" w:rsidRDefault="00BB18E4" w:rsidP="00763CB3">
      <w:pPr>
        <w:spacing w:after="0" w:line="240" w:lineRule="auto"/>
        <w:ind w:left="426"/>
        <w:jc w:val="center"/>
        <w:rPr>
          <w:rFonts w:ascii="Arial" w:eastAsia="Times New Roman" w:hAnsi="Arial" w:cs="Arial"/>
          <w:b/>
          <w:sz w:val="24"/>
          <w:szCs w:val="24"/>
          <w:lang w:eastAsia="en-GB"/>
        </w:rPr>
      </w:pPr>
    </w:p>
    <w:p w14:paraId="23BEE7FE" w14:textId="77777777" w:rsidR="001934C2" w:rsidRDefault="001934C2" w:rsidP="001934C2">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3272F205" w:rsidR="009178EA" w:rsidRP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p>
    <w:p w14:paraId="5B63B91E" w14:textId="1BC19A67" w:rsidR="00BB18E4" w:rsidRDefault="00BB18E4" w:rsidP="009178EA">
      <w:pPr>
        <w:spacing w:after="0" w:line="240" w:lineRule="auto"/>
        <w:ind w:left="426"/>
        <w:rPr>
          <w:rFonts w:ascii="Arial" w:eastAsia="Times New Roman" w:hAnsi="Arial" w:cs="Arial"/>
          <w:b/>
          <w:sz w:val="24"/>
          <w:szCs w:val="24"/>
          <w:lang w:eastAsia="en-GB"/>
        </w:rPr>
      </w:pPr>
    </w:p>
    <w:p w14:paraId="38205204"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 following essay will analyse the potential links between terrorism and other forms of criminality. It will also discuss how policing the roads assist in counter terrorism investigation.</w:t>
      </w:r>
    </w:p>
    <w:p w14:paraId="4AF72FA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Terrorism has always been a threat to the UK from the IRA (Irish Republican Army) which started in 1919 to Islamic terrorist groups such as Al Qaeda/ISIS (Islamic State of Iraq and Syria) to right wing groups such as combat 18. All of these groups have been identified by the British government to be a threat to the nation for different reasons.</w:t>
      </w:r>
    </w:p>
    <w:p w14:paraId="07EC0F76"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lastRenderedPageBreak/>
        <w:t>“Terrorism is the use or threat of action, both in and outside of the UK, designed to influence any international government organisation or to intimidate the public.  It must also be for the purpose of advancing a political, religious, racial or ideological cause.</w:t>
      </w:r>
    </w:p>
    <w:p w14:paraId="0619C3AA"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Examples include:</w:t>
      </w:r>
    </w:p>
    <w:p w14:paraId="2574012A" w14:textId="77777777" w:rsidR="00E54184" w:rsidRPr="00E54184" w:rsidRDefault="00E54184" w:rsidP="00E54184">
      <w:pPr>
        <w:numPr>
          <w:ilvl w:val="0"/>
          <w:numId w:val="9"/>
        </w:numPr>
        <w:rPr>
          <w:rFonts w:ascii="Calibri" w:eastAsia="Calibri" w:hAnsi="Calibri" w:cs="Times New Roman"/>
        </w:rPr>
      </w:pPr>
      <w:r w:rsidRPr="00E54184">
        <w:rPr>
          <w:rFonts w:ascii="Calibri" w:eastAsia="Calibri" w:hAnsi="Calibri" w:cs="Times New Roman"/>
        </w:rPr>
        <w:t>serious violence against a person or damage to property,</w:t>
      </w:r>
    </w:p>
    <w:p w14:paraId="6E5D68C5" w14:textId="77777777" w:rsidR="00E54184" w:rsidRPr="00E54184" w:rsidRDefault="00E54184" w:rsidP="00E54184">
      <w:pPr>
        <w:numPr>
          <w:ilvl w:val="0"/>
          <w:numId w:val="9"/>
        </w:numPr>
        <w:rPr>
          <w:rFonts w:ascii="Calibri" w:eastAsia="Calibri" w:hAnsi="Calibri" w:cs="Times New Roman"/>
        </w:rPr>
      </w:pPr>
      <w:r w:rsidRPr="00E54184">
        <w:rPr>
          <w:rFonts w:ascii="Calibri" w:eastAsia="Calibri" w:hAnsi="Calibri" w:cs="Times New Roman"/>
        </w:rPr>
        <w:t>endangering a person's life (other than that of the person committing the action),</w:t>
      </w:r>
    </w:p>
    <w:p w14:paraId="10893678" w14:textId="77777777" w:rsidR="00E54184" w:rsidRPr="00E54184" w:rsidRDefault="00E54184" w:rsidP="00E54184">
      <w:pPr>
        <w:numPr>
          <w:ilvl w:val="0"/>
          <w:numId w:val="9"/>
        </w:numPr>
        <w:rPr>
          <w:rFonts w:ascii="Calibri" w:eastAsia="Calibri" w:hAnsi="Calibri" w:cs="Times New Roman"/>
        </w:rPr>
      </w:pPr>
      <w:r w:rsidRPr="00E54184">
        <w:rPr>
          <w:rFonts w:ascii="Calibri" w:eastAsia="Calibri" w:hAnsi="Calibri" w:cs="Times New Roman"/>
        </w:rPr>
        <w:t>creating a serious risk to the health or safety of the public or a section of the public,</w:t>
      </w:r>
    </w:p>
    <w:p w14:paraId="7AFB5875" w14:textId="77777777" w:rsidR="00E54184" w:rsidRPr="00E54184" w:rsidRDefault="00E54184" w:rsidP="00E54184">
      <w:pPr>
        <w:numPr>
          <w:ilvl w:val="0"/>
          <w:numId w:val="9"/>
        </w:numPr>
        <w:rPr>
          <w:rFonts w:ascii="Calibri" w:eastAsia="Calibri" w:hAnsi="Calibri" w:cs="Times New Roman"/>
        </w:rPr>
      </w:pPr>
      <w:r w:rsidRPr="00E54184">
        <w:rPr>
          <w:rFonts w:ascii="Calibri" w:eastAsia="Calibri" w:hAnsi="Calibri" w:cs="Times New Roman"/>
        </w:rPr>
        <w:t>action designed to seriously interfere with or seriously to disrupt an electronic system.”(Crown Prosecution Service-2020)</w:t>
      </w:r>
    </w:p>
    <w:p w14:paraId="177D698E" w14:textId="77777777" w:rsidR="00E54184" w:rsidRPr="00E54184" w:rsidRDefault="00E54184" w:rsidP="00E54184">
      <w:pPr>
        <w:rPr>
          <w:rFonts w:ascii="Calibri" w:eastAsia="Calibri" w:hAnsi="Calibri" w:cs="Times New Roman"/>
        </w:rPr>
      </w:pPr>
    </w:p>
    <w:p w14:paraId="4147398A"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There are many ways that terrorist organisations fund themselves using other forms of criminal activity which finds its way on to the streets of England and Wales. As these groups are often recognised globally as terrorist groups, they will often turn to illegitimate ways to their organisations.</w:t>
      </w:r>
    </w:p>
    <w:p w14:paraId="64772B8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One of the ways terrorist groups do this is by means of drug trafficking. As many illicit substances are illegal in most countries, including the UK, there is a lot of money to make in an unregulated business that we know as the drug trade.  This is prevalent amongst Islamic based terrorist groups where they are based out of countries where opioids are grown. These opioids are then used to produce heroine which is trafficked overseas to make profit.  </w:t>
      </w:r>
    </w:p>
    <w:p w14:paraId="4ACD2C4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Over the past thirty years Afghanistan became the principal worldwide producer/supplier of opium and its derivative heroine. During this period of time Afghanistan’s percentage of worldwide opium production increased to about 93 percent in 2007.</w:t>
      </w:r>
    </w:p>
    <w:p w14:paraId="3C27E0DB"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Afghanistan’s essentially contested or ineffectual national government during this period probably made that country easily accessible for internationally active terrorist groups, such as Al Qaeda, Hezb-i-Islami, the Islamic Movement of Uzbekistan, and for international criminals seeking large quantities of opium/heroin for illegal international markets.” (F, Shanty-2011)</w:t>
      </w:r>
    </w:p>
    <w:p w14:paraId="60E9F538"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Money laundering is a way that terrorist organisations both domestic and international acquire funds. This is done by terrorist organisation setting up seemingly legitimate businesses or charities whom raise money terrorist groups however this money is fraudulently being shown as business earnings or being used for charitable purposes. However this money is used as funds to conduct criminal activity.</w:t>
      </w:r>
    </w:p>
    <w:p w14:paraId="0A71400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“Financial crimes, including tax crimes, money laundering, and terrorist financing, undermine jurisdictions’ political and economic interests and pose a serious threat to national security. Law enforcement authorities working to combat these crimes operate in an environment with limited resources, and advances in technology mean that criminals are using ever more sophisticated methods to avoid detection. Combatting these crimes therefore necessitates a whole of government approach where different financial crime authorities can pool their knowledge and skills to collectively prevent, detect, and enforce these crimes.”(OECD-2019)</w:t>
      </w:r>
    </w:p>
    <w:p w14:paraId="35B15E5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Another way terrorist groups create funds for their activities is by means of human trafficking. This is done either to facilitate the drug trade such as farmers or to be used to gain funds in the sex trade. This is often done by deceiving young attractive females from poor parts of the world with the promise of a better life elsewhere and then being put into the sex trade to earn money for criminal organisations.</w:t>
      </w:r>
    </w:p>
    <w:p w14:paraId="707C6892"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“Just as weapons and narcotics, women and children are sold as commodities on the black market. Human trafficking has developed into a complex industry that annually makes a profit which can be measured in billions of dollars. The proceeds from this lucrative industry are used for financing the operations of terrorist </w:t>
      </w:r>
      <w:r w:rsidRPr="00E54184">
        <w:rPr>
          <w:rFonts w:ascii="Calibri" w:eastAsia="Calibri" w:hAnsi="Calibri" w:cs="Times New Roman"/>
        </w:rPr>
        <w:lastRenderedPageBreak/>
        <w:t>organizations and organized crime groups. Despite the fact that the international community has given more attention to the links between terrorism and drug trafficking, human trafficking ensures a far greater income to these entities.”(A, Prokić-2017)</w:t>
      </w:r>
    </w:p>
    <w:p w14:paraId="6FC4A1BF"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 xml:space="preserve">Policing the roads is an effective way to detect crimes that terrorists use to facilitate their organisations. With the use of intelligence and information sharing with other agencies, car registrations can be linked to criminals attached to terrorist organisations and the criminal activity that they use to establish funds. These car registrations can then be picked up by ANPR(Automatic Number plate Recognition) which can monitor the movement of that vehicle and recording the location that criminal activity could potentially taking place. </w:t>
      </w:r>
    </w:p>
    <w:p w14:paraId="657E0E33"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“ANPR technology is used to help detect, deter and disrupt criminality at a local, force, regional and national level. This includes tackling traveling criminals, Organised Crime Groups and terrorists. ANPR provides lines of enquiry and evidence in the investigation of crime and is used by LEAs throughout England, Wales, Scotland and Northern Ireland. There exists a National Law Enforcement ANPR capability (NAC) which enables LEAs to benefit from operational use of ANPR.” (Home Office-2020)</w:t>
      </w:r>
    </w:p>
    <w:p w14:paraId="2FF3B76F"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Criminals however are finding ways around this tracking strategy by using car rental services and cloning and stealing number plates. Therefore it is good practice to search number plates of vehicles to see if the plates match the vehicle that it is attached to. Although this seems like a tedious task at the time, it could potentially lead to a larger crime investigation if a car is on false plates. In terms of “boots on the grounds” policing, policing the roads is effective in monitoring people’s legitimacy as a Police Constable has the power to stop a car and check details under the Road Traffic Act 1988 as opposed to stopping someone on the street which needs reasonable suspicion that an offence is being committed at that time.</w:t>
      </w:r>
    </w:p>
    <w:p w14:paraId="33D0EF4C" w14:textId="77777777" w:rsidR="00E54184" w:rsidRPr="00E54184" w:rsidRDefault="00E54184" w:rsidP="00E54184">
      <w:pPr>
        <w:rPr>
          <w:rFonts w:ascii="Calibri" w:eastAsia="Calibri" w:hAnsi="Calibri" w:cs="Times New Roman"/>
        </w:rPr>
      </w:pPr>
      <w:r w:rsidRPr="00E54184">
        <w:rPr>
          <w:rFonts w:ascii="Calibri" w:eastAsia="Calibri" w:hAnsi="Calibri" w:cs="Times New Roman"/>
        </w:rPr>
        <w:t>In conclusion, it is important to be aware of the connection between street crime it’s links to terrorist groups when investigating as there could be something more sinister happening behind the scenes. It is also important to keep in mind that although Road policing can be tedious at times, it is a useful tool in deterring organised crime and terrorist groups linked to this activity.</w:t>
      </w:r>
    </w:p>
    <w:p w14:paraId="71790582" w14:textId="77777777" w:rsidR="00E54184" w:rsidRPr="00E54184" w:rsidRDefault="00E54184" w:rsidP="00E54184">
      <w:pPr>
        <w:rPr>
          <w:rFonts w:ascii="Calibri" w:eastAsia="Calibri" w:hAnsi="Calibri" w:cs="Times New Roman"/>
        </w:rPr>
      </w:pPr>
    </w:p>
    <w:p w14:paraId="4AD53055" w14:textId="77777777" w:rsidR="00E54184" w:rsidRPr="00E54184" w:rsidRDefault="00E54184" w:rsidP="00E54184">
      <w:pPr>
        <w:rPr>
          <w:rFonts w:ascii="Calibri" w:eastAsia="Calibri" w:hAnsi="Calibri" w:cs="Times New Roman"/>
          <w:b/>
        </w:rPr>
      </w:pPr>
      <w:r w:rsidRPr="00E54184">
        <w:rPr>
          <w:rFonts w:ascii="Calibri" w:eastAsia="Calibri" w:hAnsi="Calibri" w:cs="Times New Roman"/>
          <w:b/>
        </w:rPr>
        <w:t>1052 Words</w:t>
      </w: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7BFC0201" w:rsidR="00BB18E4" w:rsidRPr="00E54184" w:rsidRDefault="00E54184" w:rsidP="00763CB3">
      <w:pPr>
        <w:spacing w:after="0" w:line="240" w:lineRule="auto"/>
        <w:ind w:left="426"/>
        <w:jc w:val="center"/>
        <w:rPr>
          <w:rFonts w:ascii="Arial" w:eastAsia="Times New Roman" w:hAnsi="Arial" w:cs="Arial"/>
          <w:sz w:val="28"/>
          <w:szCs w:val="28"/>
          <w:lang w:eastAsia="en-GB"/>
        </w:rPr>
      </w:pPr>
      <w:r w:rsidRPr="00E54184">
        <w:rPr>
          <w:rFonts w:ascii="Arial" w:eastAsia="Times New Roman" w:hAnsi="Arial" w:cs="Arial"/>
          <w:sz w:val="28"/>
          <w:szCs w:val="28"/>
          <w:lang w:eastAsia="en-GB"/>
        </w:rPr>
        <w:t xml:space="preserve">Bibliography </w:t>
      </w: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357D8AF"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Cris Burgess BSc (Hons) MSc. (1999). Breaking the rules: Why do people behave in the way they do?. North and East Devon Health Authority's 'Health Forum'</w:t>
      </w:r>
    </w:p>
    <w:p w14:paraId="0C20B71A"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Benjamin Bowling. (2018). Stephen Lawrence: his death changed British law forever but trust in police has yet to recover. Available: https://theconversation.com/stephen-lawrence-his-death-changed-british-law-forever-but-trust-in-police-has-yet-to-recover-95091. Last accessed 13th Dec 2020.</w:t>
      </w:r>
    </w:p>
    <w:p w14:paraId="5E1D07EE"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Jennifer Davis. (2020). </w:t>
      </w:r>
      <w:r w:rsidRPr="00E54184">
        <w:rPr>
          <w:rFonts w:ascii="Verdana" w:eastAsia="Calibri" w:hAnsi="Verdana" w:cs="Times New Roman"/>
          <w:i/>
          <w:iCs/>
          <w:color w:val="000000"/>
          <w:sz w:val="20"/>
          <w:szCs w:val="20"/>
        </w:rPr>
        <w:t>Black Lives Matter in Britain: The Future and the Past.</w:t>
      </w:r>
      <w:r w:rsidRPr="00E54184">
        <w:rPr>
          <w:rFonts w:ascii="Verdana" w:eastAsia="Calibri" w:hAnsi="Verdana" w:cs="Times New Roman"/>
          <w:color w:val="000000"/>
          <w:sz w:val="20"/>
          <w:szCs w:val="20"/>
        </w:rPr>
        <w:t> Available: https://www.historyworkshop.org.uk/black-lives-matter-in-britain-the-future-and-the-past/. Last accessed 13th Dec 2020.</w:t>
      </w:r>
    </w:p>
    <w:p w14:paraId="1AC62B1A"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Andy Myhill (2006). Community engagement in policing Lessons from the literature. National Policing Improvement Agency.</w:t>
      </w:r>
    </w:p>
    <w:p w14:paraId="3F703EAA"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College of Policing. (2020). </w:t>
      </w:r>
      <w:r w:rsidRPr="00E54184">
        <w:rPr>
          <w:rFonts w:ascii="Verdana" w:eastAsia="Calibri" w:hAnsi="Verdana" w:cs="Times New Roman"/>
          <w:i/>
          <w:iCs/>
          <w:color w:val="000000"/>
          <w:sz w:val="20"/>
          <w:szCs w:val="20"/>
        </w:rPr>
        <w:t>Guideline 1: Engaging communities.</w:t>
      </w:r>
      <w:r w:rsidRPr="00E54184">
        <w:rPr>
          <w:rFonts w:ascii="Verdana" w:eastAsia="Calibri" w:hAnsi="Verdana" w:cs="Times New Roman"/>
          <w:color w:val="000000"/>
          <w:sz w:val="20"/>
          <w:szCs w:val="20"/>
        </w:rPr>
        <w:t> Available: https://www.college.police.uk/What-we-do/Standards/Guidelines/Neighbourhood-Policing/Pages/engaging-communities.aspx. Last accessed 13th Dec 2020.</w:t>
      </w:r>
    </w:p>
    <w:p w14:paraId="5020DEC4"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College of Policing. (2020). </w:t>
      </w:r>
      <w:r w:rsidRPr="00E54184">
        <w:rPr>
          <w:rFonts w:ascii="Verdana" w:eastAsia="Calibri" w:hAnsi="Verdana" w:cs="Times New Roman"/>
          <w:i/>
          <w:iCs/>
          <w:color w:val="000000"/>
          <w:sz w:val="20"/>
          <w:szCs w:val="20"/>
        </w:rPr>
        <w:t>Engagement and communication.</w:t>
      </w:r>
      <w:r w:rsidRPr="00E54184">
        <w:rPr>
          <w:rFonts w:ascii="Verdana" w:eastAsia="Calibri" w:hAnsi="Verdana" w:cs="Times New Roman"/>
          <w:color w:val="000000"/>
          <w:sz w:val="20"/>
          <w:szCs w:val="20"/>
        </w:rPr>
        <w:t> Available:</w:t>
      </w:r>
      <w:r w:rsidRPr="00E54184">
        <w:rPr>
          <w:rFonts w:ascii="Calibri" w:eastAsia="Calibri" w:hAnsi="Calibri" w:cs="Times New Roman"/>
        </w:rPr>
        <w:t xml:space="preserve"> </w:t>
      </w:r>
      <w:r w:rsidRPr="00E54184">
        <w:rPr>
          <w:rFonts w:ascii="Verdana" w:eastAsia="Calibri" w:hAnsi="Verdana" w:cs="Times New Roman"/>
          <w:color w:val="000000"/>
          <w:sz w:val="20"/>
          <w:szCs w:val="20"/>
        </w:rPr>
        <w:t>https://www.app.college.police.uk/app-content/engagement-and-communication/engaging-with-communities/. Last accessed 13th Dec 2020.</w:t>
      </w:r>
    </w:p>
    <w:p w14:paraId="180EEB55"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Herman Goldstein. (2001). </w:t>
      </w:r>
      <w:r w:rsidRPr="00E54184">
        <w:rPr>
          <w:rFonts w:ascii="Verdana" w:eastAsia="Calibri" w:hAnsi="Verdana" w:cs="Times New Roman"/>
          <w:i/>
          <w:iCs/>
          <w:color w:val="000000"/>
          <w:sz w:val="20"/>
          <w:szCs w:val="20"/>
        </w:rPr>
        <w:t>The SARA Model.</w:t>
      </w:r>
      <w:r w:rsidRPr="00E54184">
        <w:rPr>
          <w:rFonts w:ascii="Verdana" w:eastAsia="Calibri" w:hAnsi="Verdana" w:cs="Times New Roman"/>
          <w:color w:val="000000"/>
          <w:sz w:val="20"/>
          <w:szCs w:val="20"/>
        </w:rPr>
        <w:t> Available: https://popcenter.asu.edu/content/sara-model-0. Last accessed 16th Dec 2020.</w:t>
      </w:r>
    </w:p>
    <w:p w14:paraId="0F66E576"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lastRenderedPageBreak/>
        <w:t>College of Policing. (2013). </w:t>
      </w:r>
      <w:r w:rsidRPr="00E54184">
        <w:rPr>
          <w:rFonts w:ascii="Verdana" w:eastAsia="Calibri" w:hAnsi="Verdana" w:cs="Times New Roman"/>
          <w:i/>
          <w:iCs/>
          <w:color w:val="000000"/>
          <w:sz w:val="20"/>
          <w:szCs w:val="20"/>
        </w:rPr>
        <w:t>Intelligence management.</w:t>
      </w:r>
      <w:r w:rsidRPr="00E54184">
        <w:rPr>
          <w:rFonts w:ascii="Verdana" w:eastAsia="Calibri" w:hAnsi="Verdana" w:cs="Times New Roman"/>
          <w:color w:val="000000"/>
          <w:sz w:val="20"/>
          <w:szCs w:val="20"/>
        </w:rPr>
        <w:t> Available: https://www.app.college.police.uk/app-content/intelligence-management/analysis/. Last accessed 13th Dec 2020.</w:t>
      </w:r>
    </w:p>
    <w:p w14:paraId="797DA193"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George Mason University. </w:t>
      </w:r>
      <w:r w:rsidRPr="00E54184">
        <w:rPr>
          <w:rFonts w:ascii="Verdana" w:eastAsia="Calibri" w:hAnsi="Verdana" w:cs="Times New Roman"/>
          <w:i/>
          <w:iCs/>
          <w:color w:val="000000"/>
          <w:sz w:val="20"/>
          <w:szCs w:val="20"/>
        </w:rPr>
        <w:t>What is Problem-Oriented Policing?.</w:t>
      </w:r>
      <w:r w:rsidRPr="00E54184">
        <w:rPr>
          <w:rFonts w:ascii="Verdana" w:eastAsia="Calibri" w:hAnsi="Verdana" w:cs="Times New Roman"/>
          <w:color w:val="000000"/>
          <w:sz w:val="20"/>
          <w:szCs w:val="20"/>
        </w:rPr>
        <w:t> Available: https://cebcp.org/evidence-based-policing/what-works-in-policing/research-evidence-review/problem-oriented-policing/. Last accessed 13th Dec 2020.</w:t>
      </w:r>
    </w:p>
    <w:p w14:paraId="63AC9011"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National Decision Model. </w:t>
      </w:r>
      <w:r w:rsidRPr="00E54184">
        <w:rPr>
          <w:rFonts w:ascii="Verdana" w:eastAsia="Calibri" w:hAnsi="Verdana" w:cs="Times New Roman"/>
          <w:i/>
          <w:iCs/>
          <w:color w:val="000000"/>
          <w:sz w:val="20"/>
          <w:szCs w:val="20"/>
        </w:rPr>
        <w:t>The National Decision Model.</w:t>
      </w:r>
      <w:r w:rsidRPr="00E54184">
        <w:rPr>
          <w:rFonts w:ascii="Verdana" w:eastAsia="Calibri" w:hAnsi="Verdana" w:cs="Times New Roman"/>
          <w:color w:val="000000"/>
          <w:sz w:val="20"/>
          <w:szCs w:val="20"/>
        </w:rPr>
        <w:t> Available: https://www.nationaldecisionmodel.co.uk/. Last accessed 13th Dec 2020.</w:t>
      </w:r>
    </w:p>
    <w:p w14:paraId="6E1FCC31"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Esme Kirk-Wade. (October 2020). Knife crime statistics. </w:t>
      </w:r>
      <w:r w:rsidRPr="00E54184">
        <w:rPr>
          <w:rFonts w:ascii="Verdana" w:eastAsia="Calibri" w:hAnsi="Verdana" w:cs="Times New Roman"/>
          <w:i/>
          <w:iCs/>
          <w:color w:val="000000"/>
          <w:sz w:val="20"/>
          <w:szCs w:val="20"/>
        </w:rPr>
        <w:t>House of Commons Library: Research Briefing</w:t>
      </w:r>
    </w:p>
    <w:p w14:paraId="54E962D8"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Bryant, R and Bryant, S (2018). Blackstone’s handbook for Policing Students. 13th ed. Oxford, UK: Oxford University Press. P732</w:t>
      </w:r>
    </w:p>
    <w:p w14:paraId="1881D9CE" w14:textId="77777777" w:rsidR="00E54184" w:rsidRPr="00E54184" w:rsidRDefault="00E54184" w:rsidP="00E54184">
      <w:pPr>
        <w:numPr>
          <w:ilvl w:val="0"/>
          <w:numId w:val="14"/>
        </w:numPr>
        <w:contextualSpacing/>
        <w:rPr>
          <w:rFonts w:ascii="Calibri" w:eastAsia="Calibri" w:hAnsi="Calibri" w:cs="Times New Roman"/>
        </w:rPr>
      </w:pPr>
      <w:r w:rsidRPr="00E54184">
        <w:rPr>
          <w:rFonts w:ascii="Verdana" w:eastAsia="Calibri" w:hAnsi="Verdana" w:cs="Times New Roman"/>
          <w:color w:val="000000"/>
          <w:sz w:val="20"/>
          <w:szCs w:val="20"/>
        </w:rPr>
        <w:t>Willian Publishing. (2008). In: Laurence Alison &amp; Jonathan Crego </w:t>
      </w:r>
      <w:r w:rsidRPr="00E54184">
        <w:rPr>
          <w:rFonts w:ascii="Verdana" w:eastAsia="Calibri" w:hAnsi="Verdana" w:cs="Times New Roman"/>
          <w:i/>
          <w:iCs/>
          <w:color w:val="000000"/>
          <w:sz w:val="20"/>
          <w:szCs w:val="20"/>
        </w:rPr>
        <w:t>Policing Critical Incidents:Leadership and Critical Incident Management </w:t>
      </w:r>
      <w:r w:rsidRPr="00E54184">
        <w:rPr>
          <w:rFonts w:ascii="Verdana" w:eastAsia="Calibri" w:hAnsi="Verdana" w:cs="Times New Roman"/>
          <w:color w:val="000000"/>
          <w:sz w:val="20"/>
          <w:szCs w:val="20"/>
        </w:rPr>
        <w:t>. Devon: Willan Publishing.</w:t>
      </w:r>
    </w:p>
    <w:p w14:paraId="488D6570"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JESIP. (2020). M/ETHANE. Available: https://www.jesip.org.uk/methane. Last accessed 15th Dec 2020.</w:t>
      </w:r>
    </w:p>
    <w:p w14:paraId="73795CF7"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Greater London Authority. (2006). Report of the 7 July Review Committee. London Assembly, p120.</w:t>
      </w:r>
    </w:p>
    <w:p w14:paraId="11F0636C"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David Anderson. (2017). INDEPENDENT ASSESSMENT OF MI5 AND POLICE INTERNAL REVIEWS. ATTACKS IN LONDON AND MANCHESTER. . (.), p49.</w:t>
      </w:r>
    </w:p>
    <w:p w14:paraId="4E22EB18"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Crown Prosecution Service. (2020). </w:t>
      </w:r>
      <w:r w:rsidRPr="00E54184">
        <w:rPr>
          <w:rFonts w:ascii="Calibri" w:eastAsia="Calibri" w:hAnsi="Calibri" w:cs="Times New Roman"/>
          <w:i/>
          <w:iCs/>
        </w:rPr>
        <w:t>Terrorism.</w:t>
      </w:r>
      <w:r w:rsidRPr="00E54184">
        <w:rPr>
          <w:rFonts w:ascii="Calibri" w:eastAsia="Calibri" w:hAnsi="Calibri" w:cs="Times New Roman"/>
        </w:rPr>
        <w:t> Available: https://www.cps.gov.uk/crime-info/terrorism#:~:text=Terrorism%20is%20the%20use%20or,religious%2C%20racial%20or%20ideological%20cause. Last accessed 16th Dec 2020.</w:t>
      </w:r>
    </w:p>
    <w:p w14:paraId="2CA1CEC9"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Frank Shanty (2011). </w:t>
      </w:r>
      <w:r w:rsidRPr="00E54184">
        <w:rPr>
          <w:rFonts w:ascii="Calibri" w:eastAsia="Calibri" w:hAnsi="Calibri" w:cs="Times New Roman"/>
          <w:i/>
          <w:iCs/>
        </w:rPr>
        <w:t>The Nexus: International Terrorism and Drug Trafficking from Afghanistan</w:t>
      </w:r>
      <w:r w:rsidRPr="00E54184">
        <w:rPr>
          <w:rFonts w:ascii="Calibri" w:eastAsia="Calibri" w:hAnsi="Calibri" w:cs="Times New Roman"/>
        </w:rPr>
        <w:t>. California: Praeger. p20.</w:t>
      </w:r>
    </w:p>
    <w:p w14:paraId="5686D168"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OECD. (2019). Money Laundering and Terrorist Financing Awareness Handbook for Tax Examiners and Tax Auditors. OECD.</w:t>
      </w:r>
    </w:p>
    <w:p w14:paraId="0D1C5B33"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Ana Prokić. (2017). THE LINK BETWEEN ORGANIZED CRIME AND TERRORISM. </w:t>
      </w:r>
      <w:r w:rsidRPr="00E54184">
        <w:rPr>
          <w:rFonts w:ascii="Calibri" w:eastAsia="Calibri" w:hAnsi="Calibri" w:cs="Times New Roman"/>
          <w:i/>
          <w:iCs/>
        </w:rPr>
        <w:t>, University of Niš, Republic of Serbia: Law and Politics</w:t>
      </w:r>
      <w:r w:rsidRPr="00E54184">
        <w:rPr>
          <w:rFonts w:ascii="Calibri" w:eastAsia="Calibri" w:hAnsi="Calibri" w:cs="Times New Roman"/>
        </w:rPr>
        <w:t>. 15 (.), p85-p94</w:t>
      </w:r>
    </w:p>
    <w:p w14:paraId="13E373E5" w14:textId="77777777" w:rsidR="00E54184" w:rsidRPr="00E54184" w:rsidRDefault="00E54184" w:rsidP="00E54184">
      <w:pPr>
        <w:numPr>
          <w:ilvl w:val="0"/>
          <w:numId w:val="14"/>
        </w:numPr>
        <w:contextualSpacing/>
        <w:rPr>
          <w:rFonts w:ascii="Calibri" w:eastAsia="Calibri" w:hAnsi="Calibri" w:cs="Times New Roman"/>
        </w:rPr>
      </w:pPr>
      <w:r w:rsidRPr="00E54184">
        <w:rPr>
          <w:rFonts w:ascii="Calibri" w:eastAsia="Calibri" w:hAnsi="Calibri" w:cs="Times New Roman"/>
        </w:rPr>
        <w:t>Home Office. (2020). National ANPR Standards for Policing and Law Enforcement. 2.1. p8.</w:t>
      </w: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bookmarkStart w:id="0" w:name="_GoBack"/>
      <w:bookmarkEnd w:id="0"/>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lastRenderedPageBreak/>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BD63FE">
          <w:headerReference w:type="even" r:id="rId16"/>
          <w:headerReference w:type="default" r:id="rId17"/>
          <w:footerReference w:type="even" r:id="rId18"/>
          <w:footerReference w:type="default" r:id="rId19"/>
          <w:headerReference w:type="first" r:id="rId20"/>
          <w:footerReference w:type="first" r:id="rId21"/>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D63FE">
          <w:headerReference w:type="even" r:id="rId22"/>
          <w:headerReference w:type="default" r:id="rId23"/>
          <w:footerReference w:type="even" r:id="rId24"/>
          <w:footerReference w:type="default" r:id="rId25"/>
          <w:headerReference w:type="first" r:id="rId26"/>
          <w:footerReference w:type="first" r:id="rId27"/>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D63FE">
          <w:headerReference w:type="even" r:id="rId28"/>
          <w:headerReference w:type="default" r:id="rId29"/>
          <w:footerReference w:type="even" r:id="rId30"/>
          <w:footerReference w:type="default" r:id="rId31"/>
          <w:headerReference w:type="first" r:id="rId32"/>
          <w:footerReference w:type="first" r:id="rId33"/>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BD63FE">
      <w:headerReference w:type="even" r:id="rId34"/>
      <w:headerReference w:type="default" r:id="rId35"/>
      <w:footerReference w:type="even" r:id="rId36"/>
      <w:footerReference w:type="default" r:id="rId37"/>
      <w:headerReference w:type="first" r:id="rId38"/>
      <w:footerReference w:type="first" r:id="rId39"/>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57E60" w14:textId="493516F3" w:rsidR="00BD63FE" w:rsidRDefault="006E1256" w:rsidP="006E1256">
    <w:pPr>
      <w:pStyle w:val="Footer"/>
      <w:rPr>
        <w:color w:val="000000"/>
        <w:sz w:val="17"/>
      </w:rPr>
    </w:pPr>
    <w:bookmarkStart w:id="3" w:name="TITUS1FooterEvenPages"/>
    <w:r>
      <w:rPr>
        <w:color w:val="000000"/>
        <w:sz w:val="17"/>
      </w:rPr>
      <w:t> </w:t>
    </w:r>
  </w:p>
  <w:bookmarkEnd w:id="3"/>
  <w:p w14:paraId="2F30D4C8" w14:textId="0CBAEFA1" w:rsidR="00BD63FE" w:rsidRDefault="00BD63FE" w:rsidP="00BD63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E1256">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E1256">
      <w:rPr>
        <w:b/>
        <w:noProof/>
      </w:rPr>
      <w:t>24</w:t>
    </w:r>
    <w:r>
      <w:rPr>
        <w:b/>
        <w:sz w:val="24"/>
        <w:szCs w:val="24"/>
      </w:rPr>
      <w:fldChar w:fldCharType="end"/>
    </w:r>
  </w:p>
  <w:p w14:paraId="7F5FC6C2" w14:textId="77777777" w:rsidR="00BD63FE" w:rsidRDefault="00BD63FE" w:rsidP="00BD63FE">
    <w:pPr>
      <w:pStyle w:val="Footer"/>
      <w:jc w:val="right"/>
      <w:rPr>
        <w:sz w:val="16"/>
      </w:rPr>
    </w:pPr>
  </w:p>
  <w:p w14:paraId="04AF01A9" w14:textId="77777777" w:rsidR="00BD63FE" w:rsidRDefault="00BD63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79731B" w14:textId="6A1E12E2" w:rsidR="00BD63FE" w:rsidRDefault="006E1256" w:rsidP="006E1256">
    <w:pPr>
      <w:pStyle w:val="Footer"/>
      <w:rPr>
        <w:color w:val="000000"/>
        <w:sz w:val="17"/>
      </w:rPr>
    </w:pPr>
    <w:bookmarkStart w:id="4" w:name="TITUS1FooterPrimary"/>
    <w:r>
      <w:rPr>
        <w:color w:val="000000"/>
        <w:sz w:val="17"/>
      </w:rPr>
      <w:t> </w:t>
    </w:r>
  </w:p>
  <w:bookmarkEnd w:id="4"/>
  <w:p w14:paraId="74CEE6CC" w14:textId="76A400C2"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E1256">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E1256">
      <w:rPr>
        <w:b/>
        <w:noProof/>
      </w:rPr>
      <w:t>24</w:t>
    </w:r>
    <w:r>
      <w:rPr>
        <w:b/>
        <w:sz w:val="24"/>
        <w:szCs w:val="24"/>
      </w:rPr>
      <w:fldChar w:fldCharType="end"/>
    </w:r>
  </w:p>
  <w:p w14:paraId="40790BA2" w14:textId="77777777" w:rsidR="00152E9D" w:rsidRDefault="006E125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7BB74A" w14:textId="7A4E9A99" w:rsidR="00BD63FE" w:rsidRDefault="006E1256" w:rsidP="006E1256">
    <w:pPr>
      <w:pStyle w:val="Footer"/>
      <w:rPr>
        <w:color w:val="000000"/>
        <w:sz w:val="17"/>
      </w:rPr>
    </w:pPr>
    <w:bookmarkStart w:id="6" w:name="TITUS1FooterFirstPage"/>
    <w:r>
      <w:rPr>
        <w:color w:val="000000"/>
        <w:sz w:val="17"/>
      </w:rPr>
      <w:t> </w:t>
    </w:r>
  </w:p>
  <w:bookmarkEnd w:id="6"/>
  <w:p w14:paraId="26023861" w14:textId="1990F2EE" w:rsidR="00BD63FE" w:rsidRDefault="00BD63FE" w:rsidP="00BD63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E125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E1256">
      <w:rPr>
        <w:b/>
        <w:noProof/>
      </w:rPr>
      <w:t>24</w:t>
    </w:r>
    <w:r>
      <w:rPr>
        <w:b/>
        <w:sz w:val="24"/>
        <w:szCs w:val="24"/>
      </w:rPr>
      <w:fldChar w:fldCharType="end"/>
    </w:r>
  </w:p>
  <w:p w14:paraId="3E39A772" w14:textId="77777777" w:rsidR="00BD63FE" w:rsidRDefault="00BD63FE" w:rsidP="00BD63FE">
    <w:pPr>
      <w:pStyle w:val="Footer"/>
      <w:jc w:val="right"/>
      <w:rPr>
        <w:sz w:val="16"/>
      </w:rPr>
    </w:pPr>
  </w:p>
  <w:p w14:paraId="10097F41" w14:textId="77777777" w:rsidR="00BD63FE" w:rsidRDefault="00BD63F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F27BB" w14:textId="1C10B050" w:rsidR="00BD63FE" w:rsidRDefault="006E1256" w:rsidP="006E1256">
    <w:pPr>
      <w:pStyle w:val="Footer"/>
      <w:rPr>
        <w:color w:val="000000"/>
        <w:sz w:val="17"/>
      </w:rPr>
    </w:pPr>
    <w:bookmarkStart w:id="9" w:name="TITUS2FooterEvenPages"/>
    <w:r>
      <w:rPr>
        <w:color w:val="000000"/>
        <w:sz w:val="17"/>
      </w:rPr>
      <w:t> </w:t>
    </w:r>
  </w:p>
  <w:bookmarkEnd w:id="9"/>
  <w:p w14:paraId="0B0BFE9F" w14:textId="77777777" w:rsidR="00BD63FE" w:rsidRDefault="00BD63FE" w:rsidP="00BD63FE">
    <w:pPr>
      <w:pStyle w:val="Footer"/>
      <w:jc w:val="center"/>
    </w:pPr>
  </w:p>
  <w:p w14:paraId="6073D86B" w14:textId="32A662F2" w:rsidR="00BD63FE" w:rsidRDefault="00BD63FE" w:rsidP="00BD63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4184">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4184">
      <w:rPr>
        <w:b/>
        <w:noProof/>
      </w:rPr>
      <w:t>23</w:t>
    </w:r>
    <w:r>
      <w:rPr>
        <w:b/>
        <w:sz w:val="24"/>
        <w:szCs w:val="24"/>
      </w:rPr>
      <w:fldChar w:fldCharType="end"/>
    </w:r>
  </w:p>
  <w:p w14:paraId="57427682" w14:textId="77777777" w:rsidR="00BD63FE" w:rsidRDefault="00BD63FE" w:rsidP="00BD63FE">
    <w:pPr>
      <w:pStyle w:val="Footer"/>
      <w:jc w:val="right"/>
      <w:rPr>
        <w:sz w:val="16"/>
      </w:rPr>
    </w:pPr>
  </w:p>
  <w:p w14:paraId="2BC94773" w14:textId="77777777" w:rsidR="00BD63FE" w:rsidRDefault="00BD63F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0DE5645F" w:rsidR="00152E9D" w:rsidRDefault="006E1256" w:rsidP="006E1256">
    <w:pPr>
      <w:pStyle w:val="Footer"/>
      <w:rPr>
        <w:color w:val="000000"/>
        <w:sz w:val="17"/>
      </w:rPr>
    </w:pPr>
    <w:bookmarkStart w:id="10" w:name="TITUS2FooterPrimary"/>
    <w:r>
      <w:rPr>
        <w:color w:val="000000"/>
        <w:sz w:val="17"/>
      </w:rPr>
      <w:t> </w:t>
    </w:r>
  </w:p>
  <w:bookmarkEnd w:id="10"/>
  <w:p w14:paraId="1A1D5A84" w14:textId="77777777" w:rsidR="00BD63FE" w:rsidRDefault="00BD63F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9A0C19" w14:textId="023B0655" w:rsidR="00BD63FE" w:rsidRDefault="006E1256" w:rsidP="006E1256">
    <w:pPr>
      <w:pStyle w:val="Footer"/>
      <w:rPr>
        <w:color w:val="000000"/>
        <w:sz w:val="17"/>
      </w:rPr>
    </w:pPr>
    <w:bookmarkStart w:id="12" w:name="TITUS2FooterFirstPage"/>
    <w:r>
      <w:rPr>
        <w:color w:val="000000"/>
        <w:sz w:val="17"/>
      </w:rPr>
      <w:t> </w:t>
    </w:r>
  </w:p>
  <w:bookmarkEnd w:id="12"/>
  <w:p w14:paraId="6BB47612" w14:textId="77777777" w:rsidR="00BD63FE" w:rsidRDefault="00BD63F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8E9DEA" w14:textId="2AA7FB8A" w:rsidR="00BD63FE" w:rsidRDefault="006E1256" w:rsidP="006E1256">
    <w:pPr>
      <w:pStyle w:val="Footer"/>
      <w:rPr>
        <w:color w:val="000000"/>
        <w:sz w:val="17"/>
      </w:rPr>
    </w:pPr>
    <w:bookmarkStart w:id="15" w:name="TITUS3FooterEvenPages"/>
    <w:r>
      <w:rPr>
        <w:color w:val="000000"/>
        <w:sz w:val="17"/>
      </w:rPr>
      <w:t> </w:t>
    </w:r>
  </w:p>
  <w:bookmarkEnd w:id="15"/>
  <w:p w14:paraId="33A8F05C" w14:textId="77777777" w:rsidR="00BD63FE" w:rsidRDefault="00BD63FE" w:rsidP="00BD63FE">
    <w:pPr>
      <w:pStyle w:val="Footer"/>
      <w:jc w:val="center"/>
    </w:pPr>
  </w:p>
  <w:p w14:paraId="3B4CE576" w14:textId="77777777" w:rsidR="00BD63FE" w:rsidRDefault="00BD63FE" w:rsidP="00BD63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100BB656" w14:textId="77777777" w:rsidR="00BD63FE" w:rsidRDefault="00BD63FE" w:rsidP="00BD63FE">
    <w:pPr>
      <w:pStyle w:val="Footer"/>
      <w:jc w:val="right"/>
      <w:rPr>
        <w:sz w:val="16"/>
      </w:rPr>
    </w:pPr>
  </w:p>
  <w:p w14:paraId="2C5ECC3F" w14:textId="77777777" w:rsidR="00BD63FE" w:rsidRDefault="00BD63F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CFF436" w14:textId="16DCF623" w:rsidR="00BD63FE" w:rsidRDefault="006E1256" w:rsidP="006E1256">
    <w:pPr>
      <w:pStyle w:val="Footer"/>
      <w:rPr>
        <w:color w:val="000000"/>
        <w:sz w:val="17"/>
      </w:rPr>
    </w:pPr>
    <w:bookmarkStart w:id="16" w:name="TITUS3FooterPrimary"/>
    <w:r>
      <w:rPr>
        <w:color w:val="000000"/>
        <w:sz w:val="17"/>
      </w:rPr>
      <w:t> </w:t>
    </w:r>
  </w:p>
  <w:bookmarkEnd w:id="16"/>
  <w:p w14:paraId="35EE6731" w14:textId="77777777" w:rsidR="00BD63FE" w:rsidRDefault="00BD63F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18A4B" w14:textId="15CA7281" w:rsidR="00BD63FE" w:rsidRDefault="006E1256" w:rsidP="006E1256">
    <w:pPr>
      <w:pStyle w:val="Footer"/>
      <w:rPr>
        <w:color w:val="000000"/>
        <w:sz w:val="17"/>
      </w:rPr>
    </w:pPr>
    <w:bookmarkStart w:id="18" w:name="TITUS3FooterFirstPage"/>
    <w:r>
      <w:rPr>
        <w:color w:val="000000"/>
        <w:sz w:val="17"/>
      </w:rPr>
      <w:t> </w:t>
    </w:r>
  </w:p>
  <w:bookmarkEnd w:id="18"/>
  <w:p w14:paraId="3F35353F" w14:textId="77777777" w:rsidR="00BD63FE" w:rsidRDefault="00BD63FE" w:rsidP="00BD63FE">
    <w:pPr>
      <w:pStyle w:val="Footer"/>
      <w:jc w:val="right"/>
      <w:rPr>
        <w:sz w:val="16"/>
      </w:rPr>
    </w:pPr>
  </w:p>
  <w:p w14:paraId="3199E9CB" w14:textId="77777777" w:rsidR="00BD63FE" w:rsidRDefault="00BD63F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E2D0A" w14:textId="62D0C87E" w:rsidR="00BD63FE" w:rsidRDefault="006E1256" w:rsidP="006E1256">
    <w:pPr>
      <w:pStyle w:val="Footer"/>
      <w:rPr>
        <w:color w:val="000000"/>
        <w:sz w:val="17"/>
      </w:rPr>
    </w:pPr>
    <w:bookmarkStart w:id="21" w:name="TITUS4FooterEvenPages"/>
    <w:r>
      <w:rPr>
        <w:color w:val="000000"/>
        <w:sz w:val="17"/>
      </w:rPr>
      <w:t> </w:t>
    </w:r>
  </w:p>
  <w:bookmarkEnd w:id="21"/>
  <w:p w14:paraId="6609D589" w14:textId="77777777" w:rsidR="00BD63FE" w:rsidRDefault="00BD63FE" w:rsidP="00BD63FE">
    <w:pPr>
      <w:pStyle w:val="Footer"/>
      <w:jc w:val="center"/>
    </w:pPr>
  </w:p>
  <w:p w14:paraId="18029F71" w14:textId="77777777" w:rsidR="00BD63FE" w:rsidRDefault="00BD63FE" w:rsidP="00BD63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37AB7E7A" w14:textId="77777777" w:rsidR="00BD63FE" w:rsidRDefault="00BD63FE" w:rsidP="00BD63FE">
    <w:pPr>
      <w:pStyle w:val="Footer"/>
      <w:jc w:val="right"/>
      <w:rPr>
        <w:sz w:val="16"/>
      </w:rPr>
    </w:pPr>
  </w:p>
  <w:p w14:paraId="491FF2A6" w14:textId="77777777" w:rsidR="00BD63FE" w:rsidRDefault="00BD63F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FA64F3" w14:textId="5B0C9046" w:rsidR="00BD63FE" w:rsidRDefault="006E1256" w:rsidP="006E1256">
    <w:pPr>
      <w:pStyle w:val="Footer"/>
      <w:rPr>
        <w:color w:val="000000"/>
        <w:sz w:val="17"/>
      </w:rPr>
    </w:pPr>
    <w:bookmarkStart w:id="22" w:name="TITUS4FooterPrimary"/>
    <w:r>
      <w:rPr>
        <w:color w:val="000000"/>
        <w:sz w:val="17"/>
      </w:rPr>
      <w:t> </w:t>
    </w:r>
  </w:p>
  <w:bookmarkEnd w:id="22"/>
  <w:p w14:paraId="008246A9" w14:textId="77777777" w:rsidR="00BD63FE" w:rsidRDefault="00BD63FE">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78FEC" w14:textId="0BB70998" w:rsidR="00BD63FE" w:rsidRDefault="006E1256" w:rsidP="006E1256">
    <w:pPr>
      <w:pStyle w:val="Footer"/>
      <w:rPr>
        <w:color w:val="000000"/>
        <w:sz w:val="17"/>
      </w:rPr>
    </w:pPr>
    <w:bookmarkStart w:id="24" w:name="TITUS4FooterFirstPage"/>
    <w:r>
      <w:rPr>
        <w:color w:val="000000"/>
        <w:sz w:val="17"/>
      </w:rPr>
      <w:t> </w:t>
    </w:r>
  </w:p>
  <w:bookmarkEnd w:id="24"/>
  <w:p w14:paraId="374D1934" w14:textId="77777777" w:rsidR="00BD63FE" w:rsidRDefault="00BD63FE" w:rsidP="00BD63FE">
    <w:pPr>
      <w:pStyle w:val="Footer"/>
      <w:jc w:val="right"/>
      <w:rPr>
        <w:sz w:val="16"/>
      </w:rPr>
    </w:pPr>
  </w:p>
  <w:p w14:paraId="6EDFE644" w14:textId="77777777" w:rsidR="00BD63FE" w:rsidRDefault="00BD6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2C48B" w14:textId="1B54A39A" w:rsidR="006E1256" w:rsidRDefault="006E1256" w:rsidP="006E1256">
    <w:pPr>
      <w:pStyle w:val="Header"/>
      <w:rPr>
        <w:color w:val="000000"/>
        <w:sz w:val="17"/>
      </w:rPr>
    </w:pPr>
    <w:bookmarkStart w:id="1" w:name="TITUS1HeaderEvenPages"/>
    <w:r w:rsidRPr="006E1256">
      <w:rPr>
        <w:color w:val="000000"/>
        <w:sz w:val="17"/>
      </w:rPr>
      <w:t> </w:t>
    </w:r>
  </w:p>
  <w:bookmarkEnd w:id="1"/>
  <w:p w14:paraId="0A0203C1" w14:textId="77777777" w:rsidR="006E1256" w:rsidRDefault="006E1256" w:rsidP="006E1256">
    <w:pPr>
      <w:pStyle w:val="Header"/>
    </w:pPr>
  </w:p>
  <w:p w14:paraId="0FD5CEA4" w14:textId="77777777" w:rsidR="00BD63FE" w:rsidRDefault="00BD63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5AC1B" w14:textId="5A441224" w:rsidR="00BD63FE" w:rsidRDefault="006E1256" w:rsidP="006E1256">
    <w:pPr>
      <w:pStyle w:val="Header"/>
      <w:rPr>
        <w:color w:val="000000"/>
        <w:sz w:val="17"/>
      </w:rPr>
    </w:pPr>
    <w:bookmarkStart w:id="2" w:name="TITUS1HeaderPrimary"/>
    <w:r>
      <w:rPr>
        <w:color w:val="000000"/>
        <w:sz w:val="17"/>
      </w:rPr>
      <w:t> </w:t>
    </w:r>
  </w:p>
  <w:bookmarkEnd w:id="2"/>
  <w:p w14:paraId="68931CA7" w14:textId="77777777" w:rsidR="00BD63FE" w:rsidRDefault="00BD63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9F899" w14:textId="425BDF79" w:rsidR="00BD63FE" w:rsidRDefault="006E1256" w:rsidP="006E1256">
    <w:pPr>
      <w:pStyle w:val="Header"/>
      <w:rPr>
        <w:color w:val="000000"/>
        <w:sz w:val="17"/>
      </w:rPr>
    </w:pPr>
    <w:bookmarkStart w:id="5" w:name="TITUS1HeaderFirstPage"/>
    <w:r>
      <w:rPr>
        <w:color w:val="000000"/>
        <w:sz w:val="17"/>
      </w:rPr>
      <w:t> </w:t>
    </w:r>
  </w:p>
  <w:bookmarkEnd w:id="5"/>
  <w:p w14:paraId="0F82B35D" w14:textId="77777777" w:rsidR="00BD63FE" w:rsidRDefault="00BD63F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42D26" w14:textId="0C2653FC" w:rsidR="00BD63FE" w:rsidRDefault="006E1256" w:rsidP="006E1256">
    <w:pPr>
      <w:pStyle w:val="Header"/>
      <w:rPr>
        <w:color w:val="000000"/>
        <w:sz w:val="17"/>
      </w:rPr>
    </w:pPr>
    <w:bookmarkStart w:id="7" w:name="TITUS2HeaderEvenPages"/>
    <w:r>
      <w:rPr>
        <w:color w:val="000000"/>
        <w:sz w:val="17"/>
      </w:rPr>
      <w:t> </w:t>
    </w:r>
  </w:p>
  <w:bookmarkEnd w:id="7"/>
  <w:p w14:paraId="6013290B" w14:textId="77777777" w:rsidR="00BD63FE" w:rsidRDefault="00BD63FE" w:rsidP="00BD63FE">
    <w:pPr>
      <w:pStyle w:val="Header"/>
    </w:pPr>
  </w:p>
  <w:p w14:paraId="70066D33" w14:textId="77777777" w:rsidR="00BD63FE" w:rsidRDefault="00BD63F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2EE87" w14:textId="01093496" w:rsidR="00BD63FE" w:rsidRDefault="006E1256" w:rsidP="006E1256">
    <w:pPr>
      <w:pStyle w:val="Header"/>
      <w:rPr>
        <w:color w:val="000000"/>
        <w:sz w:val="17"/>
      </w:rPr>
    </w:pPr>
    <w:bookmarkStart w:id="8" w:name="TITUS2HeaderPrimary"/>
    <w:r>
      <w:rPr>
        <w:color w:val="000000"/>
        <w:sz w:val="17"/>
      </w:rPr>
      <w:t> </w:t>
    </w:r>
  </w:p>
  <w:bookmarkEnd w:id="8"/>
  <w:p w14:paraId="59781211" w14:textId="77777777" w:rsidR="00BD63FE" w:rsidRDefault="00BD63F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98C8AB" w14:textId="7D7CE114" w:rsidR="00BD63FE" w:rsidRDefault="006E1256" w:rsidP="006E1256">
    <w:pPr>
      <w:pStyle w:val="Header"/>
      <w:rPr>
        <w:color w:val="000000"/>
        <w:sz w:val="17"/>
      </w:rPr>
    </w:pPr>
    <w:bookmarkStart w:id="11" w:name="TITUS2HeaderFirstPage"/>
    <w:r>
      <w:rPr>
        <w:color w:val="000000"/>
        <w:sz w:val="17"/>
      </w:rPr>
      <w:t> </w:t>
    </w:r>
  </w:p>
  <w:bookmarkEnd w:id="11"/>
  <w:p w14:paraId="46D3DB47" w14:textId="77777777" w:rsidR="00BD63FE" w:rsidRDefault="00BD63FE" w:rsidP="00BD63FE">
    <w:pPr>
      <w:pStyle w:val="Header"/>
    </w:pPr>
  </w:p>
  <w:p w14:paraId="3A6E8681" w14:textId="77777777" w:rsidR="00BD63FE" w:rsidRDefault="00BD63F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1E5BA6" w14:textId="28EC867B" w:rsidR="00BD63FE" w:rsidRDefault="006E1256" w:rsidP="006E1256">
    <w:pPr>
      <w:pStyle w:val="Header"/>
      <w:rPr>
        <w:color w:val="000000"/>
        <w:sz w:val="17"/>
      </w:rPr>
    </w:pPr>
    <w:bookmarkStart w:id="13" w:name="TITUS3HeaderEvenPages"/>
    <w:r>
      <w:rPr>
        <w:color w:val="000000"/>
        <w:sz w:val="17"/>
      </w:rPr>
      <w:t> </w:t>
    </w:r>
  </w:p>
  <w:bookmarkEnd w:id="13"/>
  <w:p w14:paraId="7CA7679C" w14:textId="77777777" w:rsidR="00BD63FE" w:rsidRDefault="00BD63FE" w:rsidP="00BD63FE">
    <w:pPr>
      <w:pStyle w:val="Header"/>
    </w:pPr>
  </w:p>
  <w:p w14:paraId="0DAEAC4D" w14:textId="77777777" w:rsidR="00BD63FE" w:rsidRDefault="00BD63F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E4A5C" w14:textId="1C7B16E3" w:rsidR="00BD63FE" w:rsidRDefault="006E1256" w:rsidP="006E1256">
    <w:pPr>
      <w:pStyle w:val="Header"/>
      <w:rPr>
        <w:color w:val="000000"/>
        <w:sz w:val="17"/>
      </w:rPr>
    </w:pPr>
    <w:bookmarkStart w:id="14" w:name="TITUS3HeaderPrimary"/>
    <w:r>
      <w:rPr>
        <w:color w:val="000000"/>
        <w:sz w:val="17"/>
      </w:rPr>
      <w:t> </w:t>
    </w:r>
  </w:p>
  <w:bookmarkEnd w:id="14"/>
  <w:p w14:paraId="79231212" w14:textId="77777777" w:rsidR="00BD63FE" w:rsidRDefault="00BD63F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D1E07" w14:textId="10EAF57A" w:rsidR="00BD63FE" w:rsidRDefault="006E1256" w:rsidP="006E1256">
    <w:pPr>
      <w:pStyle w:val="Header"/>
      <w:rPr>
        <w:color w:val="000000"/>
        <w:sz w:val="17"/>
      </w:rPr>
    </w:pPr>
    <w:bookmarkStart w:id="17" w:name="TITUS3HeaderFirstPage"/>
    <w:r>
      <w:rPr>
        <w:color w:val="000000"/>
        <w:sz w:val="17"/>
      </w:rPr>
      <w:t> </w:t>
    </w:r>
  </w:p>
  <w:bookmarkEnd w:id="17"/>
  <w:p w14:paraId="2E6AB353" w14:textId="77777777" w:rsidR="00BD63FE" w:rsidRDefault="00BD63FE" w:rsidP="00BD63FE">
    <w:pPr>
      <w:pStyle w:val="Header"/>
    </w:pPr>
  </w:p>
  <w:p w14:paraId="29606BCE" w14:textId="77777777" w:rsidR="00BD63FE" w:rsidRDefault="00BD63F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61900" w14:textId="4123DE57" w:rsidR="00BD63FE" w:rsidRDefault="006E1256" w:rsidP="006E1256">
    <w:pPr>
      <w:pStyle w:val="Header"/>
      <w:rPr>
        <w:color w:val="000000"/>
        <w:sz w:val="17"/>
      </w:rPr>
    </w:pPr>
    <w:bookmarkStart w:id="19" w:name="TITUS4HeaderEvenPages"/>
    <w:r>
      <w:rPr>
        <w:color w:val="000000"/>
        <w:sz w:val="17"/>
      </w:rPr>
      <w:t> </w:t>
    </w:r>
  </w:p>
  <w:bookmarkEnd w:id="19"/>
  <w:p w14:paraId="6B496B79" w14:textId="77777777" w:rsidR="00BD63FE" w:rsidRDefault="00BD63FE" w:rsidP="00BD63FE">
    <w:pPr>
      <w:pStyle w:val="Header"/>
    </w:pPr>
  </w:p>
  <w:p w14:paraId="0979E5ED" w14:textId="77777777" w:rsidR="00BD63FE" w:rsidRDefault="00BD63F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02E577" w14:textId="5D74B4B4" w:rsidR="00BD63FE" w:rsidRDefault="006E1256" w:rsidP="006E1256">
    <w:pPr>
      <w:pStyle w:val="Header"/>
      <w:rPr>
        <w:color w:val="000000"/>
        <w:sz w:val="17"/>
      </w:rPr>
    </w:pPr>
    <w:bookmarkStart w:id="20" w:name="TITUS4HeaderPrimary"/>
    <w:r>
      <w:rPr>
        <w:color w:val="000000"/>
        <w:sz w:val="17"/>
      </w:rPr>
      <w:t> </w:t>
    </w:r>
  </w:p>
  <w:bookmarkEnd w:id="20"/>
  <w:p w14:paraId="662992D2" w14:textId="77777777" w:rsidR="00BD63FE" w:rsidRDefault="00BD63F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37BFC0" w14:textId="411CEBD6" w:rsidR="00BD63FE" w:rsidRDefault="006E1256" w:rsidP="006E1256">
    <w:pPr>
      <w:pStyle w:val="Header"/>
      <w:rPr>
        <w:color w:val="000000"/>
        <w:sz w:val="17"/>
      </w:rPr>
    </w:pPr>
    <w:bookmarkStart w:id="23" w:name="TITUS4HeaderFirstPage"/>
    <w:r>
      <w:rPr>
        <w:color w:val="000000"/>
        <w:sz w:val="17"/>
      </w:rPr>
      <w:t> </w:t>
    </w:r>
  </w:p>
  <w:bookmarkEnd w:id="23"/>
  <w:p w14:paraId="55132D44" w14:textId="77777777" w:rsidR="00BD63FE" w:rsidRDefault="00BD63FE" w:rsidP="00BD63FE">
    <w:pPr>
      <w:pStyle w:val="Header"/>
    </w:pPr>
  </w:p>
  <w:p w14:paraId="6BA06A3F" w14:textId="77777777" w:rsidR="00BD63FE" w:rsidRDefault="00BD63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14BB4"/>
    <w:multiLevelType w:val="multilevel"/>
    <w:tmpl w:val="E6144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7766EF"/>
    <w:multiLevelType w:val="multilevel"/>
    <w:tmpl w:val="36C21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54D8B"/>
    <w:multiLevelType w:val="multilevel"/>
    <w:tmpl w:val="24E8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D2223B"/>
    <w:multiLevelType w:val="multilevel"/>
    <w:tmpl w:val="C054F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2019D7"/>
    <w:multiLevelType w:val="hybridMultilevel"/>
    <w:tmpl w:val="9A426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4A6258"/>
    <w:multiLevelType w:val="multilevel"/>
    <w:tmpl w:val="3B02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7"/>
  </w:num>
  <w:num w:numId="4">
    <w:abstractNumId w:val="2"/>
  </w:num>
  <w:num w:numId="5">
    <w:abstractNumId w:val="8"/>
  </w:num>
  <w:num w:numId="6">
    <w:abstractNumId w:val="3"/>
  </w:num>
  <w:num w:numId="7">
    <w:abstractNumId w:val="10"/>
  </w:num>
  <w:num w:numId="8">
    <w:abstractNumId w:val="11"/>
  </w:num>
  <w:num w:numId="9">
    <w:abstractNumId w:val="5"/>
  </w:num>
  <w:num w:numId="10">
    <w:abstractNumId w:val="0"/>
  </w:num>
  <w:num w:numId="11">
    <w:abstractNumId w:val="4"/>
  </w:num>
  <w:num w:numId="12">
    <w:abstractNumId w:val="9"/>
  </w:num>
  <w:num w:numId="13">
    <w:abstractNumId w:val="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F778C"/>
    <w:rsid w:val="001934C2"/>
    <w:rsid w:val="002C458D"/>
    <w:rsid w:val="00412871"/>
    <w:rsid w:val="00536896"/>
    <w:rsid w:val="00621EDF"/>
    <w:rsid w:val="006E1256"/>
    <w:rsid w:val="00763CB3"/>
    <w:rsid w:val="00795C11"/>
    <w:rsid w:val="00810ADD"/>
    <w:rsid w:val="00846F01"/>
    <w:rsid w:val="00893149"/>
    <w:rsid w:val="009178EA"/>
    <w:rsid w:val="009A2DE6"/>
    <w:rsid w:val="009E333B"/>
    <w:rsid w:val="00A741C5"/>
    <w:rsid w:val="00B8357D"/>
    <w:rsid w:val="00BB18E4"/>
    <w:rsid w:val="00BD63FE"/>
    <w:rsid w:val="00CF7B26"/>
    <w:rsid w:val="00D76CF9"/>
    <w:rsid w:val="00DC3BA2"/>
    <w:rsid w:val="00E54184"/>
    <w:rsid w:val="00E80941"/>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BD6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3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image" Target="media/image1.png"/><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http://schemas.openxmlformats.org/package/2006/metadata/core-properties"/>
    <ds:schemaRef ds:uri="http://schemas.microsoft.com/office/infopath/2007/PartnerControl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8470</Words>
  <Characters>48279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Hall,Rikki swp6396</cp:lastModifiedBy>
  <cp:revision>3</cp:revision>
  <cp:lastPrinted>2020-03-18T13:24:00Z</cp:lastPrinted>
  <dcterms:created xsi:type="dcterms:W3CDTF">2021-01-05T05:01:00Z</dcterms:created>
  <dcterms:modified xsi:type="dcterms:W3CDTF">2021-01-05T05:10:00Z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7d9b7a89-2e2b-450e-837c-718cfab75c6a</vt:lpwstr>
  </property>
  <property fmtid="{D5CDD505-2E9C-101B-9397-08002B2CF9AE}" pid="4" name="Classification">
    <vt:lpwstr>OFFICIAL</vt:lpwstr>
  </property>
  <property fmtid="{D5CDD505-2E9C-101B-9397-08002B2CF9AE}" pid="5" name="Visibility">
    <vt:lpwstr>NOT VISIBLE</vt:lpwstr>
  </property>
</Properties>
</file>