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pPr>
      <w:r w:rsidDel="00000000" w:rsidR="00000000" w:rsidRPr="00000000">
        <w:rPr>
          <w:rtl w:val="0"/>
        </w:rPr>
        <w:t xml:space="preserve">Material Culture in Theory: A Case Study.</w:t>
      </w:r>
    </w:p>
    <w:p w:rsidR="00000000" w:rsidDel="00000000" w:rsidP="00000000" w:rsidRDefault="00000000" w:rsidRPr="00000000" w14:paraId="00000002">
      <w:pPr>
        <w:rPr/>
      </w:pPr>
      <w:r w:rsidDel="00000000" w:rsidR="00000000" w:rsidRPr="00000000">
        <w:rPr>
          <w:rtl w:val="0"/>
        </w:rPr>
        <w:t xml:space="preserve">The Group Chat as an Assemblage.</w:t>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t xml:space="preserve">In the contemporary world, most of us own and use a smartphone everyday, being integral and ubiquitous to our modern lives, not simply as aids towards longer, quicker and easier communication but as key </w:t>
      </w:r>
      <w:r w:rsidDel="00000000" w:rsidR="00000000" w:rsidRPr="00000000">
        <w:rPr>
          <w:i w:val="1"/>
          <w:rtl w:val="0"/>
        </w:rPr>
        <w:t xml:space="preserve">actants</w:t>
      </w:r>
      <w:r w:rsidDel="00000000" w:rsidR="00000000" w:rsidRPr="00000000">
        <w:rPr>
          <w:rtl w:val="0"/>
        </w:rPr>
        <w:t xml:space="preserve"> in the mediation of social relationships, the shaping of subject experience and the innovation of linguistics (Bell et al., 2018, pp. 466-467).</w:t>
      </w:r>
    </w:p>
    <w:p w:rsidR="00000000" w:rsidDel="00000000" w:rsidP="00000000" w:rsidRDefault="00000000" w:rsidRPr="00000000" w14:paraId="00000005">
      <w:pPr>
        <w:rPr/>
      </w:pPr>
      <w:r w:rsidDel="00000000" w:rsidR="00000000" w:rsidRPr="00000000">
        <w:rPr>
          <w:rtl w:val="0"/>
        </w:rPr>
        <w:tab/>
        <w:t xml:space="preserve">Despite literature existing concerning the relational aspect of the digital realm (see Horst and Miller, 2012; Mizuko et al., 2010) this lecture aims to bring forth a deeper conversation surrounding the seemingly invisible yet very real materiality (Miller and Horst, 2012, p. 25) of something as everyday as an instant messaging group chat involving multiple participants. Focusing on the theoretical frameworks of Deleuze and Guattari (2003, pp. 503-505; Deleuze and Parnet, 2002, p. 69), Delanda (2016, pp. 1-7; 2019, pp. 10-11) and Bennett (2010, pp. 23-24), this lecture will frame the group chat as a vibrant, active and agential </w:t>
      </w:r>
      <w:r w:rsidDel="00000000" w:rsidR="00000000" w:rsidRPr="00000000">
        <w:rPr>
          <w:i w:val="1"/>
          <w:rtl w:val="0"/>
        </w:rPr>
        <w:t xml:space="preserve">assemblage</w:t>
      </w:r>
      <w:r w:rsidDel="00000000" w:rsidR="00000000" w:rsidRPr="00000000">
        <w:rPr>
          <w:rtl w:val="0"/>
        </w:rPr>
        <w:t xml:space="preserve"> of a multiplicity of actants at both global and local levels. </w:t>
      </w:r>
    </w:p>
    <w:p w:rsidR="00000000" w:rsidDel="00000000" w:rsidP="00000000" w:rsidRDefault="00000000" w:rsidRPr="00000000" w14:paraId="00000006">
      <w:pPr>
        <w:rPr/>
      </w:pPr>
      <w:r w:rsidDel="00000000" w:rsidR="00000000" w:rsidRPr="00000000">
        <w:rPr>
          <w:rtl w:val="0"/>
        </w:rPr>
        <w:tab/>
        <w:t xml:space="preserve">A second related theoretical framework will be taken: that of the </w:t>
      </w:r>
      <w:r w:rsidDel="00000000" w:rsidR="00000000" w:rsidRPr="00000000">
        <w:rPr>
          <w:i w:val="1"/>
          <w:rtl w:val="0"/>
        </w:rPr>
        <w:t xml:space="preserve">posthuman </w:t>
      </w:r>
      <w:r w:rsidDel="00000000" w:rsidR="00000000" w:rsidRPr="00000000">
        <w:rPr>
          <w:rtl w:val="0"/>
        </w:rPr>
        <w:t xml:space="preserve">(see Coole and Froste, 2010; Barad, 2003; Haraway, 2016). This idea puts forth an account of all bodies - human and nonhuman - and their relational constitutions of the world (Barad, 2003, p. 810). Haraway (2016, pp. 15-16) radically puts forth an account of seeing ourselves as </w:t>
      </w:r>
      <w:r w:rsidDel="00000000" w:rsidR="00000000" w:rsidRPr="00000000">
        <w:rPr>
          <w:i w:val="1"/>
          <w:rtl w:val="0"/>
        </w:rPr>
        <w:t xml:space="preserve">cyborgs</w:t>
      </w:r>
      <w:r w:rsidDel="00000000" w:rsidR="00000000" w:rsidRPr="00000000">
        <w:rPr>
          <w:rtl w:val="0"/>
        </w:rPr>
        <w:t xml:space="preserve">, not in the fictional sense but as bodies whose agency relies not solely on the biological, but in the interactions between our own materiality and that of the nonhuman. With this thinking, an argument will be made in the course of this lecture that states that the group chat, as well as the devices used to participate in this, constitute us as posthumans and as cyborgs. </w:t>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b w:val="1"/>
        </w:rPr>
      </w:pPr>
      <w:r w:rsidDel="00000000" w:rsidR="00000000" w:rsidRPr="00000000">
        <w:rPr>
          <w:b w:val="1"/>
          <w:rtl w:val="0"/>
        </w:rPr>
        <w:t xml:space="preserve">Assemblage Theory </w:t>
      </w:r>
    </w:p>
    <w:p w:rsidR="00000000" w:rsidDel="00000000" w:rsidP="00000000" w:rsidRDefault="00000000" w:rsidRPr="00000000" w14:paraId="00000009">
      <w:pPr>
        <w:rPr>
          <w:b w:val="1"/>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t xml:space="preserve">The ontological status of constituent entities is one that has been questioned throughout the history of social science. The dominant ontological idea within the social sciences for a long while was the </w:t>
      </w:r>
      <w:r w:rsidDel="00000000" w:rsidR="00000000" w:rsidRPr="00000000">
        <w:rPr>
          <w:i w:val="1"/>
          <w:rtl w:val="0"/>
        </w:rPr>
        <w:t xml:space="preserve">organismic metaphor. </w:t>
      </w:r>
      <w:r w:rsidDel="00000000" w:rsidR="00000000" w:rsidRPr="00000000">
        <w:rPr>
          <w:rtl w:val="0"/>
        </w:rPr>
        <w:t xml:space="preserve">This postulates that “just as human bodily organs work together for the organism as a whole, the function of social institutions is to work in harmony for the benefit of society” (Delanda, 2019, p. 9). Delanda (ibid.) states that this idea is as old as social theory itself: that this thought has its roots in Hinduism, Aristotelian, and medieval thinking. This basis of thinking is still permeated in modern thought; Anthony Giddens’ theory of structuration, whereby he conceives agency as being constituted in practice, which in turn produces structure (</w:t>
      </w:r>
      <w:r w:rsidDel="00000000" w:rsidR="00000000" w:rsidRPr="00000000">
        <w:rPr>
          <w:rtl w:val="0"/>
        </w:rPr>
        <w:t xml:space="preserve">ibid., p. 10</w:t>
      </w:r>
      <w:r w:rsidDel="00000000" w:rsidR="00000000" w:rsidRPr="00000000">
        <w:rPr>
          <w:rtl w:val="0"/>
        </w:rPr>
        <w:t xml:space="preserve">). He conceives structure as consisting of behavioural procedures and routines, which do not possess separate existence outside of the structure; they are importantly not external to individuals but are strictly internalised in these structures (Giddens, 1984, p. 25). Agency, in his thinking, is composed of a series of continuous relational action between these procedures, emerging as a seamless whole (Delanda, 2019, p. 10).</w:t>
      </w:r>
    </w:p>
    <w:p w:rsidR="00000000" w:rsidDel="00000000" w:rsidP="00000000" w:rsidRDefault="00000000" w:rsidRPr="00000000" w14:paraId="0000000B">
      <w:pPr>
        <w:rPr/>
      </w:pPr>
      <w:r w:rsidDel="00000000" w:rsidR="00000000" w:rsidRPr="00000000">
        <w:rPr>
          <w:rtl w:val="0"/>
        </w:rPr>
        <w:tab/>
        <w:t xml:space="preserve">This conception is what Delanda (ibid., p. 9) discusses as </w:t>
      </w:r>
      <w:r w:rsidDel="00000000" w:rsidR="00000000" w:rsidRPr="00000000">
        <w:rPr>
          <w:i w:val="1"/>
          <w:rtl w:val="0"/>
        </w:rPr>
        <w:t xml:space="preserve">relations of interiority: </w:t>
      </w:r>
      <w:r w:rsidDel="00000000" w:rsidR="00000000" w:rsidRPr="00000000">
        <w:rPr>
          <w:rtl w:val="0"/>
        </w:rPr>
        <w:t xml:space="preserve">“the constituent parts are constituted by the very relations they have to other parts in the whole”. In opposition to this are ideas surrounding </w:t>
      </w:r>
      <w:r w:rsidDel="00000000" w:rsidR="00000000" w:rsidRPr="00000000">
        <w:rPr>
          <w:i w:val="1"/>
          <w:rtl w:val="0"/>
        </w:rPr>
        <w:t xml:space="preserve">relations of exteriority</w:t>
      </w:r>
      <w:r w:rsidDel="00000000" w:rsidR="00000000" w:rsidRPr="00000000">
        <w:rPr>
          <w:rtl w:val="0"/>
        </w:rPr>
        <w:t xml:space="preserve">. Deleuze puts forth an idea of </w:t>
      </w:r>
      <w:r w:rsidDel="00000000" w:rsidR="00000000" w:rsidRPr="00000000">
        <w:rPr>
          <w:i w:val="1"/>
          <w:rtl w:val="0"/>
        </w:rPr>
        <w:t xml:space="preserve">assemblages</w:t>
      </w:r>
      <w:r w:rsidDel="00000000" w:rsidR="00000000" w:rsidRPr="00000000">
        <w:rPr>
          <w:rtl w:val="0"/>
        </w:rPr>
        <w:t xml:space="preserve">; parts of the whole do not exist solely in what Giddens would describe as structures, but instead that a certain degree of autonomy is held by them (ibid., p. 11). This implication is further extended that actants may be part of numerous assemblages and constantly flow in and out these relations (ibid.). Another key point of understanding is that assemblages are </w:t>
      </w:r>
      <w:r w:rsidDel="00000000" w:rsidR="00000000" w:rsidRPr="00000000">
        <w:rPr>
          <w:i w:val="1"/>
          <w:rtl w:val="0"/>
        </w:rPr>
        <w:t xml:space="preserve">recurrent</w:t>
      </w:r>
      <w:r w:rsidDel="00000000" w:rsidR="00000000" w:rsidRPr="00000000">
        <w:rPr>
          <w:rtl w:val="0"/>
        </w:rPr>
        <w:t xml:space="preserve">, that being the constant flow of interaction conceptualising assemblages through this interaction, not separately from it; the interactions between parts </w:t>
      </w:r>
      <w:r w:rsidDel="00000000" w:rsidR="00000000" w:rsidRPr="00000000">
        <w:rPr>
          <w:i w:val="1"/>
          <w:rtl w:val="0"/>
        </w:rPr>
        <w:t xml:space="preserve">is </w:t>
      </w:r>
      <w:r w:rsidDel="00000000" w:rsidR="00000000" w:rsidRPr="00000000">
        <w:rPr>
          <w:rtl w:val="0"/>
        </w:rPr>
        <w:t xml:space="preserve">the assemblage, not a property of it (ibid., p. 17). Assemblages exist in </w:t>
      </w:r>
      <w:r w:rsidDel="00000000" w:rsidR="00000000" w:rsidRPr="00000000">
        <w:rPr>
          <w:i w:val="1"/>
          <w:rtl w:val="0"/>
        </w:rPr>
        <w:t xml:space="preserve">populations </w:t>
      </w:r>
      <w:r w:rsidDel="00000000" w:rsidR="00000000" w:rsidRPr="00000000">
        <w:rPr>
          <w:rtl w:val="0"/>
        </w:rPr>
        <w:t xml:space="preserve">that are generated by the occurrence of processes, no matter the spatial or temporal scale. Importantly, assemblages are conceptualised within assemblages. To understand this, Delanda (ibid., pp. 17-19) discusses markets and how modern global markets stemmed from processes of interaction in prior localised and nationalised markets, being conceptualised through these interactions. Crucially local markets still exist, and global trade he views as the slow stitching together of these at a global scale (ibid.). Finally, the role of assemblages is questioned. Whilst previous scientific </w:t>
      </w:r>
      <w:r w:rsidDel="00000000" w:rsidR="00000000" w:rsidRPr="00000000">
        <w:rPr>
          <w:i w:val="1"/>
          <w:rtl w:val="0"/>
        </w:rPr>
        <w:t xml:space="preserve">cause and effect</w:t>
      </w:r>
      <w:r w:rsidDel="00000000" w:rsidR="00000000" w:rsidRPr="00000000">
        <w:rPr>
          <w:rtl w:val="0"/>
        </w:rPr>
        <w:t xml:space="preserve"> ontologies have been implicated, that is, as a relation in one event produces another event (ibid., p. 20), this </w:t>
      </w:r>
      <w:r w:rsidDel="00000000" w:rsidR="00000000" w:rsidRPr="00000000">
        <w:rPr>
          <w:i w:val="1"/>
          <w:rtl w:val="0"/>
        </w:rPr>
        <w:t xml:space="preserve">linear causality</w:t>
      </w:r>
      <w:r w:rsidDel="00000000" w:rsidR="00000000" w:rsidRPr="00000000">
        <w:rPr>
          <w:rtl w:val="0"/>
        </w:rPr>
        <w:t xml:space="preserve"> is questioned. He puts forth an idea of </w:t>
      </w:r>
      <w:r w:rsidDel="00000000" w:rsidR="00000000" w:rsidRPr="00000000">
        <w:rPr>
          <w:i w:val="1"/>
          <w:rtl w:val="0"/>
        </w:rPr>
        <w:t xml:space="preserve">nonlinear causality</w:t>
      </w:r>
      <w:r w:rsidDel="00000000" w:rsidR="00000000" w:rsidRPr="00000000">
        <w:rPr>
          <w:rtl w:val="0"/>
        </w:rPr>
        <w:t xml:space="preserve">, that events occur much more seemingly random and at a much more complex ontological level. An example of smoking is employed here: that it is generally understood that smoking causes cancer is not actually a strict empirical fact as other factors (or actants in an assemblage) play a key role, namely genetic disposition to cancer or physical exercise that counteracts the onset of cancer. Here he describes actants as raising the </w:t>
      </w:r>
      <w:r w:rsidDel="00000000" w:rsidR="00000000" w:rsidRPr="00000000">
        <w:rPr>
          <w:i w:val="1"/>
          <w:rtl w:val="0"/>
        </w:rPr>
        <w:t xml:space="preserve">probability</w:t>
      </w:r>
      <w:r w:rsidDel="00000000" w:rsidR="00000000" w:rsidRPr="00000000">
        <w:rPr>
          <w:rtl w:val="0"/>
        </w:rPr>
        <w:t xml:space="preserve"> of events, not </w:t>
      </w:r>
      <w:r w:rsidDel="00000000" w:rsidR="00000000" w:rsidRPr="00000000">
        <w:rPr>
          <w:i w:val="1"/>
          <w:rtl w:val="0"/>
        </w:rPr>
        <w:t xml:space="preserve">causing </w:t>
      </w:r>
      <w:r w:rsidDel="00000000" w:rsidR="00000000" w:rsidRPr="00000000">
        <w:rPr>
          <w:rtl w:val="0"/>
        </w:rPr>
        <w:t xml:space="preserve">them (ibid., pp. 20-21). Cause doesn’t cause effect linearly, but instead a multitude of causes raises the probability of effect in a relational, entangled, manner. </w:t>
      </w:r>
    </w:p>
    <w:p w:rsidR="00000000" w:rsidDel="00000000" w:rsidP="00000000" w:rsidRDefault="00000000" w:rsidRPr="00000000" w14:paraId="0000000C">
      <w:pPr>
        <w:rPr/>
      </w:pPr>
      <w:r w:rsidDel="00000000" w:rsidR="00000000" w:rsidRPr="00000000">
        <w:rPr>
          <w:rtl w:val="0"/>
        </w:rPr>
        <w:tab/>
        <w:t xml:space="preserve">Another key author in the theory of assemblage is Jane Bennett, notably in her seminal book </w:t>
      </w:r>
      <w:r w:rsidDel="00000000" w:rsidR="00000000" w:rsidRPr="00000000">
        <w:rPr>
          <w:i w:val="1"/>
          <w:rtl w:val="0"/>
        </w:rPr>
        <w:t xml:space="preserve">Vibrant Matter </w:t>
      </w:r>
      <w:r w:rsidDel="00000000" w:rsidR="00000000" w:rsidRPr="00000000">
        <w:rPr>
          <w:rtl w:val="0"/>
        </w:rPr>
        <w:t xml:space="preserve">(2010). She postulates a theory of </w:t>
      </w:r>
      <w:r w:rsidDel="00000000" w:rsidR="00000000" w:rsidRPr="00000000">
        <w:rPr>
          <w:i w:val="1"/>
          <w:rtl w:val="0"/>
        </w:rPr>
        <w:t xml:space="preserve">vibrant materialism</w:t>
      </w:r>
      <w:r w:rsidDel="00000000" w:rsidR="00000000" w:rsidRPr="00000000">
        <w:rPr>
          <w:rtl w:val="0"/>
        </w:rPr>
        <w:t xml:space="preserve">, a notion to transcend the Cartesian perception of subjective agency; that it is a human capacity that is prescribed onto the material world, but instead towards an essentially Spinozan perception that things persevere in their own being, and that matter is </w:t>
      </w:r>
      <w:r w:rsidDel="00000000" w:rsidR="00000000" w:rsidRPr="00000000">
        <w:rPr>
          <w:i w:val="1"/>
          <w:rtl w:val="0"/>
        </w:rPr>
        <w:t xml:space="preserve">vibrant</w:t>
      </w:r>
      <w:r w:rsidDel="00000000" w:rsidR="00000000" w:rsidRPr="00000000">
        <w:rPr>
          <w:rtl w:val="0"/>
        </w:rPr>
        <w:t xml:space="preserve">, that agency is recurrent and conceptualised in different configurations of interaction (Bennett, 2010, pp. 1-3). She radically asserts that humans are also material, that we are formed from a self organising quantity of matter that forms a body through natural selection. We are “walking, talking, minerals” (ibid., pp. 10-13). Under this framework, Bennett (2010, pp. 20-38) discusses assemblages further. She postulates that the inherent vibrancy and relationality of agency creates “living, throbbing” assemblages (ibid., pp. 23-24). These assemblages produce effects as a whole that are different from the individual agency possessed by its constituent parts (ibid., p.24). She also discusses cause and effect further, seeing effects as being relationally intertwined, with actants both causing and effecting recurrently, bouncing cause and effect off each other and between each other (ibid., p. 32). Using an electrical current as an example, she discusses that once it travels through a wire it vibrates and merges with other currents, affecting and being affected (ibid.). </w:t>
      </w:r>
    </w:p>
    <w:p w:rsidR="00000000" w:rsidDel="00000000" w:rsidP="00000000" w:rsidRDefault="00000000" w:rsidRPr="00000000" w14:paraId="0000000D">
      <w:pPr>
        <w:rPr/>
      </w:pPr>
      <w:r w:rsidDel="00000000" w:rsidR="00000000" w:rsidRPr="00000000">
        <w:rPr>
          <w:rtl w:val="0"/>
        </w:rPr>
        <w:tab/>
      </w:r>
    </w:p>
    <w:p w:rsidR="00000000" w:rsidDel="00000000" w:rsidP="00000000" w:rsidRDefault="00000000" w:rsidRPr="00000000" w14:paraId="0000000E">
      <w:pPr>
        <w:rPr>
          <w:b w:val="1"/>
        </w:rPr>
      </w:pPr>
      <w:r w:rsidDel="00000000" w:rsidR="00000000" w:rsidRPr="00000000">
        <w:rPr>
          <w:b w:val="1"/>
          <w:rtl w:val="0"/>
        </w:rPr>
        <w:t xml:space="preserve">The Posthuman </w:t>
      </w:r>
    </w:p>
    <w:p w:rsidR="00000000" w:rsidDel="00000000" w:rsidP="00000000" w:rsidRDefault="00000000" w:rsidRPr="00000000" w14:paraId="0000000F">
      <w:pPr>
        <w:rPr>
          <w:b w:val="1"/>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t xml:space="preserve">A second key theoretical idea is that of the </w:t>
      </w:r>
      <w:r w:rsidDel="00000000" w:rsidR="00000000" w:rsidRPr="00000000">
        <w:rPr>
          <w:i w:val="1"/>
          <w:rtl w:val="0"/>
        </w:rPr>
        <w:t xml:space="preserve">posthuman</w:t>
      </w:r>
      <w:r w:rsidDel="00000000" w:rsidR="00000000" w:rsidRPr="00000000">
        <w:rPr>
          <w:rtl w:val="0"/>
        </w:rPr>
        <w:t xml:space="preserve">. Rooted in what has been described as the </w:t>
      </w:r>
      <w:r w:rsidDel="00000000" w:rsidR="00000000" w:rsidRPr="00000000">
        <w:rPr>
          <w:i w:val="1"/>
          <w:rtl w:val="0"/>
        </w:rPr>
        <w:t xml:space="preserve">new materialist turn</w:t>
      </w:r>
      <w:r w:rsidDel="00000000" w:rsidR="00000000" w:rsidRPr="00000000">
        <w:rPr>
          <w:rtl w:val="0"/>
        </w:rPr>
        <w:t xml:space="preserve">; a new ontological restructuring, questioning anthropocentrism and dialectical thinking of boundaries such as subject/object and animate/inanimate (Coole and Frost, 2010, pp. 6-8). The Cartesian dualism of the nonhuman world made of discrete, bounded objects onto which human agency is attributed </w:t>
      </w:r>
      <w:r w:rsidDel="00000000" w:rsidR="00000000" w:rsidRPr="00000000">
        <w:rPr>
          <w:i w:val="1"/>
          <w:rtl w:val="0"/>
        </w:rPr>
        <w:t xml:space="preserve">to </w:t>
      </w:r>
      <w:r w:rsidDel="00000000" w:rsidR="00000000" w:rsidRPr="00000000">
        <w:rPr>
          <w:rtl w:val="0"/>
        </w:rPr>
        <w:t xml:space="preserve">is heavily disputed, instead postulating that the process of </w:t>
      </w:r>
      <w:r w:rsidDel="00000000" w:rsidR="00000000" w:rsidRPr="00000000">
        <w:rPr>
          <w:i w:val="1"/>
          <w:rtl w:val="0"/>
        </w:rPr>
        <w:t xml:space="preserve">materialization,</w:t>
      </w:r>
      <w:r w:rsidDel="00000000" w:rsidR="00000000" w:rsidRPr="00000000">
        <w:rPr>
          <w:rtl w:val="0"/>
        </w:rPr>
        <w:t xml:space="preserve"> that matter is formed through the vibrant agency previously discussed by Bennett (2010, p. 32; Coole and Frost, 2010, pp. 6-8). Crucially, as previously stated, humans are not exempt from this. This thinking brought forward questions of the </w:t>
      </w:r>
      <w:r w:rsidDel="00000000" w:rsidR="00000000" w:rsidRPr="00000000">
        <w:rPr>
          <w:i w:val="1"/>
          <w:rtl w:val="0"/>
        </w:rPr>
        <w:t xml:space="preserve">body; </w:t>
      </w:r>
      <w:r w:rsidDel="00000000" w:rsidR="00000000" w:rsidRPr="00000000">
        <w:rPr>
          <w:rtl w:val="0"/>
        </w:rPr>
        <w:t xml:space="preserve">if these boundaries are broken down then what is the human and where is its distinction, if any?</w:t>
      </w:r>
    </w:p>
    <w:p w:rsidR="00000000" w:rsidDel="00000000" w:rsidP="00000000" w:rsidRDefault="00000000" w:rsidRPr="00000000" w14:paraId="00000011">
      <w:pPr>
        <w:rPr/>
      </w:pPr>
      <w:r w:rsidDel="00000000" w:rsidR="00000000" w:rsidRPr="00000000">
        <w:rPr>
          <w:rtl w:val="0"/>
        </w:rPr>
        <w:tab/>
        <w:t xml:space="preserve">In Donna Haraway’s (2016) seminal text, </w:t>
      </w:r>
      <w:r w:rsidDel="00000000" w:rsidR="00000000" w:rsidRPr="00000000">
        <w:rPr>
          <w:i w:val="1"/>
          <w:rtl w:val="0"/>
        </w:rPr>
        <w:t xml:space="preserve">A Cyborg Manifesto </w:t>
      </w:r>
      <w:r w:rsidDel="00000000" w:rsidR="00000000" w:rsidRPr="00000000">
        <w:rPr>
          <w:rtl w:val="0"/>
        </w:rPr>
        <w:t xml:space="preserve">discusses how in our everyday life we are greeted constantly with interactions with the material world, and there exists “no fundamental, ontological separation in our formal knowledge of machine and organism, of technical and organic” (ibid., p. 60), finding “ourselves to be cyborgs, hybrids, mosaics [and] chimeras” (ibid.). She discusses how a “trance state” can be experienced by computer users, with no discrete thought of the motor skills required to utilise such machines, almost autonomously (ibid., pp. 60-61). This posthumanism is seen most clearly in terms of disabled individuals, that their agential capacities are innately tied to prosthetics, communication devices, or mobility aids, whereby these aids are not considered by these people as </w:t>
      </w:r>
      <w:r w:rsidDel="00000000" w:rsidR="00000000" w:rsidRPr="00000000">
        <w:rPr>
          <w:i w:val="1"/>
          <w:rtl w:val="0"/>
        </w:rPr>
        <w:t xml:space="preserve">other</w:t>
      </w:r>
      <w:r w:rsidDel="00000000" w:rsidR="00000000" w:rsidRPr="00000000">
        <w:rPr>
          <w:rtl w:val="0"/>
        </w:rPr>
        <w:t xml:space="preserve"> but are part of themselves, their identity, and how they interact with the world (ibid., p. 61). </w:t>
      </w:r>
    </w:p>
    <w:p w:rsidR="00000000" w:rsidDel="00000000" w:rsidP="00000000" w:rsidRDefault="00000000" w:rsidRPr="00000000" w14:paraId="00000012">
      <w:pPr>
        <w:rPr/>
      </w:pPr>
      <w:r w:rsidDel="00000000" w:rsidR="00000000" w:rsidRPr="00000000">
        <w:rPr>
          <w:rtl w:val="0"/>
        </w:rPr>
        <w:tab/>
        <w:t xml:space="preserve">Karen Barad (2003) discusses posthumanity further. She argues against </w:t>
      </w:r>
      <w:r w:rsidDel="00000000" w:rsidR="00000000" w:rsidRPr="00000000">
        <w:rPr>
          <w:i w:val="1"/>
          <w:rtl w:val="0"/>
        </w:rPr>
        <w:t xml:space="preserve">representationalist </w:t>
      </w:r>
      <w:r w:rsidDel="00000000" w:rsidR="00000000" w:rsidRPr="00000000">
        <w:rPr>
          <w:rtl w:val="0"/>
        </w:rPr>
        <w:t xml:space="preserve">ontologies; essentially, she argues that “too much power has been given to language”, and that historically matter exists as a representation of social indicators, that there exists an ontological gap between the “real” world and how we choose to perceive it (ibid., pp. 801-804). Instead, she argues for the thinking of the </w:t>
      </w:r>
      <w:r w:rsidDel="00000000" w:rsidR="00000000" w:rsidRPr="00000000">
        <w:rPr>
          <w:i w:val="1"/>
          <w:rtl w:val="0"/>
        </w:rPr>
        <w:t xml:space="preserve">material-discursive, </w:t>
      </w:r>
      <w:r w:rsidDel="00000000" w:rsidR="00000000" w:rsidRPr="00000000">
        <w:rPr>
          <w:rtl w:val="0"/>
        </w:rPr>
        <w:t xml:space="preserve">that we are not apart from the world but are </w:t>
      </w:r>
      <w:r w:rsidDel="00000000" w:rsidR="00000000" w:rsidRPr="00000000">
        <w:rPr>
          <w:i w:val="1"/>
          <w:rtl w:val="0"/>
        </w:rPr>
        <w:t xml:space="preserve">in </w:t>
      </w:r>
      <w:r w:rsidDel="00000000" w:rsidR="00000000" w:rsidRPr="00000000">
        <w:rPr>
          <w:rtl w:val="0"/>
        </w:rPr>
        <w:t xml:space="preserve">and </w:t>
      </w:r>
      <w:r w:rsidDel="00000000" w:rsidR="00000000" w:rsidRPr="00000000">
        <w:rPr>
          <w:i w:val="1"/>
          <w:rtl w:val="0"/>
        </w:rPr>
        <w:t xml:space="preserve">part </w:t>
      </w:r>
      <w:r w:rsidDel="00000000" w:rsidR="00000000" w:rsidRPr="00000000">
        <w:rPr>
          <w:rtl w:val="0"/>
        </w:rPr>
        <w:t xml:space="preserve">of it; our understanding of the world comes from living in it, not by proscribing it as representations of the discursive (ibid., pp. 804-809). Here she explicitly discusses posthumanism; that meaning and understanding of the world comes not solely from human agency, but also nonhuman and “cyborgian” agencies, and the relationality between them, postulating that our posthumanism comes from the diffusion of these boundaries (ibid., pp. 818-827). </w:t>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b w:val="1"/>
        </w:rPr>
      </w:pPr>
      <w:r w:rsidDel="00000000" w:rsidR="00000000" w:rsidRPr="00000000">
        <w:rPr>
          <w:b w:val="1"/>
          <w:rtl w:val="0"/>
        </w:rPr>
        <w:t xml:space="preserve">The Group Chat as an Assemblage </w:t>
      </w:r>
    </w:p>
    <w:p w:rsidR="00000000" w:rsidDel="00000000" w:rsidP="00000000" w:rsidRDefault="00000000" w:rsidRPr="00000000" w14:paraId="00000015">
      <w:pPr>
        <w:rPr>
          <w:b w:val="1"/>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t xml:space="preserve">With the previous theoretical frameworks laid out, the group chat can be seen not as a simple interface onto which humans interact with, but as a distributed network of actants, human, technological and digital (Miller and Horst, 2012, p. 17). The multiplicity of actants is vast, including humans, smartphones, personal computers, electricity, servers, code, text and data infrastructures. Bell et al. (2018, pp. 467-468) gives a good starting point for thinking about this, discussing the materiality of mobile phones. Here they put forth a view of the manufacture of phones as being global and macro, discussing how the production of them is complex and that both the extraction of raw materials and the creation of said phones sits within a wide market of globalism, making the miners and manufactures key actants in the facilitation of the sociality of phone usage (ibid.). This is easily applied to Delanda’s (2019, pp. 9-11) relations of exteriority, that the actants within networks are autonomous and part of multiple assemblages. This can also be applied to the more seemingly abstract components of the group chat: the discursive interactions with humans that may or not be part of a multitude of different group chats with completely different participants. The servers that host these group chats are also not individual, they host a vast amount of data that allows for the facilitation of a seemingly countless number of group chats.</w:t>
      </w:r>
    </w:p>
    <w:p w:rsidR="00000000" w:rsidDel="00000000" w:rsidP="00000000" w:rsidRDefault="00000000" w:rsidRPr="00000000" w14:paraId="00000017">
      <w:pPr>
        <w:rPr/>
      </w:pPr>
      <w:r w:rsidDel="00000000" w:rsidR="00000000" w:rsidRPr="00000000">
        <w:rPr>
          <w:rtl w:val="0"/>
        </w:rPr>
        <w:tab/>
        <w:t xml:space="preserve">Bennett (2010) also postulates a framework that is useful to frame the group chat. Her discussion of electricity is directly applicable; the seemingly unpredictable merging with currents, causing and effecting, to create a “living, throbbing” energy (Bennett, 2010, pp. 23-24, 32). Her discussion of an electrical grid in North America as being a “volatile mix of coal, sweat, electromagnetic fields, computer programs, electron streams, profit motives, heat, lifestyles, nuclear fuel, plastic, fantasies of mystery, static, legislation, water, economic theory, wire and wood” (ibid., p. 25). This highlights the huge multiplicity of actants in creating the whole that is the electrical grid, and this sort of thinking can be applied to that of the group chat, whereby many of these same actants play vital roles. She also discusses </w:t>
      </w:r>
      <w:r w:rsidDel="00000000" w:rsidR="00000000" w:rsidRPr="00000000">
        <w:rPr>
          <w:i w:val="1"/>
          <w:rtl w:val="0"/>
        </w:rPr>
        <w:t xml:space="preserve">thing-power, </w:t>
      </w:r>
      <w:r w:rsidDel="00000000" w:rsidR="00000000" w:rsidRPr="00000000">
        <w:rPr>
          <w:rtl w:val="0"/>
        </w:rPr>
        <w:t xml:space="preserve">that materials hold affective powers in and of themselves (ibid., p. 6). This allows us to think of the group chat and its parts as being affective, that the notification of a message or a typing indicator creating anticipation, that emotion is not inherently created through human agency but is circulated between the human and nonhuman actants that make up the group chat. </w:t>
      </w:r>
    </w:p>
    <w:p w:rsidR="00000000" w:rsidDel="00000000" w:rsidP="00000000" w:rsidRDefault="00000000" w:rsidRPr="00000000" w14:paraId="00000018">
      <w:pPr>
        <w:rPr/>
      </w:pPr>
      <w:r w:rsidDel="00000000" w:rsidR="00000000" w:rsidRPr="00000000">
        <w:rPr>
          <w:rtl w:val="0"/>
        </w:rPr>
        <w:tab/>
        <w:t xml:space="preserve">These theories allow us to view the group chat as being affective, vibrant and mediated through the multitude of different actants that allow the group chat to connect people together through </w:t>
      </w:r>
      <w:r w:rsidDel="00000000" w:rsidR="00000000" w:rsidRPr="00000000">
        <w:rPr>
          <w:i w:val="1"/>
          <w:rtl w:val="0"/>
        </w:rPr>
        <w:t xml:space="preserve">material-discursive </w:t>
      </w:r>
      <w:r w:rsidDel="00000000" w:rsidR="00000000" w:rsidRPr="00000000">
        <w:rPr>
          <w:rtl w:val="0"/>
        </w:rPr>
        <w:t xml:space="preserve">practice (Barad, 2003, pp. 801-809). </w:t>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b w:val="1"/>
        </w:rPr>
      </w:pPr>
      <w:r w:rsidDel="00000000" w:rsidR="00000000" w:rsidRPr="00000000">
        <w:rPr>
          <w:b w:val="1"/>
          <w:rtl w:val="0"/>
        </w:rPr>
        <w:t xml:space="preserve">Posthumanism and the Group Chat</w:t>
      </w:r>
    </w:p>
    <w:p w:rsidR="00000000" w:rsidDel="00000000" w:rsidP="00000000" w:rsidRDefault="00000000" w:rsidRPr="00000000" w14:paraId="0000001B">
      <w:pPr>
        <w:rPr>
          <w:b w:val="1"/>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t xml:space="preserve">Posthumanism can be easily attributed to the group chat. Barad (2003, p. 822) discusses how discursive practices are not separate from the material world, but instead fully implicated in the dynamics of matter. This can be seen in the longlasting, long distanced social relationships that are mediated through the ability to communicate through the group chat. Culture is produced through the act of communication through this method (Mizuko et al., 2010, p. 1). This is exemplified even further by Haraway’s (2016, pp. 60-61) diffusion of the boundaries between human and nonhuman, especially in her discussion of computer users entering a “trance like state” when using computers, that there is a lack of extraneous thought of how to use these devices and instead it becomes intertwined with the user. This is seen when talking to people through the group chat - the use of the device to communicate with people through this is almost second nature to the user.  </w:t>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b w:val="1"/>
        </w:rPr>
      </w:pPr>
      <w:r w:rsidDel="00000000" w:rsidR="00000000" w:rsidRPr="00000000">
        <w:rPr>
          <w:b w:val="1"/>
          <w:rtl w:val="0"/>
        </w:rPr>
        <w:t xml:space="preserve">Synthesis and Conclusion </w:t>
      </w:r>
    </w:p>
    <w:p w:rsidR="00000000" w:rsidDel="00000000" w:rsidP="00000000" w:rsidRDefault="00000000" w:rsidRPr="00000000" w14:paraId="0000001F">
      <w:pPr>
        <w:rPr>
          <w:b w:val="1"/>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t xml:space="preserve">To conclude, the group chat can be seen as not merely a communication channel but a living, vibrant network</w:t>
      </w:r>
      <w:r w:rsidDel="00000000" w:rsidR="00000000" w:rsidRPr="00000000">
        <w:rPr>
          <w:i w:val="1"/>
          <w:rtl w:val="0"/>
        </w:rPr>
        <w:t xml:space="preserve"> </w:t>
      </w:r>
      <w:r w:rsidDel="00000000" w:rsidR="00000000" w:rsidRPr="00000000">
        <w:rPr>
          <w:rtl w:val="0"/>
        </w:rPr>
        <w:t xml:space="preserve">of human, material, digital and technological. Importantly, human participants are within this network as one type of actant, not the sole source of agency. The idea of these participant as not being simply human but posthuman is key here: that the ability to participate within this complex network extends human agency past the biological boundary of their bodies, allowing them greater capabilities that they had not previously had. </w:t>
      </w:r>
    </w:p>
    <w:p w:rsidR="00000000" w:rsidDel="00000000" w:rsidP="00000000" w:rsidRDefault="00000000" w:rsidRPr="00000000" w14:paraId="00000021">
      <w:pPr>
        <w:rPr/>
      </w:pPr>
      <w:r w:rsidDel="00000000" w:rsidR="00000000" w:rsidRPr="00000000">
        <w:rPr>
          <w:rtl w:val="0"/>
        </w:rPr>
        <w:tab/>
        <w:t xml:space="preserve">This analysis allows us to think deeper about our everyday behaviour and to think of us not as so separate from the material world, but within it. This allows us to question further how intricate and integrated our everyday behaviours are.</w:t>
      </w:r>
    </w:p>
    <w:p w:rsidR="00000000" w:rsidDel="00000000" w:rsidP="00000000" w:rsidRDefault="00000000" w:rsidRPr="00000000" w14:paraId="00000022">
      <w:pPr>
        <w:rPr/>
      </w:pPr>
      <w:r w:rsidDel="00000000" w:rsidR="00000000" w:rsidRPr="00000000">
        <w:br w:type="page"/>
      </w:r>
      <w:r w:rsidDel="00000000" w:rsidR="00000000" w:rsidRPr="00000000">
        <w:rPr>
          <w:rtl w:val="0"/>
        </w:rPr>
      </w:r>
    </w:p>
    <w:p w:rsidR="00000000" w:rsidDel="00000000" w:rsidP="00000000" w:rsidRDefault="00000000" w:rsidRPr="00000000" w14:paraId="00000023">
      <w:pPr>
        <w:rPr/>
      </w:pPr>
      <w:r w:rsidDel="00000000" w:rsidR="00000000" w:rsidRPr="00000000">
        <w:rPr>
          <w:rtl w:val="0"/>
        </w:rPr>
        <w:t xml:space="preserve">Bibliography </w:t>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t xml:space="preserve">Barad, K. (2003) ‘Posthumanist Performativity: Toward and Understanding of How Matter Comes to Matter’, </w:t>
      </w:r>
      <w:r w:rsidDel="00000000" w:rsidR="00000000" w:rsidRPr="00000000">
        <w:rPr>
          <w:i w:val="1"/>
          <w:rtl w:val="0"/>
        </w:rPr>
        <w:t xml:space="preserve">Signs, </w:t>
      </w:r>
      <w:r w:rsidDel="00000000" w:rsidR="00000000" w:rsidRPr="00000000">
        <w:rPr>
          <w:rtl w:val="0"/>
        </w:rPr>
        <w:t xml:space="preserve">28(3), pp. 801-831. Available at: </w:t>
      </w:r>
      <w:hyperlink r:id="rId6">
        <w:r w:rsidDel="00000000" w:rsidR="00000000" w:rsidRPr="00000000">
          <w:rPr>
            <w:color w:val="1155cc"/>
            <w:u w:val="single"/>
            <w:rtl w:val="0"/>
          </w:rPr>
          <w:t xml:space="preserve">https://www-jstor-org.ezproxy.uwtsd.ac.uk/stable/10.1086/345321?sid=primo&amp;seq=1</w:t>
        </w:r>
      </w:hyperlink>
      <w:r w:rsidDel="00000000" w:rsidR="00000000" w:rsidRPr="00000000">
        <w:rPr>
          <w:rtl w:val="0"/>
        </w:rPr>
        <w:t xml:space="preserve"> (Accessed on 11th of October 2025). </w:t>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t xml:space="preserve">Bell, J.A., Kobak, B., Kuipers, J. and Kemble, A. (2018) ‘Unseen Connections: The Materiality of Cell Phones’, </w:t>
      </w:r>
      <w:r w:rsidDel="00000000" w:rsidR="00000000" w:rsidRPr="00000000">
        <w:rPr>
          <w:i w:val="1"/>
          <w:rtl w:val="0"/>
        </w:rPr>
        <w:t xml:space="preserve">Anthropology Quarterly, </w:t>
      </w:r>
      <w:r w:rsidDel="00000000" w:rsidR="00000000" w:rsidRPr="00000000">
        <w:rPr>
          <w:rtl w:val="0"/>
        </w:rPr>
        <w:t xml:space="preserve">91(2), pp. 465-484. Available at: </w:t>
      </w:r>
      <w:hyperlink r:id="rId7">
        <w:r w:rsidDel="00000000" w:rsidR="00000000" w:rsidRPr="00000000">
          <w:rPr>
            <w:color w:val="1155cc"/>
            <w:u w:val="single"/>
            <w:rtl w:val="0"/>
          </w:rPr>
          <w:t xml:space="preserve">https://www.jstor.org/stable/26646209</w:t>
        </w:r>
      </w:hyperlink>
      <w:r w:rsidDel="00000000" w:rsidR="00000000" w:rsidRPr="00000000">
        <w:rPr>
          <w:rtl w:val="0"/>
        </w:rPr>
        <w:t xml:space="preserve"> (Accessed on 10th of October 2025).</w:t>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t xml:space="preserve">Bennett, J. (2010) </w:t>
      </w:r>
      <w:r w:rsidDel="00000000" w:rsidR="00000000" w:rsidRPr="00000000">
        <w:rPr>
          <w:i w:val="1"/>
          <w:rtl w:val="0"/>
        </w:rPr>
        <w:t xml:space="preserve">Vibrant Matter: A Political Ecology of Things. </w:t>
      </w:r>
      <w:r w:rsidDel="00000000" w:rsidR="00000000" w:rsidRPr="00000000">
        <w:rPr>
          <w:rtl w:val="0"/>
        </w:rPr>
        <w:t xml:space="preserve">Durham: Duke University Press.</w:t>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u w:val="single"/>
        </w:rPr>
      </w:pPr>
      <w:r w:rsidDel="00000000" w:rsidR="00000000" w:rsidRPr="00000000">
        <w:rPr>
          <w:rtl w:val="0"/>
        </w:rPr>
        <w:t xml:space="preserve">Coole, D. and Frost, S. (2010) ‘Introducing the New Materialisms’, in Coole, D. and Frost, S. (eds.) </w:t>
      </w:r>
      <w:r w:rsidDel="00000000" w:rsidR="00000000" w:rsidRPr="00000000">
        <w:rPr>
          <w:i w:val="1"/>
          <w:rtl w:val="0"/>
        </w:rPr>
        <w:t xml:space="preserve">New Materialisms: Ontology, Agency and Politics. </w:t>
      </w:r>
      <w:r w:rsidDel="00000000" w:rsidR="00000000" w:rsidRPr="00000000">
        <w:rPr>
          <w:rtl w:val="0"/>
        </w:rPr>
        <w:t xml:space="preserve">London: Duke University Press.</w:t>
      </w:r>
      <w:r w:rsidDel="00000000" w:rsidR="00000000" w:rsidRPr="00000000">
        <w:rPr>
          <w:rtl w:val="0"/>
        </w:rPr>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pPr>
      <w:r w:rsidDel="00000000" w:rsidR="00000000" w:rsidRPr="00000000">
        <w:rPr>
          <w:rtl w:val="0"/>
        </w:rPr>
        <w:t xml:space="preserve">Delanda, M. (2016) </w:t>
      </w:r>
      <w:r w:rsidDel="00000000" w:rsidR="00000000" w:rsidRPr="00000000">
        <w:rPr>
          <w:i w:val="1"/>
          <w:rtl w:val="0"/>
        </w:rPr>
        <w:t xml:space="preserve">Assemblage Theory: </w:t>
      </w:r>
      <w:r w:rsidDel="00000000" w:rsidR="00000000" w:rsidRPr="00000000">
        <w:rPr>
          <w:rtl w:val="0"/>
        </w:rPr>
        <w:t xml:space="preserve">Edinburgh: Edinburgh University Press</w:t>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pPr>
      <w:r w:rsidDel="00000000" w:rsidR="00000000" w:rsidRPr="00000000">
        <w:rPr>
          <w:rtl w:val="0"/>
        </w:rPr>
        <w:t xml:space="preserve">Delanda, M. (2019) </w:t>
      </w:r>
      <w:r w:rsidDel="00000000" w:rsidR="00000000" w:rsidRPr="00000000">
        <w:rPr>
          <w:i w:val="1"/>
          <w:rtl w:val="0"/>
        </w:rPr>
        <w:t xml:space="preserve">A New Philosophy of Society: Assemblage Theory and Social Complexity. </w:t>
      </w:r>
      <w:r w:rsidDel="00000000" w:rsidR="00000000" w:rsidRPr="00000000">
        <w:rPr>
          <w:rtl w:val="0"/>
        </w:rPr>
        <w:t xml:space="preserve">London: Bloomsbury Academic.</w:t>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rPr/>
      </w:pPr>
      <w:r w:rsidDel="00000000" w:rsidR="00000000" w:rsidRPr="00000000">
        <w:rPr>
          <w:rtl w:val="0"/>
        </w:rPr>
        <w:t xml:space="preserve">Deleuze, G. and Guattari, F. (2003) </w:t>
      </w:r>
      <w:r w:rsidDel="00000000" w:rsidR="00000000" w:rsidRPr="00000000">
        <w:rPr>
          <w:i w:val="1"/>
          <w:rtl w:val="0"/>
        </w:rPr>
        <w:t xml:space="preserve">A Thousand Plateaus: Capitalism and Schizophrenia. </w:t>
      </w:r>
      <w:r w:rsidDel="00000000" w:rsidR="00000000" w:rsidRPr="00000000">
        <w:rPr>
          <w:rtl w:val="0"/>
        </w:rPr>
        <w:t xml:space="preserve">London: University of Minnesota Press.</w:t>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rPr/>
      </w:pPr>
      <w:r w:rsidDel="00000000" w:rsidR="00000000" w:rsidRPr="00000000">
        <w:rPr>
          <w:rtl w:val="0"/>
        </w:rPr>
        <w:t xml:space="preserve">Deleuze, G. and Parnet, C. (2002) </w:t>
      </w:r>
      <w:r w:rsidDel="00000000" w:rsidR="00000000" w:rsidRPr="00000000">
        <w:rPr>
          <w:i w:val="1"/>
          <w:rtl w:val="0"/>
        </w:rPr>
        <w:t xml:space="preserve">Dialogues II. </w:t>
      </w:r>
      <w:r w:rsidDel="00000000" w:rsidR="00000000" w:rsidRPr="00000000">
        <w:rPr>
          <w:rtl w:val="0"/>
        </w:rPr>
        <w:t xml:space="preserve">Chichester: Columbia University Press.</w:t>
      </w:r>
    </w:p>
    <w:p w:rsidR="00000000" w:rsidDel="00000000" w:rsidP="00000000" w:rsidRDefault="00000000" w:rsidRPr="00000000" w14:paraId="00000034">
      <w:pPr>
        <w:rPr>
          <w:i w:val="1"/>
        </w:rPr>
      </w:pPr>
      <w:r w:rsidDel="00000000" w:rsidR="00000000" w:rsidRPr="00000000">
        <w:rPr>
          <w:rtl w:val="0"/>
        </w:rPr>
      </w:r>
    </w:p>
    <w:p w:rsidR="00000000" w:rsidDel="00000000" w:rsidP="00000000" w:rsidRDefault="00000000" w:rsidRPr="00000000" w14:paraId="00000035">
      <w:pPr>
        <w:rPr>
          <w:i w:val="1"/>
        </w:rPr>
      </w:pPr>
      <w:r w:rsidDel="00000000" w:rsidR="00000000" w:rsidRPr="00000000">
        <w:rPr>
          <w:rtl w:val="0"/>
        </w:rPr>
        <w:t xml:space="preserve">Giddens, A. (1984) </w:t>
      </w:r>
      <w:r w:rsidDel="00000000" w:rsidR="00000000" w:rsidRPr="00000000">
        <w:rPr>
          <w:i w:val="1"/>
          <w:rtl w:val="0"/>
        </w:rPr>
        <w:t xml:space="preserve">The Constitution of Society: Outline of the Theory of Structuration. </w:t>
      </w:r>
      <w:r w:rsidDel="00000000" w:rsidR="00000000" w:rsidRPr="00000000">
        <w:rPr>
          <w:rtl w:val="0"/>
        </w:rPr>
        <w:t xml:space="preserve">Berkeley: University of California Press.</w:t>
      </w:r>
      <w:r w:rsidDel="00000000" w:rsidR="00000000" w:rsidRPr="00000000">
        <w:rPr>
          <w:i w:val="1"/>
          <w:rtl w:val="0"/>
        </w:rPr>
        <w:t xml:space="preserve"> </w:t>
      </w:r>
    </w:p>
    <w:p w:rsidR="00000000" w:rsidDel="00000000" w:rsidP="00000000" w:rsidRDefault="00000000" w:rsidRPr="00000000" w14:paraId="00000036">
      <w:pPr>
        <w:rPr>
          <w:i w:val="1"/>
        </w:rPr>
      </w:pPr>
      <w:r w:rsidDel="00000000" w:rsidR="00000000" w:rsidRPr="00000000">
        <w:rPr>
          <w:rtl w:val="0"/>
        </w:rPr>
      </w:r>
    </w:p>
    <w:p w:rsidR="00000000" w:rsidDel="00000000" w:rsidP="00000000" w:rsidRDefault="00000000" w:rsidRPr="00000000" w14:paraId="00000037">
      <w:pPr>
        <w:rPr/>
      </w:pPr>
      <w:r w:rsidDel="00000000" w:rsidR="00000000" w:rsidRPr="00000000">
        <w:rPr>
          <w:rtl w:val="0"/>
        </w:rPr>
        <w:t xml:space="preserve">Haraway, D. J. (2016) </w:t>
      </w:r>
      <w:r w:rsidDel="00000000" w:rsidR="00000000" w:rsidRPr="00000000">
        <w:rPr>
          <w:i w:val="1"/>
          <w:rtl w:val="0"/>
        </w:rPr>
        <w:t xml:space="preserve">Manifestly Haraway. </w:t>
      </w:r>
      <w:r w:rsidDel="00000000" w:rsidR="00000000" w:rsidRPr="00000000">
        <w:rPr>
          <w:rtl w:val="0"/>
        </w:rPr>
        <w:t xml:space="preserve">Minneapolis: University of Minnesota Press. </w:t>
      </w:r>
    </w:p>
    <w:p w:rsidR="00000000" w:rsidDel="00000000" w:rsidP="00000000" w:rsidRDefault="00000000" w:rsidRPr="00000000" w14:paraId="00000038">
      <w:pPr>
        <w:rPr/>
      </w:pPr>
      <w:r w:rsidDel="00000000" w:rsidR="00000000" w:rsidRPr="00000000">
        <w:rPr>
          <w:rtl w:val="0"/>
        </w:rPr>
      </w:r>
    </w:p>
    <w:p w:rsidR="00000000" w:rsidDel="00000000" w:rsidP="00000000" w:rsidRDefault="00000000" w:rsidRPr="00000000" w14:paraId="00000039">
      <w:pPr>
        <w:rPr/>
      </w:pPr>
      <w:r w:rsidDel="00000000" w:rsidR="00000000" w:rsidRPr="00000000">
        <w:rPr>
          <w:rtl w:val="0"/>
        </w:rPr>
        <w:t xml:space="preserve">Mizuko, I., Baumer, S., Bittanti, M., Boyd, D., Cody, R., Herr-Stephenson, B., Horst, H.A., Lange, P.G., Mahendran, D., Martinez, K.Z., Pascoe, C.J., Perkel, D., Robinson, L., Sims, C. and Tripp, L. (2010) </w:t>
      </w:r>
      <w:r w:rsidDel="00000000" w:rsidR="00000000" w:rsidRPr="00000000">
        <w:rPr>
          <w:i w:val="1"/>
          <w:rtl w:val="0"/>
        </w:rPr>
        <w:t xml:space="preserve">Hanging Around, Messing Around and Geeking Out: Kids Living and Learning with New Media. </w:t>
      </w:r>
      <w:r w:rsidDel="00000000" w:rsidR="00000000" w:rsidRPr="00000000">
        <w:rPr>
          <w:rtl w:val="0"/>
        </w:rPr>
        <w:t xml:space="preserve">London: The MIT Press.</w:t>
      </w:r>
    </w:p>
    <w:p w:rsidR="00000000" w:rsidDel="00000000" w:rsidP="00000000" w:rsidRDefault="00000000" w:rsidRPr="00000000" w14:paraId="0000003A">
      <w:pPr>
        <w:rPr/>
      </w:pPr>
      <w:r w:rsidDel="00000000" w:rsidR="00000000" w:rsidRPr="00000000">
        <w:rPr>
          <w:rtl w:val="0"/>
        </w:rPr>
      </w:r>
    </w:p>
    <w:p w:rsidR="00000000" w:rsidDel="00000000" w:rsidP="00000000" w:rsidRDefault="00000000" w:rsidRPr="00000000" w14:paraId="0000003B">
      <w:pPr>
        <w:rPr/>
      </w:pPr>
      <w:r w:rsidDel="00000000" w:rsidR="00000000" w:rsidRPr="00000000">
        <w:rPr>
          <w:rtl w:val="0"/>
        </w:rPr>
        <w:t xml:space="preserve">Miller, D. and Horst, H.A. (2012) </w:t>
      </w:r>
      <w:r w:rsidDel="00000000" w:rsidR="00000000" w:rsidRPr="00000000">
        <w:rPr>
          <w:i w:val="1"/>
          <w:rtl w:val="0"/>
        </w:rPr>
        <w:t xml:space="preserve">Digital Anthropology. </w:t>
      </w:r>
      <w:r w:rsidDel="00000000" w:rsidR="00000000" w:rsidRPr="00000000">
        <w:rPr>
          <w:rtl w:val="0"/>
        </w:rPr>
        <w:t xml:space="preserve">London: Berg.</w:t>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https://www-jstor-org.ezproxy.uwtsd.ac.uk/stable/10.1086/345321?sid=primo&amp;seq=1" TargetMode="External"/><Relationship Id="rId7" Type="http://schemas.openxmlformats.org/officeDocument/2006/relationships/hyperlink" Target="https://www.jstor.org/stable/2664620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