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FE79AB" wp14:paraId="16CEE196" wp14:textId="4ED6F540">
      <w:pPr>
        <w:spacing w:before="0" w:beforeAutospacing="off" w:after="0" w:afterAutospacing="off"/>
        <w:ind w:left="720" w:right="0"/>
      </w:pPr>
      <w:r w:rsidRPr="50A7582F" w:rsidR="70334ED3">
        <w:rPr>
          <w:rFonts w:ascii="Times New Roman" w:hAnsi="Times New Roman" w:eastAsia="Times New Roman" w:cs="Times New Roman"/>
          <w:b w:val="1"/>
          <w:bCs w:val="1"/>
          <w:i w:val="1"/>
          <w:iCs w:val="1"/>
          <w:strike w:val="0"/>
          <w:dstrike w:val="0"/>
          <w:noProof w:val="0"/>
          <w:color w:val="000000" w:themeColor="text1" w:themeTint="FF" w:themeShade="FF"/>
          <w:sz w:val="48"/>
          <w:szCs w:val="48"/>
          <w:u w:val="none"/>
          <w:lang w:val="en-US"/>
        </w:rPr>
        <w:t>Module: BMSW4014 Problem Solving and Innovation</w:t>
      </w:r>
    </w:p>
    <w:p xmlns:wp14="http://schemas.microsoft.com/office/word/2010/wordml" w:rsidP="2AFE79AB" wp14:paraId="262E02B0" wp14:textId="6BE37A39">
      <w:pPr>
        <w:spacing w:before="0" w:beforeAutospacing="off" w:after="0" w:afterAutospacing="off"/>
        <w:ind w:left="720" w:right="0"/>
      </w:pPr>
      <w:r w:rsidRPr="2AFE79AB" w:rsidR="70334ED3">
        <w:rPr>
          <w:rFonts w:ascii="Times New Roman" w:hAnsi="Times New Roman" w:eastAsia="Times New Roman" w:cs="Times New Roman"/>
          <w:b w:val="1"/>
          <w:bCs w:val="1"/>
          <w:i w:val="1"/>
          <w:iCs w:val="1"/>
          <w:strike w:val="0"/>
          <w:dstrike w:val="0"/>
          <w:noProof w:val="0"/>
          <w:color w:val="000000" w:themeColor="text1" w:themeTint="FF" w:themeShade="FF"/>
          <w:sz w:val="48"/>
          <w:szCs w:val="48"/>
          <w:u w:val="none"/>
          <w:lang w:val="en-US"/>
        </w:rPr>
        <w:t>Lecturer: Arpu Kumar</w:t>
      </w:r>
    </w:p>
    <w:p xmlns:wp14="http://schemas.microsoft.com/office/word/2010/wordml" w:rsidP="2AFE79AB" wp14:paraId="524327CC" wp14:textId="499F1FC2">
      <w:pPr>
        <w:spacing w:before="0" w:beforeAutospacing="off" w:after="0" w:afterAutospacing="off"/>
        <w:ind w:left="720" w:right="0"/>
      </w:pPr>
      <w:r w:rsidRPr="2AFE79AB" w:rsidR="70334ED3">
        <w:rPr>
          <w:rFonts w:ascii="Times New Roman" w:hAnsi="Times New Roman" w:eastAsia="Times New Roman" w:cs="Times New Roman"/>
          <w:b w:val="1"/>
          <w:bCs w:val="1"/>
          <w:i w:val="1"/>
          <w:iCs w:val="1"/>
          <w:strike w:val="0"/>
          <w:dstrike w:val="0"/>
          <w:noProof w:val="0"/>
          <w:color w:val="000000" w:themeColor="text1" w:themeTint="FF" w:themeShade="FF"/>
          <w:sz w:val="48"/>
          <w:szCs w:val="48"/>
          <w:u w:val="none"/>
          <w:lang w:val="en-US"/>
        </w:rPr>
        <w:t>Title: Understanding the Business Environment of the UK EV Industry</w:t>
      </w:r>
    </w:p>
    <w:p xmlns:wp14="http://schemas.microsoft.com/office/word/2010/wordml" wp14:paraId="30AB7AA7" wp14:textId="43A0FF75"/>
    <w:p xmlns:wp14="http://schemas.microsoft.com/office/word/2010/wordml" w:rsidP="2AFE79AB" wp14:paraId="7041CB7C" wp14:textId="1EE2E383">
      <w:pPr>
        <w:spacing w:before="0" w:beforeAutospacing="off" w:after="0" w:afterAutospacing="off"/>
      </w:pPr>
      <w:r w:rsidRPr="2AFE79AB" w:rsidR="70334ED3">
        <w:rPr>
          <w:rFonts w:ascii="Times New Roman" w:hAnsi="Times New Roman" w:eastAsia="Times New Roman" w:cs="Times New Roman"/>
          <w:b w:val="1"/>
          <w:bCs w:val="1"/>
          <w:i w:val="1"/>
          <w:iCs w:val="1"/>
          <w:strike w:val="0"/>
          <w:dstrike w:val="0"/>
          <w:noProof w:val="0"/>
          <w:color w:val="000000" w:themeColor="text1" w:themeTint="FF" w:themeShade="FF"/>
          <w:sz w:val="48"/>
          <w:szCs w:val="48"/>
          <w:u w:val="none"/>
          <w:lang w:val="en-US"/>
        </w:rPr>
        <w:t>Student Name: Alexandra Cirjoi</w:t>
      </w:r>
    </w:p>
    <w:p xmlns:wp14="http://schemas.microsoft.com/office/word/2010/wordml" w:rsidP="2AFE79AB" wp14:paraId="31E014B4" wp14:textId="24FFE1F8">
      <w:pPr>
        <w:spacing w:before="0" w:beforeAutospacing="off" w:after="0" w:afterAutospacing="off"/>
      </w:pPr>
      <w:r w:rsidRPr="2AFE79AB" w:rsidR="70334ED3">
        <w:rPr>
          <w:rFonts w:ascii="Times New Roman" w:hAnsi="Times New Roman" w:eastAsia="Times New Roman" w:cs="Times New Roman"/>
          <w:b w:val="1"/>
          <w:bCs w:val="1"/>
          <w:i w:val="1"/>
          <w:iCs w:val="1"/>
          <w:strike w:val="0"/>
          <w:dstrike w:val="0"/>
          <w:noProof w:val="0"/>
          <w:color w:val="000000" w:themeColor="text1" w:themeTint="FF" w:themeShade="FF"/>
          <w:sz w:val="48"/>
          <w:szCs w:val="48"/>
          <w:u w:val="none"/>
          <w:lang w:val="en-US"/>
        </w:rPr>
        <w:t>Student Number: 1919382</w:t>
      </w:r>
    </w:p>
    <w:p xmlns:wp14="http://schemas.microsoft.com/office/word/2010/wordml" w:rsidP="2AFE79AB" wp14:paraId="6EB8A593" wp14:textId="23564C71">
      <w:pPr>
        <w:spacing w:before="0" w:beforeAutospacing="off" w:after="0" w:afterAutospacing="off"/>
      </w:pPr>
      <w:r w:rsidRPr="2AFE79AB" w:rsidR="70334ED3">
        <w:rPr>
          <w:rFonts w:ascii="Times New Roman" w:hAnsi="Times New Roman" w:eastAsia="Times New Roman" w:cs="Times New Roman"/>
          <w:b w:val="1"/>
          <w:bCs w:val="1"/>
          <w:i w:val="1"/>
          <w:iCs w:val="1"/>
          <w:strike w:val="0"/>
          <w:dstrike w:val="0"/>
          <w:noProof w:val="0"/>
          <w:color w:val="000000" w:themeColor="text1" w:themeTint="FF" w:themeShade="FF"/>
          <w:sz w:val="48"/>
          <w:szCs w:val="48"/>
          <w:u w:val="none"/>
          <w:lang w:val="en-US"/>
        </w:rPr>
        <w:t>Date of Submission: 05.12.2025</w:t>
      </w:r>
    </w:p>
    <w:p xmlns:wp14="http://schemas.microsoft.com/office/word/2010/wordml" w:rsidP="2AFE79AB" wp14:paraId="56695F1D" wp14:textId="6D083024">
      <w:pPr>
        <w:spacing w:before="0" w:beforeAutospacing="off" w:after="0" w:afterAutospacing="off"/>
        <w:jc w:val="center"/>
      </w:pPr>
      <w:r w:rsidRPr="2AFE79AB" w:rsidR="70334ED3">
        <w:rPr>
          <w:rFonts w:ascii="Times New Roman" w:hAnsi="Times New Roman" w:eastAsia="Times New Roman" w:cs="Times New Roman"/>
          <w:b w:val="1"/>
          <w:bCs w:val="1"/>
          <w:i w:val="1"/>
          <w:iCs w:val="1"/>
          <w:strike w:val="0"/>
          <w:dstrike w:val="0"/>
          <w:noProof w:val="0"/>
          <w:color w:val="000000" w:themeColor="text1" w:themeTint="FF" w:themeShade="FF"/>
          <w:sz w:val="72"/>
          <w:szCs w:val="72"/>
          <w:u w:val="none"/>
          <w:lang w:val="en-US"/>
        </w:rPr>
        <w:t xml:space="preserve"> </w:t>
      </w:r>
    </w:p>
    <w:p xmlns:wp14="http://schemas.microsoft.com/office/word/2010/wordml" w:rsidP="2AFE79AB" wp14:paraId="2257F8C9" wp14:textId="6A65700D">
      <w:pPr>
        <w:spacing w:before="240" w:beforeAutospacing="off" w:after="0" w:afterAutospacing="off"/>
      </w:pPr>
      <w:r w:rsidRPr="2AFE79AB" w:rsidR="70334ED3">
        <w:rPr>
          <w:rFonts w:ascii="Calibri" w:hAnsi="Calibri" w:eastAsia="Calibri" w:cs="Calibri"/>
          <w:b w:val="0"/>
          <w:bCs w:val="0"/>
          <w:i w:val="0"/>
          <w:iCs w:val="0"/>
          <w:strike w:val="0"/>
          <w:dstrike w:val="0"/>
          <w:noProof w:val="0"/>
          <w:color w:val="000000" w:themeColor="text1" w:themeTint="FF" w:themeShade="FF"/>
          <w:sz w:val="32"/>
          <w:szCs w:val="32"/>
          <w:u w:val="none"/>
          <w:lang w:val="en-US"/>
        </w:rPr>
        <w:t>Table of Contents</w:t>
      </w:r>
    </w:p>
    <w:p xmlns:wp14="http://schemas.microsoft.com/office/word/2010/wordml" w:rsidP="2AFE79AB" wp14:paraId="5BD3342B" wp14:textId="54B645D1">
      <w:pPr>
        <w:spacing w:before="0" w:beforeAutospacing="off" w:after="0" w:afterAutospacing="off"/>
        <w:jc w:val="both"/>
      </w:pPr>
      <w:hyperlink w:anchor="heading=h.in1trpy1jsmj" r:id="Rfd1a7743ee684d5e">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Introduction</w:t>
        </w:r>
        <w:r>
          <w:tab/>
        </w:r>
        <w:r w:rsidRPr="2AFE79AB" w:rsidR="70334ED3">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3</w:t>
        </w:r>
      </w:hyperlink>
    </w:p>
    <w:p xmlns:wp14="http://schemas.microsoft.com/office/word/2010/wordml" w:rsidP="2AFE79AB" wp14:paraId="14126791" wp14:textId="3F6AF0EE">
      <w:pPr>
        <w:spacing w:before="0" w:beforeAutospacing="off" w:after="0" w:afterAutospacing="off"/>
        <w:jc w:val="both"/>
      </w:pPr>
      <w:hyperlink w:anchor="heading=h.he2p377kwixz" r:id="Re797a93885614547">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PESTLE Analysis</w:t>
        </w:r>
        <w:r>
          <w:tab/>
        </w:r>
        <w:r w:rsidRPr="2AFE79AB" w:rsidR="70334ED3">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4</w:t>
        </w:r>
      </w:hyperlink>
    </w:p>
    <w:p xmlns:wp14="http://schemas.microsoft.com/office/word/2010/wordml" w:rsidP="2AFE79AB" wp14:paraId="4D4C047F" wp14:textId="1E012B05">
      <w:pPr>
        <w:spacing w:before="0" w:beforeAutospacing="off" w:after="0" w:afterAutospacing="off"/>
        <w:jc w:val="both"/>
      </w:pPr>
      <w:hyperlink w:anchor="heading=h.o7lqa6htb64p" r:id="R4f35313fa4c84be0">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SWOT Analysis</w:t>
        </w:r>
        <w:r>
          <w:tab/>
        </w:r>
        <w:r w:rsidRPr="2AFE79AB" w:rsidR="70334ED3">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2AFE79AB" wp14:paraId="1E40D440" wp14:textId="1EC057BA">
      <w:pPr>
        <w:spacing w:before="0" w:beforeAutospacing="off" w:after="0" w:afterAutospacing="off"/>
        <w:jc w:val="both"/>
      </w:pPr>
      <w:hyperlink w:anchor="heading=h.cyhdzitsh0ik" r:id="R01e4261cfcf746b0">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Recommendations</w:t>
        </w:r>
        <w:r>
          <w:tab/>
        </w:r>
        <w:r w:rsidRPr="2AFE79AB" w:rsidR="70334ED3">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8</w:t>
        </w:r>
      </w:hyperlink>
    </w:p>
    <w:p xmlns:wp14="http://schemas.microsoft.com/office/word/2010/wordml" w:rsidP="2AFE79AB" wp14:paraId="06815305" wp14:textId="146A0D9D">
      <w:pPr>
        <w:spacing w:before="0" w:beforeAutospacing="off" w:after="0" w:afterAutospacing="off"/>
        <w:jc w:val="both"/>
      </w:pPr>
      <w:hyperlink w:anchor="heading=h.o47349df97e9" r:id="R36ec4582fb6f487f">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Conclusion</w:t>
        </w:r>
        <w:r>
          <w:tab/>
        </w:r>
        <w:r w:rsidRPr="2AFE79AB" w:rsidR="70334ED3">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9</w:t>
        </w:r>
      </w:hyperlink>
    </w:p>
    <w:p xmlns:wp14="http://schemas.microsoft.com/office/word/2010/wordml" w:rsidP="2AFE79AB" wp14:paraId="35C1F9F9" wp14:textId="540547FE">
      <w:pPr>
        <w:spacing w:before="0" w:beforeAutospacing="off" w:after="0" w:afterAutospacing="off"/>
        <w:jc w:val="both"/>
      </w:pPr>
      <w:hyperlink w:anchor="heading=h.vyw2wztfupgd" r:id="Re3265f71b1fd4be3">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References</w:t>
        </w:r>
        <w:r>
          <w:tab/>
        </w:r>
        <w:r w:rsidRPr="2AFE79AB" w:rsidR="70334ED3">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10</w:t>
        </w:r>
      </w:hyperlink>
    </w:p>
    <w:p xmlns:wp14="http://schemas.microsoft.com/office/word/2010/wordml" wp14:paraId="6393C985" wp14:textId="5929FADD"/>
    <w:p xmlns:wp14="http://schemas.microsoft.com/office/word/2010/wordml" w:rsidP="2AFE79AB" wp14:paraId="436B087D" wp14:textId="0EDA5E62">
      <w:pPr>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List of Figures</w:t>
      </w:r>
    </w:p>
    <w:p xmlns:wp14="http://schemas.microsoft.com/office/word/2010/wordml" w:rsidP="2AFE79AB" wp14:paraId="68326C3F" wp14:textId="29659E7A">
      <w:pPr>
        <w:spacing w:before="0" w:beforeAutospacing="off" w:after="0" w:afterAutospacing="off"/>
        <w:jc w:val="both"/>
      </w:pPr>
      <w:hyperlink w:anchor="heading=h.n4k44us05qit" r:id="Rc680819aa9a44865">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Figure 1: PESTLE Analysis</w:t>
        </w:r>
        <w:r>
          <w:tab/>
        </w:r>
        <w:r w:rsidRPr="2AFE79AB" w:rsidR="70334ED3">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4</w:t>
        </w:r>
      </w:hyperlink>
    </w:p>
    <w:p xmlns:wp14="http://schemas.microsoft.com/office/word/2010/wordml" wp14:paraId="602FF0FD" wp14:textId="51CDED31"/>
    <w:p xmlns:wp14="http://schemas.microsoft.com/office/word/2010/wordml" wp14:paraId="276B760E" wp14:textId="1BE16699"/>
    <w:p xmlns:wp14="http://schemas.microsoft.com/office/word/2010/wordml" w:rsidP="2AFE79AB" wp14:paraId="11504501" wp14:textId="3AC8008C">
      <w:pPr>
        <w:pStyle w:val="Heading1"/>
        <w:spacing w:before="113"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Introduction</w:t>
      </w:r>
    </w:p>
    <w:p xmlns:wp14="http://schemas.microsoft.com/office/word/2010/wordml" w:rsidP="2AFE79AB" wp14:paraId="0BE6DA74" wp14:textId="08B44830">
      <w:pPr>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market of electric vehicles (EV) is evolving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very fast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the United Kingdom, the reasons for which can be explained by the goals of climate and the government (Mandys, 2021). And </w:t>
      </w:r>
      <w:r w:rsidRPr="50A7582F" w:rsidR="666C4D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also,</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by the increasing number of consumers who consider sustainable transportation to be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very important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However, the other external conditions that the industry must bear include economic crisis, logistical </w:t>
      </w:r>
      <w:r w:rsidRPr="50A7582F" w:rsidR="3B0EBA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problems,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changing environmental policy. The report is a critical analysis, which combines both the PESTLE framework and SWOT review framework to examine the external forces covered in the module that the UK EV industry has been affected by. It examines the role of political policies, technological innovation, social </w:t>
      </w:r>
      <w:r w:rsidRPr="50A7582F" w:rsidR="1BDBF4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attitudes,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legal requirements in the development of </w:t>
      </w:r>
      <w:r w:rsidRPr="50A7582F" w:rsidR="71148B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industry</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other factor that the report considers is the significance of innovation in ensuring competitiveness and sustainability. It is designed to provide a clear picture of the available problems and provide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viable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solutions to </w:t>
      </w:r>
      <w:r w:rsidRPr="50A7582F" w:rsidR="6502F0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companies in the UK.</w:t>
      </w:r>
    </w:p>
    <w:p xmlns:wp14="http://schemas.microsoft.com/office/word/2010/wordml" wp14:paraId="670DED85" wp14:textId="05B868C4"/>
    <w:p xmlns:wp14="http://schemas.microsoft.com/office/word/2010/wordml" w:rsidP="2AFE79AB" wp14:paraId="7D80E687" wp14:textId="663F46FA">
      <w:pPr>
        <w:pStyle w:val="Heading1"/>
        <w:spacing w:before="113"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PESTLE Analysis</w:t>
      </w:r>
    </w:p>
    <w:p xmlns:wp14="http://schemas.microsoft.com/office/word/2010/wordml" w:rsidP="2AFE79AB" wp14:paraId="62CC8095" wp14:textId="6EC5F40B">
      <w:pPr>
        <w:spacing w:before="0" w:beforeAutospacing="off" w:after="0" w:afterAutospacing="off"/>
        <w:jc w:val="center"/>
      </w:pPr>
      <w:r w:rsidR="70334ED3">
        <w:drawing>
          <wp:inline xmlns:wp14="http://schemas.microsoft.com/office/word/2010/wordprocessingDrawing" wp14:editId="27786F20" wp14:anchorId="7A2F597B">
            <wp:extent cx="3600450" cy="2019300"/>
            <wp:effectExtent l="0" t="0" r="0" b="0"/>
            <wp:docPr id="8236974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697479" name="Picture 823697479"/>
                    <pic:cNvPicPr/>
                  </pic:nvPicPr>
                  <pic:blipFill>
                    <a:blip xmlns:r="http://schemas.openxmlformats.org/officeDocument/2006/relationships" r:embed="rId1239875776">
                      <a:extLst>
                        <a:ext uri="{28A0092B-C50C-407E-A947-70E740481C1C}">
                          <a14:useLocalDpi xmlns:a14="http://schemas.microsoft.com/office/drawing/2010/main"/>
                        </a:ext>
                      </a:extLst>
                    </a:blip>
                    <a:stretch>
                      <a:fillRect/>
                    </a:stretch>
                  </pic:blipFill>
                  <pic:spPr>
                    <a:xfrm>
                      <a:off x="0" y="0"/>
                      <a:ext cx="3600450" cy="2019300"/>
                    </a:xfrm>
                    <a:prstGeom prst="rect">
                      <a:avLst/>
                    </a:prstGeom>
                  </pic:spPr>
                </pic:pic>
              </a:graphicData>
            </a:graphic>
          </wp:inline>
        </w:drawing>
      </w:r>
    </w:p>
    <w:p xmlns:wp14="http://schemas.microsoft.com/office/word/2010/wordml" w:rsidP="2AFE79AB" wp14:paraId="4F96AFB7" wp14:textId="2D569957">
      <w:pPr>
        <w:spacing w:before="120" w:beforeAutospacing="off" w:after="120" w:afterAutospacing="off"/>
        <w:jc w:val="center"/>
      </w:pP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Figure 1: PESTLE Analysis</w:t>
      </w:r>
    </w:p>
    <w:p xmlns:wp14="http://schemas.microsoft.com/office/word/2010/wordml" w:rsidP="2AFE79AB" wp14:paraId="4564FAAE" wp14:textId="557B4492">
      <w:pPr>
        <w:spacing w:before="120" w:beforeAutospacing="off" w:after="120" w:afterAutospacing="off"/>
        <w:jc w:val="center"/>
      </w:pP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Source: (Slide Model, n.d.)</w:t>
      </w:r>
    </w:p>
    <w:p xmlns:wp14="http://schemas.microsoft.com/office/word/2010/wordml" wp14:paraId="69732AAA" wp14:textId="04ED9B72"/>
    <w:p xmlns:wp14="http://schemas.microsoft.com/office/word/2010/wordml" w:rsidP="2AFE79AB" wp14:paraId="768136D9" wp14:textId="43F4B62B">
      <w:pPr>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1. Political Factors</w:t>
      </w:r>
    </w:p>
    <w:p xmlns:wp14="http://schemas.microsoft.com/office/word/2010/wordml" w:rsidP="2AFE79AB" wp14:paraId="6193815E" wp14:textId="17FBED2B">
      <w:pPr>
        <w:spacing w:before="0" w:beforeAutospacing="off" w:after="0" w:afterAutospacing="off"/>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electric vehicle industry is highly controlled by the UK government. It has sparked producers to take EV manufacture seriously, thanks to its decision to go net-zero by 2050 and its planned ban on the sale of new petrol and diesel cars by 2035 (Mandys and Taneja, 2024). However, the latest changes in policies, such as the extension of the ban up to the year 203,0, throw investors and manufacturers into uncertainty. These charges, Infrastructure schemes and the tax incentives will boost growth, but any political instabilities and new leadership will affect the long-term EV strategies.</w:t>
      </w:r>
    </w:p>
    <w:p xmlns:wp14="http://schemas.microsoft.com/office/word/2010/wordml" w:rsidP="2AFE79AB" wp14:paraId="7941D90C" wp14:textId="216D37BB">
      <w:pPr>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2. Economic Factors </w:t>
      </w:r>
    </w:p>
    <w:p xmlns:wp14="http://schemas.microsoft.com/office/word/2010/wordml" w:rsidP="2AFE79AB" wp14:paraId="2FC32976" wp14:textId="74023478">
      <w:pPr>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Electric vehicles in the UK will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mainly be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adopted based on the economy. The ability to afford EVs is reduced because they are still expensive compared to regular cars due to the high inflation and the cost of living (Costa et al., 2021). The financing and leasing facility is affected by a rise in interest rates. At the same time, the government is investing in </w:t>
      </w:r>
      <w:r w:rsidRPr="50A7582F" w:rsidR="36C9AD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local</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production,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battery production plants, to boost </w:t>
      </w:r>
      <w:r w:rsidRPr="50A7582F" w:rsidR="50B495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economic</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growth and reduce international reliance. The profitability and manufacturing cost are also subject to </w:t>
      </w:r>
      <w:r w:rsidRPr="50A7582F" w:rsidR="58AA5C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variations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0A7582F" w:rsidR="0CB780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world prices of lithium and cobalt.</w:t>
      </w:r>
    </w:p>
    <w:p xmlns:wp14="http://schemas.microsoft.com/office/word/2010/wordml" wp14:paraId="1EB7C8F6" wp14:textId="0164BC46"/>
    <w:p xmlns:wp14="http://schemas.microsoft.com/office/word/2010/wordml" wp14:paraId="3B0AC05D" wp14:textId="33287638"/>
    <w:p xmlns:wp14="http://schemas.microsoft.com/office/word/2010/wordml" w:rsidP="2AFE79AB" wp14:paraId="637EE20D" wp14:textId="6420490D">
      <w:pPr>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3. Social Factors </w:t>
      </w:r>
    </w:p>
    <w:p xmlns:wp14="http://schemas.microsoft.com/office/word/2010/wordml" w:rsidP="2AFE79AB" wp14:paraId="48520C5E" wp14:textId="200F736D">
      <w:pPr>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number of people shifting towards environmental sustainability is also helping boost EV demand in the UK (ONS, 2024). The population is </w:t>
      </w:r>
      <w:r w:rsidRPr="50A7582F" w:rsidR="1384B4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becoming</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more aware of the issue of climate change and is making a healthier choice of transport (Venghaus, </w:t>
      </w:r>
      <w:r w:rsidRPr="50A7582F" w:rsidR="25CD5B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Henseleit,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Belka, 2022). However, fear of a lack of enough supply of charge, long commute and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high cost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initial</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purchase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remains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put-off to some buyers. The ULEZ, which is the clean air zone in London, encourages people to own EVs, and in rural areas, it is mitigated by a limited number of charging stations. It is socially acceptable, but it is dependent on cost and convenience to win consumer trust.</w:t>
      </w:r>
    </w:p>
    <w:p xmlns:wp14="http://schemas.microsoft.com/office/word/2010/wordml" w:rsidP="2AFE79AB" wp14:paraId="07B85F0A" wp14:textId="1547DF7D">
      <w:pPr>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4. Technological Factors</w:t>
      </w:r>
    </w:p>
    <w:p xmlns:wp14="http://schemas.microsoft.com/office/word/2010/wordml" w:rsidP="2AFE79AB" wp14:paraId="5DDEA0DA" wp14:textId="73FEB70F">
      <w:pPr>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w:t>
      </w:r>
      <w:r w:rsidRPr="50A7582F" w:rsidR="38D7C1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 industry</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has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benefited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from atypical rapid technological innovation, which has also become a challenge (Alanazi, 2023). The battery technology has increased the range of </w:t>
      </w:r>
      <w:r w:rsidRPr="50A7582F" w:rsidR="3A99241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vehicles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reduced the period of charging it, making EVs a possibility. The UK is expanding its pool of charging facilities with over 60,000 communal charging points already in existence (Pemberton,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Nobajas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Waller, 2021). Some of the developments that are in sight include smart charging, autonomous driving </w:t>
      </w:r>
      <w:r w:rsidRPr="50A7582F" w:rsidR="052ACC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features,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vehicle-to-grid. Competition among these nations, like China and the failure of such enterprises like </w:t>
      </w:r>
      <w:r w:rsidRPr="50A7582F" w:rsidR="7B86E4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British Volt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but witness to the fact that it is in what innovation must be seriously invested and even in a stable state.</w:t>
      </w:r>
    </w:p>
    <w:p xmlns:wp14="http://schemas.microsoft.com/office/word/2010/wordml" w:rsidP="2AFE79AB" wp14:paraId="7C7D3A8D" wp14:textId="1A1673EF">
      <w:pPr>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5. Legal Factors</w:t>
      </w:r>
    </w:p>
    <w:p xmlns:wp14="http://schemas.microsoft.com/office/word/2010/wordml" w:rsidP="50A7582F" wp14:paraId="0EECBC9B" wp14:textId="16856624">
      <w:pPr>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legal environment is very crucial to the EV business. </w:t>
      </w:r>
      <w:r w:rsidRPr="50A7582F" w:rsidR="2154B06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UK</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laws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indicate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manufacturers should adhere to high-quality standards of emissions and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assist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switching to zero-emission transport by 2035. Companies ought to follow safety regulations, recycling, and consumer regulations (Jones, 2023). The litigation on false environmental claims (greenwashing) is also increasing. In addition, the new trade policy post-Brexit will affect the cost and transit of vehicle parts and skilled workers.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These are rules which encourage livelihood, but at a more expensive rate to a producer in terms of compliance.</w:t>
      </w:r>
    </w:p>
    <w:p xmlns:wp14="http://schemas.microsoft.com/office/word/2010/wordml" w:rsidP="2AFE79AB" wp14:paraId="7E8ED351" wp14:textId="36B629CD">
      <w:pPr>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6. Environmental Factors </w:t>
      </w:r>
    </w:p>
    <w:p xmlns:wp14="http://schemas.microsoft.com/office/word/2010/wordml" w:rsidP="2AFE79AB" wp14:paraId="59640880" wp14:textId="716815E2">
      <w:pPr>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Environmental issues are the first impulse of the EV industry. Electric vehicles produce fewer air emissions and can help the UK meet its climate target (R B, 2023). However, the creation of electricity-powered batteries (EV batteries) can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impact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nature of </w:t>
      </w:r>
      <w:r w:rsidRPr="50A7582F" w:rsidR="7B8F7F3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environment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a negative way; this is because it involves the extraction of lithium and cobalt. Pressure is mounting on the need to make battery sourcing and recycling sustainable. There may have been </w:t>
      </w:r>
      <w:r w:rsidRPr="50A7582F" w:rsidR="03742A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some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extreme weather also which may affect the efficiency of the charging. Although EVs are purer compared to petrol cars, it is the use of renewable energy and their responsible production that makes the whole environmental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behavior</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EVs.SWOT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Analysis</w:t>
      </w:r>
    </w:p>
    <w:p xmlns:wp14="http://schemas.microsoft.com/office/word/2010/wordml" wp14:paraId="3B77EA77" wp14:textId="16C72C56"/>
    <w:p xmlns:wp14="http://schemas.microsoft.com/office/word/2010/wordml" w:rsidP="2AFE79AB" wp14:paraId="7255431C" wp14:textId="44702738">
      <w:pPr>
        <w:spacing w:before="120" w:beforeAutospacing="off" w:after="120" w:afterAutospacing="off"/>
        <w:jc w:val="both"/>
      </w:pP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Table 1: SWOT — UK EV Industry</w:t>
      </w:r>
    </w:p>
    <w:tbl>
      <w:tblPr>
        <w:tblStyle w:val="TableNormal"/>
        <w:bidiVisual w:val="0"/>
        <w:tblW w:w="0" w:type="auto"/>
        <w:tblLook w:val="06A0" w:firstRow="1" w:lastRow="0" w:firstColumn="1" w:lastColumn="0" w:noHBand="1" w:noVBand="1"/>
      </w:tblPr>
      <w:tblGrid>
        <w:gridCol w:w="4659"/>
        <w:gridCol w:w="4449"/>
      </w:tblGrid>
      <w:tr w:rsidR="2AFE79AB" w:rsidTr="2AFE79AB" w14:paraId="6336E790">
        <w:trPr>
          <w:trHeight w:val="300"/>
        </w:trPr>
        <w:tc>
          <w:tcPr>
            <w:tcW w:w="465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FE79AB" w:rsidP="2AFE79AB" w:rsidRDefault="2AFE79AB" w14:paraId="215DF03C" w14:textId="04821534">
            <w:pPr>
              <w:spacing w:before="0" w:beforeAutospacing="off" w:after="0" w:afterAutospacing="off"/>
              <w:ind w:left="-108" w:right="0"/>
              <w:jc w:val="center"/>
            </w:pPr>
            <w:r w:rsidRPr="2AFE79AB" w:rsidR="2AFE79AB">
              <w:rPr>
                <w:rFonts w:ascii="Times New Roman" w:hAnsi="Times New Roman" w:eastAsia="Times New Roman" w:cs="Times New Roman"/>
                <w:b w:val="1"/>
                <w:bCs w:val="1"/>
                <w:i w:val="0"/>
                <w:iCs w:val="0"/>
                <w:strike w:val="0"/>
                <w:dstrike w:val="0"/>
                <w:color w:val="000000" w:themeColor="text1" w:themeTint="FF" w:themeShade="FF"/>
                <w:sz w:val="24"/>
                <w:szCs w:val="24"/>
                <w:u w:val="none"/>
              </w:rPr>
              <w:t>Strengths</w:t>
            </w:r>
          </w:p>
        </w:tc>
        <w:tc>
          <w:tcPr>
            <w:tcW w:w="44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FE79AB" w:rsidP="2AFE79AB" w:rsidRDefault="2AFE79AB" w14:paraId="6D3D97AE" w14:textId="066A2328">
            <w:pPr>
              <w:spacing w:before="0" w:beforeAutospacing="off" w:after="0" w:afterAutospacing="off"/>
              <w:ind w:left="-108" w:right="0"/>
            </w:pPr>
          </w:p>
          <w:tbl>
            <w:tblPr>
              <w:tblStyle w:val="TableNormal"/>
              <w:bidiVisual w:val="0"/>
              <w:tblW w:w="0" w:type="auto"/>
              <w:tblLook w:val="06A0" w:firstRow="1" w:lastRow="0" w:firstColumn="1" w:lastColumn="0" w:noHBand="1" w:noVBand="1"/>
            </w:tblPr>
            <w:tblGrid>
              <w:gridCol w:w="4239"/>
            </w:tblGrid>
            <w:tr w:rsidR="2AFE79AB" w:rsidTr="2AFE79AB" w14:paraId="634BD103">
              <w:trPr>
                <w:trHeight w:val="300"/>
              </w:trPr>
              <w:tc>
                <w:tcPr>
                  <w:tcW w:w="4239" w:type="dxa"/>
                  <w:tcMar>
                    <w:top w:w="15" w:type="dxa"/>
                    <w:left w:w="15" w:type="dxa"/>
                    <w:bottom w:w="15" w:type="dxa"/>
                    <w:right w:w="15" w:type="dxa"/>
                  </w:tcMar>
                  <w:vAlign w:val="center"/>
                </w:tcPr>
                <w:p w:rsidR="2AFE79AB" w:rsidP="2AFE79AB" w:rsidRDefault="2AFE79AB" w14:paraId="4FFFEF67" w14:textId="7AE467E5">
                  <w:pPr>
                    <w:spacing w:before="0" w:beforeAutospacing="off" w:after="0" w:afterAutospacing="off"/>
                    <w:ind w:left="-108" w:right="0"/>
                    <w:jc w:val="center"/>
                  </w:pPr>
                  <w:r w:rsidRPr="2AFE79AB" w:rsidR="2AFE79AB">
                    <w:rPr>
                      <w:rFonts w:ascii="Times New Roman" w:hAnsi="Times New Roman" w:eastAsia="Times New Roman" w:cs="Times New Roman"/>
                      <w:b w:val="1"/>
                      <w:bCs w:val="1"/>
                      <w:i w:val="0"/>
                      <w:iCs w:val="0"/>
                      <w:strike w:val="0"/>
                      <w:dstrike w:val="0"/>
                      <w:color w:val="000000" w:themeColor="text1" w:themeTint="FF" w:themeShade="FF"/>
                      <w:sz w:val="24"/>
                      <w:szCs w:val="24"/>
                      <w:u w:val="none"/>
                    </w:rPr>
                    <w:t>Weaknesses</w:t>
                  </w:r>
                </w:p>
              </w:tc>
            </w:tr>
          </w:tbl>
          <w:p w:rsidR="2AFE79AB" w:rsidP="2AFE79AB" w:rsidRDefault="2AFE79AB" w14:paraId="505C407B" w14:textId="18E79F65">
            <w:pPr>
              <w:bidi w:val="0"/>
              <w:spacing w:before="0" w:beforeAutospacing="off" w:after="0" w:afterAutospacing="off"/>
              <w:ind w:left="-108" w:right="0"/>
            </w:pPr>
          </w:p>
          <w:tbl>
            <w:tblPr>
              <w:tblStyle w:val="TableNormal"/>
              <w:bidiVisual w:val="0"/>
              <w:tblW w:w="0" w:type="auto"/>
              <w:tblLook w:val="06A0" w:firstRow="1" w:lastRow="0" w:firstColumn="1" w:lastColumn="0" w:noHBand="1" w:noVBand="1"/>
            </w:tblPr>
            <w:tblGrid>
              <w:gridCol w:w="4239"/>
            </w:tblGrid>
            <w:tr w:rsidR="2AFE79AB" w:rsidTr="2AFE79AB" w14:paraId="300C1426">
              <w:trPr>
                <w:trHeight w:val="300"/>
              </w:trPr>
              <w:tc>
                <w:tcPr>
                  <w:tcW w:w="4239" w:type="dxa"/>
                  <w:tcMar>
                    <w:top w:w="15" w:type="dxa"/>
                    <w:left w:w="15" w:type="dxa"/>
                    <w:bottom w:w="15" w:type="dxa"/>
                    <w:right w:w="15" w:type="dxa"/>
                  </w:tcMar>
                  <w:vAlign w:val="center"/>
                </w:tcPr>
                <w:p w:rsidR="2AFE79AB" w:rsidP="2AFE79AB" w:rsidRDefault="2AFE79AB" w14:paraId="211AB6A5" w14:textId="4601ABA8">
                  <w:pPr>
                    <w:bidi w:val="0"/>
                    <w:spacing w:before="0" w:beforeAutospacing="off" w:after="0" w:afterAutospacing="off"/>
                    <w:ind w:left="-108" w:right="0"/>
                  </w:pPr>
                </w:p>
              </w:tc>
            </w:tr>
          </w:tbl>
          <w:p w:rsidR="2AFE79AB" w:rsidP="2AFE79AB" w:rsidRDefault="2AFE79AB" w14:paraId="10209C9D" w14:textId="4064B290">
            <w:pPr>
              <w:bidi w:val="0"/>
              <w:spacing w:before="0" w:beforeAutospacing="off" w:after="0" w:afterAutospacing="off"/>
              <w:ind w:left="-108" w:right="0"/>
            </w:pPr>
          </w:p>
        </w:tc>
      </w:tr>
      <w:tr w:rsidR="2AFE79AB" w:rsidTr="2AFE79AB" w14:paraId="1008F06F">
        <w:trPr>
          <w:trHeight w:val="300"/>
        </w:trPr>
        <w:tc>
          <w:tcPr>
            <w:tcW w:w="4659" w:type="dxa"/>
            <w:tcBorders>
              <w:top w:val="single" w:color="000000" w:themeColor="text1" w:sz="4"/>
              <w:left w:val="single" w:color="000000" w:themeColor="text1" w:sz="4"/>
              <w:bottom w:val="single" w:color="000000" w:themeColor="text1" w:sz="4"/>
              <w:right w:val="single" w:color="000000" w:themeColor="text1" w:sz="4"/>
            </w:tcBorders>
            <w:shd w:val="clear" w:color="auto" w:fill="BDD6EE"/>
            <w:tcMar>
              <w:left w:w="108" w:type="dxa"/>
              <w:right w:w="108" w:type="dxa"/>
            </w:tcMar>
            <w:vAlign w:val="top"/>
          </w:tcPr>
          <w:p w:rsidR="2AFE79AB" w:rsidP="2AFE79AB" w:rsidRDefault="2AFE79AB" w14:paraId="694C8400" w14:textId="120CFFCF">
            <w:pPr>
              <w:spacing w:before="0" w:beforeAutospacing="off" w:after="0" w:afterAutospacing="off"/>
              <w:ind w:left="-108" w:right="0"/>
              <w:jc w:val="both"/>
            </w:pPr>
            <w:r w:rsidRPr="2AFE79AB" w:rsidR="2AFE79AB">
              <w:rPr>
                <w:rFonts w:ascii="Times New Roman" w:hAnsi="Times New Roman" w:eastAsia="Times New Roman" w:cs="Times New Roman"/>
                <w:b w:val="0"/>
                <w:bCs w:val="0"/>
                <w:i w:val="0"/>
                <w:iCs w:val="0"/>
                <w:strike w:val="0"/>
                <w:dstrike w:val="0"/>
                <w:color w:val="000000" w:themeColor="text1" w:themeTint="FF" w:themeShade="FF"/>
                <w:sz w:val="24"/>
                <w:szCs w:val="24"/>
                <w:u w:val="none"/>
              </w:rPr>
              <w:t>• Clear policy direction toward net-zero driving EV transition • Growing domestic R&amp;D and innovation capacity (batteries, software, charging) • Established automotive expertise and supply chains in key regions • Expanding public and private charging networks • Strong consumer awareness of air-quality and climate goals • Access to finance for fleet electrification and infrastructure</w:t>
            </w:r>
          </w:p>
        </w:tc>
        <w:tc>
          <w:tcPr>
            <w:tcW w:w="4449" w:type="dxa"/>
            <w:tcBorders>
              <w:top w:val="single" w:color="000000" w:themeColor="text1" w:sz="4"/>
              <w:left w:val="single" w:color="000000" w:themeColor="text1" w:sz="4"/>
              <w:bottom w:val="single" w:color="000000" w:themeColor="text1" w:sz="4"/>
              <w:right w:val="single" w:color="000000" w:themeColor="text1" w:sz="4"/>
            </w:tcBorders>
            <w:shd w:val="clear" w:color="auto" w:fill="BDD6EE"/>
            <w:tcMar>
              <w:left w:w="108" w:type="dxa"/>
              <w:right w:w="108" w:type="dxa"/>
            </w:tcMar>
            <w:vAlign w:val="top"/>
          </w:tcPr>
          <w:p w:rsidR="2AFE79AB" w:rsidP="2AFE79AB" w:rsidRDefault="2AFE79AB" w14:paraId="7C54E491" w14:textId="1714081F">
            <w:pPr>
              <w:spacing w:before="0" w:beforeAutospacing="off" w:after="0" w:afterAutospacing="off"/>
              <w:ind w:left="-108" w:right="0"/>
              <w:jc w:val="both"/>
            </w:pPr>
            <w:r w:rsidRPr="2AFE79AB" w:rsidR="2AFE79AB">
              <w:rPr>
                <w:rFonts w:ascii="Times New Roman" w:hAnsi="Times New Roman" w:eastAsia="Times New Roman" w:cs="Times New Roman"/>
                <w:b w:val="0"/>
                <w:bCs w:val="0"/>
                <w:i w:val="0"/>
                <w:iCs w:val="0"/>
                <w:strike w:val="0"/>
                <w:dstrike w:val="0"/>
                <w:color w:val="000000" w:themeColor="text1" w:themeTint="FF" w:themeShade="FF"/>
                <w:sz w:val="24"/>
                <w:szCs w:val="24"/>
                <w:u w:val="none"/>
              </w:rPr>
              <w:t>• Higher upfront purchase costs versus ICE vehicles • Uneven charging reliability and regional coverage gaps • Dependence on imported critical minerals and key components • Skills shortages in battery, power electronics, and high-voltage maintenance • Slower replacement cycles for private consumers • Residual-value uncertainty affecting leasing costs</w:t>
            </w:r>
          </w:p>
        </w:tc>
      </w:tr>
      <w:tr w:rsidR="2AFE79AB" w:rsidTr="2AFE79AB" w14:paraId="73D11701">
        <w:trPr>
          <w:trHeight w:val="300"/>
        </w:trPr>
        <w:tc>
          <w:tcPr>
            <w:tcW w:w="465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FE79AB" w:rsidP="2AFE79AB" w:rsidRDefault="2AFE79AB" w14:paraId="24A9E424" w14:textId="20858D7A">
            <w:pPr>
              <w:spacing w:before="0" w:beforeAutospacing="off" w:after="0" w:afterAutospacing="off"/>
              <w:ind w:left="-108" w:right="0"/>
              <w:jc w:val="center"/>
            </w:pPr>
            <w:r w:rsidRPr="2AFE79AB" w:rsidR="2AFE79AB">
              <w:rPr>
                <w:rFonts w:ascii="Times New Roman" w:hAnsi="Times New Roman" w:eastAsia="Times New Roman" w:cs="Times New Roman"/>
                <w:b w:val="1"/>
                <w:bCs w:val="1"/>
                <w:i w:val="0"/>
                <w:iCs w:val="0"/>
                <w:strike w:val="0"/>
                <w:dstrike w:val="0"/>
                <w:color w:val="000000" w:themeColor="text1" w:themeTint="FF" w:themeShade="FF"/>
                <w:sz w:val="24"/>
                <w:szCs w:val="24"/>
                <w:u w:val="none"/>
              </w:rPr>
              <w:t>Opportunities</w:t>
            </w:r>
          </w:p>
        </w:tc>
        <w:tc>
          <w:tcPr>
            <w:tcW w:w="44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FE79AB" w:rsidP="2AFE79AB" w:rsidRDefault="2AFE79AB" w14:paraId="3689AEB3" w14:textId="5C803495">
            <w:pPr>
              <w:spacing w:before="0" w:beforeAutospacing="off" w:after="0" w:afterAutospacing="off"/>
              <w:ind w:left="-108" w:right="0"/>
            </w:pPr>
          </w:p>
          <w:tbl>
            <w:tblPr>
              <w:tblStyle w:val="TableNormal"/>
              <w:bidiVisual w:val="0"/>
              <w:tblW w:w="0" w:type="auto"/>
              <w:tblLook w:val="06A0" w:firstRow="1" w:lastRow="0" w:firstColumn="1" w:lastColumn="0" w:noHBand="1" w:noVBand="1"/>
            </w:tblPr>
            <w:tblGrid>
              <w:gridCol w:w="4239"/>
            </w:tblGrid>
            <w:tr w:rsidR="2AFE79AB" w:rsidTr="2AFE79AB" w14:paraId="10DE68F2">
              <w:trPr>
                <w:trHeight w:val="300"/>
              </w:trPr>
              <w:tc>
                <w:tcPr>
                  <w:tcW w:w="4239" w:type="dxa"/>
                  <w:tcMar>
                    <w:top w:w="15" w:type="dxa"/>
                    <w:left w:w="15" w:type="dxa"/>
                    <w:bottom w:w="15" w:type="dxa"/>
                    <w:right w:w="15" w:type="dxa"/>
                  </w:tcMar>
                  <w:vAlign w:val="center"/>
                </w:tcPr>
                <w:p w:rsidR="2AFE79AB" w:rsidP="2AFE79AB" w:rsidRDefault="2AFE79AB" w14:paraId="5CD83AD6" w14:textId="1887651D">
                  <w:pPr>
                    <w:spacing w:before="0" w:beforeAutospacing="off" w:after="0" w:afterAutospacing="off"/>
                    <w:ind w:left="-108" w:right="0"/>
                    <w:jc w:val="center"/>
                  </w:pPr>
                  <w:r w:rsidRPr="2AFE79AB" w:rsidR="2AFE79AB">
                    <w:rPr>
                      <w:rFonts w:ascii="Times New Roman" w:hAnsi="Times New Roman" w:eastAsia="Times New Roman" w:cs="Times New Roman"/>
                      <w:b w:val="1"/>
                      <w:bCs w:val="1"/>
                      <w:i w:val="0"/>
                      <w:iCs w:val="0"/>
                      <w:strike w:val="0"/>
                      <w:dstrike w:val="0"/>
                      <w:color w:val="000000" w:themeColor="text1" w:themeTint="FF" w:themeShade="FF"/>
                      <w:sz w:val="24"/>
                      <w:szCs w:val="24"/>
                      <w:u w:val="none"/>
                    </w:rPr>
                    <w:t>Threats</w:t>
                  </w:r>
                </w:p>
              </w:tc>
            </w:tr>
          </w:tbl>
          <w:p w:rsidR="2AFE79AB" w:rsidP="2AFE79AB" w:rsidRDefault="2AFE79AB" w14:paraId="7F8AD85D" w14:textId="301137AE">
            <w:pPr>
              <w:bidi w:val="0"/>
              <w:spacing w:before="0" w:beforeAutospacing="off" w:after="0" w:afterAutospacing="off"/>
              <w:ind w:left="-108" w:right="0"/>
            </w:pPr>
          </w:p>
          <w:tbl>
            <w:tblPr>
              <w:tblStyle w:val="TableNormal"/>
              <w:bidiVisual w:val="0"/>
              <w:tblW w:w="0" w:type="auto"/>
              <w:tblLook w:val="06A0" w:firstRow="1" w:lastRow="0" w:firstColumn="1" w:lastColumn="0" w:noHBand="1" w:noVBand="1"/>
            </w:tblPr>
            <w:tblGrid>
              <w:gridCol w:w="4239"/>
            </w:tblGrid>
            <w:tr w:rsidR="2AFE79AB" w:rsidTr="2AFE79AB" w14:paraId="2EB6F9F2">
              <w:trPr>
                <w:trHeight w:val="300"/>
              </w:trPr>
              <w:tc>
                <w:tcPr>
                  <w:tcW w:w="4239" w:type="dxa"/>
                  <w:tcMar>
                    <w:top w:w="15" w:type="dxa"/>
                    <w:left w:w="15" w:type="dxa"/>
                    <w:bottom w:w="15" w:type="dxa"/>
                    <w:right w:w="15" w:type="dxa"/>
                  </w:tcMar>
                  <w:vAlign w:val="center"/>
                </w:tcPr>
                <w:p w:rsidR="2AFE79AB" w:rsidP="2AFE79AB" w:rsidRDefault="2AFE79AB" w14:paraId="500BFF3E" w14:textId="3F41BC5F">
                  <w:pPr>
                    <w:bidi w:val="0"/>
                    <w:spacing w:before="0" w:beforeAutospacing="off" w:after="0" w:afterAutospacing="off"/>
                    <w:ind w:left="-108" w:right="0"/>
                  </w:pPr>
                </w:p>
              </w:tc>
            </w:tr>
          </w:tbl>
          <w:p w:rsidR="2AFE79AB" w:rsidP="2AFE79AB" w:rsidRDefault="2AFE79AB" w14:paraId="596A9622" w14:textId="508272FE">
            <w:pPr>
              <w:bidi w:val="0"/>
              <w:spacing w:before="0" w:beforeAutospacing="off" w:after="0" w:afterAutospacing="off"/>
              <w:ind w:left="-108" w:right="0"/>
            </w:pPr>
          </w:p>
        </w:tc>
      </w:tr>
      <w:tr w:rsidR="2AFE79AB" w:rsidTr="2AFE79AB" w14:paraId="3B4A29B1">
        <w:trPr>
          <w:trHeight w:val="300"/>
        </w:trPr>
        <w:tc>
          <w:tcPr>
            <w:tcW w:w="4659" w:type="dxa"/>
            <w:tcBorders>
              <w:top w:val="single" w:color="000000" w:themeColor="text1" w:sz="4"/>
              <w:left w:val="single" w:color="000000" w:themeColor="text1" w:sz="4"/>
              <w:bottom w:val="single" w:color="000000" w:themeColor="text1" w:sz="4"/>
              <w:right w:val="single" w:color="000000" w:themeColor="text1" w:sz="4"/>
            </w:tcBorders>
            <w:shd w:val="clear" w:color="auto" w:fill="BDD6EE"/>
            <w:tcMar>
              <w:left w:w="108" w:type="dxa"/>
              <w:right w:w="108" w:type="dxa"/>
            </w:tcMar>
            <w:vAlign w:val="top"/>
          </w:tcPr>
          <w:p w:rsidR="2AFE79AB" w:rsidP="2AFE79AB" w:rsidRDefault="2AFE79AB" w14:paraId="368BD8F7" w14:textId="35360E3E">
            <w:pPr>
              <w:spacing w:before="0" w:beforeAutospacing="off" w:after="0" w:afterAutospacing="off"/>
              <w:ind w:left="-108" w:right="0"/>
            </w:pPr>
          </w:p>
          <w:tbl>
            <w:tblPr>
              <w:tblStyle w:val="TableNormal"/>
              <w:bidiVisual w:val="0"/>
              <w:tblW w:w="0" w:type="auto"/>
              <w:tblLook w:val="06A0" w:firstRow="1" w:lastRow="0" w:firstColumn="1" w:lastColumn="0" w:noHBand="1" w:noVBand="1"/>
            </w:tblPr>
            <w:tblGrid>
              <w:gridCol w:w="4449"/>
            </w:tblGrid>
            <w:tr w:rsidR="2AFE79AB" w:rsidTr="2AFE79AB" w14:paraId="11979A6D">
              <w:trPr>
                <w:trHeight w:val="4260"/>
              </w:trPr>
              <w:tc>
                <w:tcPr>
                  <w:tcW w:w="4449" w:type="dxa"/>
                  <w:tcMar>
                    <w:top w:w="15" w:type="dxa"/>
                    <w:left w:w="15" w:type="dxa"/>
                    <w:bottom w:w="15" w:type="dxa"/>
                    <w:right w:w="15" w:type="dxa"/>
                  </w:tcMar>
                  <w:vAlign w:val="center"/>
                </w:tcPr>
                <w:p w:rsidR="2AFE79AB" w:rsidP="2AFE79AB" w:rsidRDefault="2AFE79AB" w14:paraId="60B731A4" w14:textId="0A17A63C">
                  <w:pPr>
                    <w:spacing w:before="0" w:beforeAutospacing="off" w:after="0" w:afterAutospacing="off"/>
                    <w:ind w:left="-108" w:right="0"/>
                    <w:jc w:val="both"/>
                  </w:pPr>
                  <w:r w:rsidRPr="2AFE79AB" w:rsidR="2AFE79AB">
                    <w:rPr>
                      <w:rFonts w:ascii="Times New Roman" w:hAnsi="Times New Roman" w:eastAsia="Times New Roman" w:cs="Times New Roman"/>
                      <w:b w:val="0"/>
                      <w:bCs w:val="0"/>
                      <w:i w:val="0"/>
                      <w:iCs w:val="0"/>
                      <w:strike w:val="0"/>
                      <w:dstrike w:val="0"/>
                      <w:color w:val="000000" w:themeColor="text1" w:themeTint="FF" w:themeShade="FF"/>
                      <w:sz w:val="24"/>
                      <w:szCs w:val="24"/>
                      <w:u w:val="none"/>
                    </w:rPr>
                    <w:t>• Policy support for infrastructure rollout and zero-emission vehicle targets • Rapid cost declines from technology learning and scale • Battery recycling, second-life storage, and circular-economy business models • Fleet and commercial segments (delivery, ride-hail, public sector) as early adopters • Smart charging, V2G, and grid-services revenue streams • Partnerships across energy, telecoms, and mobility ecosystems</w:t>
                  </w:r>
                </w:p>
              </w:tc>
            </w:tr>
          </w:tbl>
          <w:p w:rsidR="2AFE79AB" w:rsidP="2AFE79AB" w:rsidRDefault="2AFE79AB" w14:paraId="6D7CD7ED" w14:textId="5BEA5879">
            <w:pPr>
              <w:bidi w:val="0"/>
              <w:spacing w:before="0" w:beforeAutospacing="off" w:after="0" w:afterAutospacing="off"/>
              <w:ind w:left="-108" w:right="0"/>
            </w:pPr>
          </w:p>
          <w:tbl>
            <w:tblPr>
              <w:tblStyle w:val="TableNormal"/>
              <w:bidiVisual w:val="0"/>
              <w:tblW w:w="0" w:type="auto"/>
              <w:tblLook w:val="06A0" w:firstRow="1" w:lastRow="0" w:firstColumn="1" w:lastColumn="0" w:noHBand="1" w:noVBand="1"/>
            </w:tblPr>
            <w:tblGrid>
              <w:gridCol w:w="4449"/>
            </w:tblGrid>
            <w:tr w:rsidR="2AFE79AB" w:rsidTr="2AFE79AB" w14:paraId="7E284B48">
              <w:trPr>
                <w:trHeight w:val="300"/>
              </w:trPr>
              <w:tc>
                <w:tcPr>
                  <w:tcW w:w="4449" w:type="dxa"/>
                  <w:tcMar>
                    <w:top w:w="15" w:type="dxa"/>
                    <w:left w:w="15" w:type="dxa"/>
                    <w:bottom w:w="15" w:type="dxa"/>
                    <w:right w:w="15" w:type="dxa"/>
                  </w:tcMar>
                  <w:vAlign w:val="center"/>
                </w:tcPr>
                <w:p w:rsidR="2AFE79AB" w:rsidP="2AFE79AB" w:rsidRDefault="2AFE79AB" w14:paraId="3DD21417" w14:textId="5949210F">
                  <w:pPr>
                    <w:bidi w:val="0"/>
                    <w:spacing w:before="0" w:beforeAutospacing="off" w:after="0" w:afterAutospacing="off"/>
                    <w:ind w:left="-108" w:right="0"/>
                  </w:pPr>
                </w:p>
              </w:tc>
            </w:tr>
          </w:tbl>
          <w:p w:rsidR="2AFE79AB" w:rsidP="2AFE79AB" w:rsidRDefault="2AFE79AB" w14:paraId="3C0BEB19" w14:textId="19017F9A">
            <w:pPr>
              <w:bidi w:val="0"/>
              <w:spacing w:before="0" w:beforeAutospacing="off" w:after="0" w:afterAutospacing="off"/>
              <w:ind w:left="-108" w:right="0"/>
            </w:pPr>
          </w:p>
        </w:tc>
        <w:tc>
          <w:tcPr>
            <w:tcW w:w="4449" w:type="dxa"/>
            <w:tcBorders>
              <w:top w:val="single" w:color="000000" w:themeColor="text1" w:sz="4"/>
              <w:left w:val="single" w:color="000000" w:themeColor="text1" w:sz="4"/>
              <w:bottom w:val="single" w:color="000000" w:themeColor="text1" w:sz="4"/>
              <w:right w:val="single" w:color="000000" w:themeColor="text1" w:sz="4"/>
            </w:tcBorders>
            <w:shd w:val="clear" w:color="auto" w:fill="BDD6EE"/>
            <w:tcMar>
              <w:left w:w="108" w:type="dxa"/>
              <w:right w:w="108" w:type="dxa"/>
            </w:tcMar>
            <w:vAlign w:val="top"/>
          </w:tcPr>
          <w:p w:rsidR="2AFE79AB" w:rsidP="2AFE79AB" w:rsidRDefault="2AFE79AB" w14:paraId="736AAFA9" w14:textId="0040ADEB">
            <w:pPr>
              <w:spacing w:before="0" w:beforeAutospacing="off" w:after="0" w:afterAutospacing="off"/>
              <w:ind w:left="-108" w:right="0"/>
              <w:jc w:val="both"/>
            </w:pPr>
            <w:r w:rsidRPr="2AFE79AB" w:rsidR="2AFE79AB">
              <w:rPr>
                <w:rFonts w:ascii="Times New Roman" w:hAnsi="Times New Roman" w:eastAsia="Times New Roman" w:cs="Times New Roman"/>
                <w:b w:val="0"/>
                <w:bCs w:val="0"/>
                <w:i w:val="0"/>
                <w:iCs w:val="0"/>
                <w:strike w:val="0"/>
                <w:dstrike w:val="0"/>
                <w:color w:val="000000" w:themeColor="text1" w:themeTint="FF" w:themeShade="FF"/>
                <w:sz w:val="24"/>
                <w:szCs w:val="24"/>
                <w:u w:val="none"/>
              </w:rPr>
              <w:t>• Policy uncertainty (timelines, incentives, compliance rules) impacting investment • Intense global competition (pricing, speed to market, software advantage) • Commodity price volatility and geopolitical supply-chain risks • Legal and regulatory exposure (safety, data, green-claims scrutiny) • Grid constraints and permitting delays for high-power chargers • Macroeconomic headwinds reducing consumer affordability</w:t>
            </w:r>
          </w:p>
        </w:tc>
      </w:tr>
    </w:tbl>
    <w:p xmlns:wp14="http://schemas.microsoft.com/office/word/2010/wordml" wp14:paraId="70F03B75" wp14:textId="4A619D76"/>
    <w:p xmlns:wp14="http://schemas.microsoft.com/office/word/2010/wordml" w:rsidP="2AFE79AB" wp14:paraId="301362CA" wp14:textId="0CC9ECD8">
      <w:pPr>
        <w:bidi w:val="0"/>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Innovation &amp; Industry Response</w:t>
      </w:r>
    </w:p>
    <w:p xmlns:wp14="http://schemas.microsoft.com/office/word/2010/wordml" w:rsidP="2AFE79AB" wp14:paraId="2682AE3F" wp14:textId="2555A1E2">
      <w:pPr>
        <w:bidi w:val="0"/>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UK EV industry Efforts to innovate in the industry are increasingly geared towards these external forces, as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established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the PESTLE analysis. Battery improvements (increasing energy density, quicker charging times, </w:t>
      </w:r>
      <w:r w:rsidRPr="50A7582F" w:rsidR="4CBA28D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localized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cell assembly) - attempts to lower costs and using range anxiety, Rapid growth of interoperable public charging and smart charging/V2G pilots allowing greater management of grid constraints/convenience Software functionality (over-the-air update, diagnostics) strengths are being enhanced by manufacturers, alongside piloting circular services like repairable packs, second life storage and closed loop recycling to manage the risk of material, by increasing reliability and overall cost of ownership (Wellings, Greenwood and Coles, 2021). Salary-sacrifice, fleet leasing, subscriptions and bundled home-charging tariffs. Business-model innovation: How to be cost-effective: The Company will offer a salary-sacrifice option to access pricey cars in terms of </w:t>
      </w:r>
      <w:r w:rsidRPr="50A7582F" w:rsidR="3AE6F3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affordability and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foster greater uptake of these offerings by companies (MMR, 2024). The rebuilding of supply chains and satisfying the requirements of the safety, data and green-claims standard is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determined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by the partnerships with industries and the governments, skills </w:t>
      </w:r>
      <w:r w:rsidRPr="50A7582F" w:rsidR="005F4E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programmed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place-based investment zones (Mia and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Hasibuzzaman</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2025). All these reactions aim to shift the policy curve to bankable demand, cushion volatility on prices and supply, and be competitive with respect to faster-moving global competitors. Pilots equally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harmonise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cross-national inter-provider access to fleets by making payment and connection of fleets convenient.</w:t>
      </w:r>
    </w:p>
    <w:p xmlns:wp14="http://schemas.microsoft.com/office/word/2010/wordml" w:rsidP="2AFE79AB" wp14:paraId="4A275171" wp14:textId="0356EBBF">
      <w:pPr>
        <w:bidi w:val="0"/>
        <w:spacing w:before="0" w:beforeAutospacing="off" w:after="0" w:afterAutospacing="off"/>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Recommendations</w:t>
      </w:r>
    </w:p>
    <w:p xmlns:wp14="http://schemas.microsoft.com/office/word/2010/wordml" w:rsidP="2AFE79AB" wp14:paraId="141AEFA9" wp14:textId="0F724DA7">
      <w:pPr>
        <w:bidi w:val="0"/>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Recommendation 1 Light-light speed charging and energy alliances</w:t>
      </w:r>
    </w:p>
    <w:p xmlns:wp14="http://schemas.microsoft.com/office/word/2010/wordml" w:rsidP="50A7582F" wp14:paraId="4F66F638" wp14:textId="646F284E">
      <w:pPr>
        <w:bidi w:val="0"/>
        <w:spacing w:before="0" w:beforeAutospacing="off" w:after="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Concentrate on high </w:t>
      </w:r>
      <w:r w:rsidRPr="50A7582F" w:rsidR="482299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utilization</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segments by the accomplishment of depot and corridor charging with the energy companies and the distribution operator’s network. Ensure roaming payment and uptime SLA across networks, tariff with smart charging/V2G to bring down the total cost of ownership, vans, last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mile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public sector fleets (Dominguez, 2023). The measures of impact are the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result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metrics charging availability, price per mile, </w:t>
      </w:r>
      <w:r w:rsidRPr="50A7582F" w:rsidR="2BB351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utilization</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rates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fleet electrification share.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This is in response to the policy course, grid constraints and is able to afford restraint and accelerate predictable demand.</w:t>
      </w:r>
    </w:p>
    <w:p xmlns:wp14="http://schemas.microsoft.com/office/word/2010/wordml" w:rsidP="2AFE79AB" wp14:paraId="22B49976" wp14:textId="656272C1">
      <w:pPr>
        <w:bidi w:val="0"/>
        <w:spacing w:before="0"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Recommendation 2: Circular battery </w:t>
      </w:r>
      <w:r w:rsidRPr="2AFE79AB" w:rsidR="583DB3B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programmer</w:t>
      </w: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 in the UK</w:t>
      </w:r>
    </w:p>
    <w:p xmlns:wp14="http://schemas.microsoft.com/office/word/2010/wordml" w:rsidP="2AFE79AB" wp14:paraId="5230D829" wp14:textId="625BF8FF">
      <w:pPr>
        <w:bidi w:val="0"/>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Integrate an end-to-end solution </w:t>
      </w:r>
      <w:r w:rsidRPr="50A7582F" w:rsidR="571C14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for</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repair, remanufacturing, storage of second life and closed-loop recycling. Guarantee of </w:t>
      </w:r>
      <w:r w:rsidRPr="50A7582F" w:rsidR="03830D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offtake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recycled materials, release traceability of vital minerals and correspond claims with a legal counsel on the marketing of the environment. </w:t>
      </w:r>
      <w:r w:rsidRPr="50A7582F" w:rsidR="763B88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Modularization</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equipment packages to reduce downtime costs and warranty costs, work together with recyclers and universities to innovate the process (Massari,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Nacchiero</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Giannoccaro</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2025). Recycle performance of the track, pack turnaround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lifecycle emissions. It will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assist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smoothing out input-price volatility and increasing compliance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achieving credible positioning on sustainability.</w:t>
      </w:r>
    </w:p>
    <w:p xmlns:wp14="http://schemas.microsoft.com/office/word/2010/wordml" wp14:paraId="56AD2242" wp14:textId="63F28966"/>
    <w:p xmlns:wp14="http://schemas.microsoft.com/office/word/2010/wordml" w:rsidP="2AFE79AB" wp14:paraId="7879185E" wp14:textId="42AADF47">
      <w:pPr>
        <w:bidi w:val="0"/>
        <w:spacing w:before="0" w:beforeAutospacing="off" w:after="0" w:afterAutospacing="off"/>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Conclusion</w:t>
      </w:r>
    </w:p>
    <w:p xmlns:wp14="http://schemas.microsoft.com/office/word/2010/wordml" w:rsidP="2AFE79AB" wp14:paraId="78AFDC6F" wp14:textId="27CA5A9E">
      <w:pPr>
        <w:bidi w:val="0"/>
        <w:spacing w:before="0" w:beforeAutospacing="off" w:after="0" w:afterAutospacing="off"/>
        <w:jc w:val="both"/>
      </w:pP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UK electric vehicle market is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operating</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a highly dynamic external environment that is driven by political interests, economic boundaries, and techno variations. The direction of regulations, consumer </w:t>
      </w:r>
      <w:r w:rsidRPr="50A7582F" w:rsidR="41EA703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behavior</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innovation, and supply chain issues are some of the issues that have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emerged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relevant for </w:t>
      </w:r>
      <w:r w:rsidRPr="50A7582F" w:rsidR="0FBE52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organizations</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relying on the PESTLE analysis. SWOT also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identified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0A7582F" w:rsidR="565EF1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significant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policy matching and innovation as </w:t>
      </w:r>
      <w:r w:rsidRPr="50A7582F" w:rsidR="20A6AE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strengths and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identified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lack of both cost and infrastructure. It is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evident</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innovation is where the attention of companies is concentrated, so that they can reduce these strains with improved battery systems, business models, and circles of the economy.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UK EV companies will be compelled to continue investing in scalable and sustainable solutions in order to remain competitive and sustainable.</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long-run development and contribution to the national climatic condition are premised on a proactive reaction to external hazards and are </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established</w:t>
      </w:r>
      <w:r w:rsidRPr="50A7582F"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on innovation and collaboration with others.</w:t>
      </w:r>
    </w:p>
    <w:p xmlns:wp14="http://schemas.microsoft.com/office/word/2010/wordml" wp14:paraId="6F7CA919" wp14:textId="117DEDC9"/>
    <w:p xmlns:wp14="http://schemas.microsoft.com/office/word/2010/wordml" w:rsidP="2AFE79AB" wp14:paraId="4A314BB0" wp14:textId="27C11638">
      <w:pPr>
        <w:pStyle w:val="Heading1"/>
        <w:bidi w:val="0"/>
        <w:spacing w:before="113" w:beforeAutospacing="off" w:after="0" w:afterAutospacing="off"/>
        <w:jc w:val="both"/>
      </w:pPr>
      <w:r w:rsidRPr="2AFE79AB" w:rsidR="70334ED3">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 xml:space="preserve">References </w:t>
      </w:r>
    </w:p>
    <w:p xmlns:wp14="http://schemas.microsoft.com/office/word/2010/wordml" w:rsidP="2AFE79AB" wp14:paraId="1B046AB4" wp14:textId="0CCDEF3F">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Alanazi, F. (2023) ‘Electric Vehicles: Benefits, Challenges, and Potential Solutions for Widespread Adaptation’,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Applied Sciences</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13(10). Available at: </w:t>
      </w:r>
      <w:hyperlink r:id="Rc99ab2415a7b4c4f">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https://doi.org/10.3390/app13106016.</w:t>
        </w:r>
      </w:hyperlink>
    </w:p>
    <w:p xmlns:wp14="http://schemas.microsoft.com/office/word/2010/wordml" w:rsidP="2AFE79AB" wp14:paraId="528973E4" wp14:textId="15536263">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Costa, C.M., Barbosa, J.C., Castro, H., Gonçalves, R. and Lanceros-Méndez, S. (2021). Electric vehicles: To what extent are they environmentally friendly and cost-effective? – Comparative study by European countries.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Renewable and Sustainable Energy Reviews</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[online] 151, p.111548. doi:https://doi.org/10.1016/j.rser.2021.111548.</w:t>
      </w:r>
    </w:p>
    <w:p xmlns:wp14="http://schemas.microsoft.com/office/word/2010/wordml" w:rsidP="2AFE79AB" wp14:paraId="78215AF2" wp14:textId="272E59E9">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Dominguez, A. (2023). The Influence of Electric Vehicle Availability on Vehicle-to-Grid Provision within a Microgrid. - White Rose eTheses Online.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Whiterose.ac.uk</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[online] doi:https://etheses.whiterose.ac.uk/id/eprint/33711/1/PhD_Thesis___final.pdf.</w:t>
      </w:r>
    </w:p>
    <w:p xmlns:wp14="http://schemas.microsoft.com/office/word/2010/wordml" w:rsidP="2AFE79AB" wp14:paraId="27DB48CD" wp14:textId="3EA35B50">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Jones, S.P.B.-S. (2023)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 More Flexible Road to Zero Emissions Vehicles in the UK and the EU</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Lexology</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Available at: </w:t>
      </w:r>
      <w:hyperlink r:id="R5407afe7c85a4f57">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https://www.lexology.com/library/detail.aspx?g=5aab7eff-c405-4b07-a6be-0f48f2fe74b3.</w:t>
        </w:r>
      </w:hyperlink>
    </w:p>
    <w:p xmlns:wp14="http://schemas.microsoft.com/office/word/2010/wordml" w:rsidP="2AFE79AB" wp14:paraId="51737A32" wp14:textId="4FD84340">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Mandys, F. (2021). Electric vehicles and consumer choices.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Renewable and Sustainable Energy Reviews</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142, p.110874. doi:https://doi.org/10.1016/j.rser.2021.110874.</w:t>
      </w:r>
    </w:p>
    <w:p xmlns:wp14="http://schemas.microsoft.com/office/word/2010/wordml" w:rsidP="2AFE79AB" wp14:paraId="4C0983E9" wp14:textId="364E2DA7">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Mandys, F. and Taneja, S. (2024) ‘Demand for green and fossil fuel automobiles’,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Transportation Research Part A: Policy and Practice</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190, p. 104284. Available at: </w:t>
      </w:r>
      <w:hyperlink r:id="Rc8aa10d5ce254bff">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https://doi.org/10.1016/j.tra.2024.104284.</w:t>
        </w:r>
      </w:hyperlink>
    </w:p>
    <w:p xmlns:wp14="http://schemas.microsoft.com/office/word/2010/wordml" w:rsidP="2AFE79AB" wp14:paraId="0A47E7C9" wp14:textId="03954E64">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Massari, G.F., Nacchiero, R. and Giannoccaro, I. (2025) ‘Transformative supply chains: The enabling role of digital technologies’,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International Journal of Production Economics</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283, p. 109562. Available at: </w:t>
      </w:r>
      <w:hyperlink r:id="R88a87999cfd040e8">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https://doi.org/10.1016/j.ijpe.2025.109562.</w:t>
        </w:r>
      </w:hyperlink>
    </w:p>
    <w:p xmlns:wp14="http://schemas.microsoft.com/office/word/2010/wordml" w:rsidP="2AFE79AB" wp14:paraId="3ED9A986" wp14:textId="2148DA62">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Mia, J. and Hasibuzzaman, M. (2025). Comparative Analysis of Green Marketing Practices Between Finnish and Other Nordic Renewable Energy Companies in International Markets.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Theseus.fi</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[online] doi:https://www.theseus.fi/handle/10024/887508.</w:t>
      </w:r>
    </w:p>
    <w:p xmlns:wp14="http://schemas.microsoft.com/office/word/2010/wordml" w:rsidP="2AFE79AB" wp14:paraId="49E29C1D" wp14:textId="18830243">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MMR (2024)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United Kingdom Electric Vehicle Market: Industry Analysis and Forecast (2021-2027)</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MAXIMIZE MARKET RESEARCH</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Available at: </w:t>
      </w:r>
      <w:hyperlink r:id="R4457c4485e6446f3">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https://www.maximizemarketresearch.com/market-report/united-kingdom-electric-vehicle-market/64130/.</w:t>
        </w:r>
      </w:hyperlink>
    </w:p>
    <w:p xmlns:wp14="http://schemas.microsoft.com/office/word/2010/wordml" w:rsidP="2AFE79AB" wp14:paraId="68A2DF94" wp14:textId="01BCAF44">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ONS (2024)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Public and Business Attitudes to the Environment and Climate change, Great Britain</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Ons.gov.uk</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Office for National Statistics. Available at: </w:t>
      </w:r>
      <w:hyperlink r:id="R82102077b6b843dc">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https://www.ons.gov.uk/economy/environmentalaccounts/articles/publicandbusinessattitudestotheenvironmentandclimatechangegreatbritain/2024.</w:t>
        </w:r>
      </w:hyperlink>
    </w:p>
    <w:p xmlns:wp14="http://schemas.microsoft.com/office/word/2010/wordml" w:rsidP="2AFE79AB" wp14:paraId="7ED9E9D6" wp14:textId="2C0CDF50">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Pemberton, S., Nobajas, A. and Waller, R. (2021). Rapid charging provision, multiplicity and battery electric vehicle (BEV) mobility in the UK.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Journal of Transport Geography</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95, p.103137. doi:https://doi.org/10.1016/j.jtrangeo.2021.103137.</w:t>
      </w:r>
    </w:p>
    <w:p xmlns:wp14="http://schemas.microsoft.com/office/word/2010/wordml" w:rsidP="2AFE79AB" wp14:paraId="165031C6" wp14:textId="41FF9F35">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 B, L. (2023).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The Environmental Impact of Battery Production for Electrical Vehicles</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Earth.org</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Available at: </w:t>
      </w:r>
      <w:hyperlink r:id="R4cc4ee7bfa6c47a5">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https://earth.org/environmental-impact-of-battery-production/.</w:t>
        </w:r>
      </w:hyperlink>
    </w:p>
    <w:p xmlns:wp14="http://schemas.microsoft.com/office/word/2010/wordml" w:rsidP="2AFE79AB" wp14:paraId="1D047908" wp14:textId="7E3AC4C4">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Slide Model (n.d.).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Infographic PESTEL Analysis Model Slide</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[online] SlideModel. Available at: </w:t>
      </w:r>
      <w:hyperlink r:id="R6802838d18aa4558">
        <w:r w:rsidRPr="2AFE79AB" w:rsidR="70334ED3">
          <w:rPr>
            <w:rStyle w:val="Hyperlink"/>
            <w:rFonts w:ascii="Times New Roman" w:hAnsi="Times New Roman" w:eastAsia="Times New Roman" w:cs="Times New Roman"/>
            <w:b w:val="0"/>
            <w:bCs w:val="0"/>
            <w:i w:val="0"/>
            <w:iCs w:val="0"/>
            <w:strike w:val="0"/>
            <w:dstrike w:val="0"/>
            <w:noProof w:val="0"/>
            <w:sz w:val="24"/>
            <w:szCs w:val="24"/>
            <w:lang w:val="en-US"/>
          </w:rPr>
          <w:t>https://slidemodel.com/templates/pestel-powerpoint-template/infographic-pestel-analysis-model-slide/</w:t>
        </w:r>
      </w:hyperlink>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xmlns:wp14="http://schemas.microsoft.com/office/word/2010/wordml" w:rsidP="2AFE79AB" wp14:paraId="47C17DF3" wp14:textId="61B093EA">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Venghaus, S., Henseleit, M. and Belka, M. (2022). The impact of climate change awareness on behavioural changes in Germany: changing minds or changing behaviour?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Energy, Sustainability and Society</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[online] 12(1), pp.1–11. doi:https://doi.org/10.1186/s13705-022-00334-8.</w:t>
      </w:r>
    </w:p>
    <w:p xmlns:wp14="http://schemas.microsoft.com/office/word/2010/wordml" w:rsidP="2AFE79AB" wp14:paraId="7F0FBE0F" wp14:textId="1A3E1563">
      <w:pPr>
        <w:bidi w:val="0"/>
        <w:spacing w:before="0" w:beforeAutospacing="off" w:after="0" w:afterAutospacing="off"/>
        <w:ind w:left="720" w:hanging="720"/>
        <w:jc w:val="both"/>
      </w:pP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Wellings, J., Greenwood, D. and Coles, S.R. (2021) ‘Understanding the Future Impacts of Electric Vehicles—An Analysis of Multiple Factors That Influence the Market’, </w:t>
      </w:r>
      <w:r w:rsidRPr="2AFE79AB" w:rsidR="70334E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Vehicles</w:t>
      </w:r>
      <w:r w:rsidRPr="2AFE79AB" w:rsidR="70334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3(4), pp. 851–871. Available at: </w:t>
      </w:r>
      <w:hyperlink r:id="Raaec4a3df8ae4aec">
        <w:r w:rsidRPr="2AFE79AB" w:rsidR="70334ED3">
          <w:rPr>
            <w:rStyle w:val="Hyperlink"/>
            <w:rFonts w:ascii="Times New Roman" w:hAnsi="Times New Roman" w:eastAsia="Times New Roman" w:cs="Times New Roman"/>
            <w:b w:val="0"/>
            <w:bCs w:val="0"/>
            <w:i w:val="0"/>
            <w:iCs w:val="0"/>
            <w:strike w:val="0"/>
            <w:dstrike w:val="0"/>
            <w:noProof w:val="0"/>
            <w:color w:val="000080"/>
            <w:sz w:val="24"/>
            <w:szCs w:val="24"/>
            <w:u w:val="none"/>
            <w:lang w:val="en-US"/>
          </w:rPr>
          <w:t>https://doi.org/10.3390/vehicles3040051.</w:t>
        </w:r>
      </w:hyperlink>
    </w:p>
    <w:p xmlns:wp14="http://schemas.microsoft.com/office/word/2010/wordml" wp14:paraId="40503AA1" wp14:textId="30C487D5"/>
    <w:p xmlns:wp14="http://schemas.microsoft.com/office/word/2010/wordml" wp14:paraId="59D7C302" wp14:textId="58C218D2"/>
    <w:p xmlns:wp14="http://schemas.microsoft.com/office/word/2010/wordml" wp14:paraId="500367F3" wp14:textId="35324129"/>
    <w:p xmlns:wp14="http://schemas.microsoft.com/office/word/2010/wordml" w:rsidP="2AFE79AB" wp14:paraId="1DE73AEC" wp14:textId="7DAA1D7E">
      <w:pPr>
        <w:bidi w:val="0"/>
        <w:spacing w:before="0" w:beforeAutospacing="off" w:after="0" w:afterAutospacing="off"/>
        <w:ind w:left="720" w:hanging="720"/>
        <w:jc w:val="both"/>
      </w:pPr>
    </w:p>
    <w:p xmlns:wp14="http://schemas.microsoft.com/office/word/2010/wordml" wp14:paraId="00860FE3" wp14:textId="3058659B"/>
    <w:p xmlns:wp14="http://schemas.microsoft.com/office/word/2010/wordml" wp14:paraId="1E0F1632" wp14:textId="18F05264"/>
    <w:p xmlns:wp14="http://schemas.microsoft.com/office/word/2010/wordml" wp14:paraId="7F51AA4D" wp14:textId="4D1D44E6"/>
    <w:p xmlns:wp14="http://schemas.microsoft.com/office/word/2010/wordml" wp14:paraId="1FB27A20" wp14:textId="463D7A36"/>
    <w:p xmlns:wp14="http://schemas.microsoft.com/office/word/2010/wordml" wp14:paraId="774B25D1" wp14:textId="3FF62422"/>
    <w:p xmlns:wp14="http://schemas.microsoft.com/office/word/2010/wordml" wp14:paraId="55FEBB79" wp14:textId="091B5615"/>
    <w:p xmlns:wp14="http://schemas.microsoft.com/office/word/2010/wordml" wp14:paraId="488C9C88" wp14:textId="3FBF03E5"/>
    <w:p xmlns:wp14="http://schemas.microsoft.com/office/word/2010/wordml" wp14:paraId="73871906" wp14:textId="602D7EBB"/>
    <w:p xmlns:wp14="http://schemas.microsoft.com/office/word/2010/wordml" wp14:paraId="2C078E63" wp14:textId="574548C6"/>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048E7"/>
    <w:rsid w:val="005F4EB5"/>
    <w:rsid w:val="03742AF0"/>
    <w:rsid w:val="03830DAF"/>
    <w:rsid w:val="052ACC4E"/>
    <w:rsid w:val="06A804CE"/>
    <w:rsid w:val="0CB7803E"/>
    <w:rsid w:val="0FBE522E"/>
    <w:rsid w:val="1384B4A0"/>
    <w:rsid w:val="1BDBF4F6"/>
    <w:rsid w:val="20A6AE2F"/>
    <w:rsid w:val="2154B065"/>
    <w:rsid w:val="25CD5B0E"/>
    <w:rsid w:val="2AFE79AB"/>
    <w:rsid w:val="2BB35129"/>
    <w:rsid w:val="2D57D3D4"/>
    <w:rsid w:val="31BBBA62"/>
    <w:rsid w:val="337B35AC"/>
    <w:rsid w:val="36C9AD97"/>
    <w:rsid w:val="370048E7"/>
    <w:rsid w:val="37FD3445"/>
    <w:rsid w:val="38D7C10E"/>
    <w:rsid w:val="3A992419"/>
    <w:rsid w:val="3AE6F390"/>
    <w:rsid w:val="3B0EBA86"/>
    <w:rsid w:val="41EA7036"/>
    <w:rsid w:val="41F911CA"/>
    <w:rsid w:val="482299E5"/>
    <w:rsid w:val="4CBA28DF"/>
    <w:rsid w:val="50A7582F"/>
    <w:rsid w:val="50B495B5"/>
    <w:rsid w:val="565EF145"/>
    <w:rsid w:val="571C14D2"/>
    <w:rsid w:val="583DB3BC"/>
    <w:rsid w:val="58AA5CB2"/>
    <w:rsid w:val="6502F0BC"/>
    <w:rsid w:val="666C4D29"/>
    <w:rsid w:val="6BA94041"/>
    <w:rsid w:val="70334ED3"/>
    <w:rsid w:val="71148B03"/>
    <w:rsid w:val="763B88F3"/>
    <w:rsid w:val="7B86E40A"/>
    <w:rsid w:val="7B8F7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048E7"/>
  <w15:chartTrackingRefBased/>
  <w15:docId w15:val="{2E87B31A-AE4B-4AFF-B590-D2A4C8C373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AFE79A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cs.google.com/document/d/1q74rzyS86kguHHTs-jmbbUIHGCsBgsLn/edit" TargetMode="External" Id="Rfd1a7743ee684d5e" /><Relationship Type="http://schemas.openxmlformats.org/officeDocument/2006/relationships/hyperlink" Target="https://docs.google.com/document/d/1q74rzyS86kguHHTs-jmbbUIHGCsBgsLn/edit" TargetMode="External" Id="Re797a93885614547" /><Relationship Type="http://schemas.openxmlformats.org/officeDocument/2006/relationships/hyperlink" Target="https://docs.google.com/document/d/1q74rzyS86kguHHTs-jmbbUIHGCsBgsLn/edit" TargetMode="External" Id="R4f35313fa4c84be0" /><Relationship Type="http://schemas.openxmlformats.org/officeDocument/2006/relationships/hyperlink" Target="https://docs.google.com/document/d/1q74rzyS86kguHHTs-jmbbUIHGCsBgsLn/edit" TargetMode="External" Id="R01e4261cfcf746b0" /><Relationship Type="http://schemas.openxmlformats.org/officeDocument/2006/relationships/hyperlink" Target="https://docs.google.com/document/d/1q74rzyS86kguHHTs-jmbbUIHGCsBgsLn/edit" TargetMode="External" Id="R36ec4582fb6f487f" /><Relationship Type="http://schemas.openxmlformats.org/officeDocument/2006/relationships/hyperlink" Target="https://docs.google.com/document/d/1q74rzyS86kguHHTs-jmbbUIHGCsBgsLn/edit" TargetMode="External" Id="Re3265f71b1fd4be3" /><Relationship Type="http://schemas.openxmlformats.org/officeDocument/2006/relationships/hyperlink" Target="https://docs.google.com/document/d/1q74rzyS86kguHHTs-jmbbUIHGCsBgsLn/edit" TargetMode="External" Id="Rc680819aa9a44865" /><Relationship Type="http://schemas.openxmlformats.org/officeDocument/2006/relationships/image" Target="/media/image.png" Id="rId1239875776" /><Relationship Type="http://schemas.openxmlformats.org/officeDocument/2006/relationships/hyperlink" Target="https://doi.org/10.3390/app13106016." TargetMode="External" Id="Rc99ab2415a7b4c4f" /><Relationship Type="http://schemas.openxmlformats.org/officeDocument/2006/relationships/hyperlink" Target="https://www.lexology.com/library/detail.aspx?g=5aab7eff-c405-4b07-a6be-0f48f2fe74b3." TargetMode="External" Id="R5407afe7c85a4f57" /><Relationship Type="http://schemas.openxmlformats.org/officeDocument/2006/relationships/hyperlink" Target="https://doi.org/10.1016/j.tra.2024.104284." TargetMode="External" Id="Rc8aa10d5ce254bff" /><Relationship Type="http://schemas.openxmlformats.org/officeDocument/2006/relationships/hyperlink" Target="https://doi.org/10.1016/j.ijpe.2025.109562." TargetMode="External" Id="R88a87999cfd040e8" /><Relationship Type="http://schemas.openxmlformats.org/officeDocument/2006/relationships/hyperlink" Target="https://www.maximizemarketresearch.com/market-report/united-kingdom-electric-vehicle-market/64130/" TargetMode="External" Id="R4457c4485e6446f3" /><Relationship Type="http://schemas.openxmlformats.org/officeDocument/2006/relationships/hyperlink" Target="https://www.ons.gov.uk/economy/environmentalaccounts/articles/publicandbusinessattitudestotheenvironmentandclimatechangegreatbritain/2024." TargetMode="External" Id="R82102077b6b843dc" /><Relationship Type="http://schemas.openxmlformats.org/officeDocument/2006/relationships/hyperlink" Target="https://earth.org/environmental-impact-of-battery-production/" TargetMode="External" Id="R4cc4ee7bfa6c47a5" /><Relationship Type="http://schemas.openxmlformats.org/officeDocument/2006/relationships/hyperlink" Target="https://slidemodel.com/templates/pestel-powerpoint-template/infographic-pestel-analysis-model-slide/" TargetMode="External" Id="R6802838d18aa4558" /><Relationship Type="http://schemas.openxmlformats.org/officeDocument/2006/relationships/hyperlink" Target="https://doi.org/10.3390/vehicles3040051." TargetMode="External" Id="Raaec4a3df8ae4a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2025-12-05T00:20:12.9360649Z</dcterms:created>
  <dcterms:modified xsi:type="dcterms:W3CDTF">2025-12-05T15:45:35.9223205Z</dcterms:modified>
  <dc:creator>Alexandra Nicoleta Cirjoi (1919382)</dc:creator>
  <lastModifiedBy>Alexandra Nicoleta Cirjoi (1919382)</lastModifiedBy>
</coreProperties>
</file>