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103986" w14:textId="77777777" w:rsidR="003A35E8" w:rsidRPr="003A35E8" w:rsidRDefault="003A35E8" w:rsidP="003A35E8">
      <w:pPr>
        <w:spacing w:line="276" w:lineRule="auto"/>
        <w:rPr>
          <w:rFonts w:ascii="Arial" w:eastAsia="Arial" w:hAnsi="Arial" w:cs="Arial"/>
          <w:b/>
          <w:bCs/>
        </w:rPr>
      </w:pPr>
      <w:r w:rsidRPr="003A35E8">
        <w:rPr>
          <w:rFonts w:ascii="Arial" w:hAnsi="Arial" w:cs="Arial"/>
          <w:b/>
          <w:bCs/>
        </w:rPr>
        <w:t xml:space="preserve">Workbook: </w:t>
      </w:r>
      <w:r w:rsidRPr="003A35E8">
        <w:rPr>
          <w:rFonts w:ascii="Arial" w:eastAsia="Arial" w:hAnsi="Arial" w:cs="Arial"/>
          <w:b/>
          <w:bCs/>
        </w:rPr>
        <w:t xml:space="preserve">Operational Policing Practice 3 </w:t>
      </w:r>
    </w:p>
    <w:p w14:paraId="397F968B" w14:textId="306FE077" w:rsidR="003A35E8" w:rsidRPr="003A35E8" w:rsidRDefault="003A35E8" w:rsidP="003A35E8">
      <w:pPr>
        <w:spacing w:line="276" w:lineRule="auto"/>
        <w:rPr>
          <w:rFonts w:ascii="Arial" w:eastAsia="Arial" w:hAnsi="Arial" w:cs="Arial"/>
          <w:b/>
          <w:bCs/>
        </w:rPr>
      </w:pPr>
      <w:r w:rsidRPr="003A35E8">
        <w:rPr>
          <w:rFonts w:ascii="Arial" w:eastAsia="Arial" w:hAnsi="Arial" w:cs="Arial"/>
          <w:b/>
          <w:bCs/>
        </w:rPr>
        <w:t>Module Code: BMPP6005D</w:t>
      </w:r>
    </w:p>
    <w:p w14:paraId="0DB724DE" w14:textId="71859774" w:rsidR="003A35E8" w:rsidRPr="003A35E8" w:rsidRDefault="003A35E8" w:rsidP="003A35E8">
      <w:pPr>
        <w:spacing w:line="276" w:lineRule="auto"/>
        <w:rPr>
          <w:rFonts w:ascii="Arial" w:hAnsi="Arial" w:cs="Arial"/>
          <w:b/>
          <w:bCs/>
        </w:rPr>
      </w:pPr>
      <w:r w:rsidRPr="003A35E8">
        <w:rPr>
          <w:rFonts w:ascii="Arial" w:hAnsi="Arial" w:cs="Arial"/>
          <w:b/>
          <w:bCs/>
        </w:rPr>
        <w:t>Learner name: Sophie Johnson</w:t>
      </w:r>
    </w:p>
    <w:p w14:paraId="11A93FAF" w14:textId="460E133E" w:rsidR="006B332E" w:rsidRPr="003A35E8" w:rsidRDefault="003A35E8" w:rsidP="003A35E8">
      <w:pPr>
        <w:spacing w:line="276" w:lineRule="auto"/>
        <w:rPr>
          <w:rFonts w:ascii="Arial" w:hAnsi="Arial" w:cs="Arial"/>
          <w:b/>
          <w:bCs/>
        </w:rPr>
      </w:pPr>
      <w:r w:rsidRPr="003A35E8">
        <w:rPr>
          <w:rFonts w:ascii="Arial" w:hAnsi="Arial" w:cs="Arial"/>
          <w:b/>
          <w:bCs/>
        </w:rPr>
        <w:t>Learner’s University Registration Number:2319929</w:t>
      </w:r>
    </w:p>
    <w:p w14:paraId="7B652E36" w14:textId="77777777" w:rsidR="003A35E8" w:rsidRDefault="003A35E8" w:rsidP="003A35E8">
      <w:pPr>
        <w:spacing w:line="276" w:lineRule="auto"/>
        <w:rPr>
          <w:rFonts w:ascii="Arial" w:hAnsi="Arial" w:cs="Arial"/>
          <w:b/>
          <w:bCs/>
        </w:rPr>
      </w:pPr>
    </w:p>
    <w:p w14:paraId="675737DA" w14:textId="77777777" w:rsidR="003A35E8" w:rsidRDefault="003A35E8" w:rsidP="003A35E8">
      <w:pPr>
        <w:spacing w:line="276" w:lineRule="auto"/>
        <w:rPr>
          <w:rFonts w:ascii="Arial" w:hAnsi="Arial" w:cs="Arial"/>
          <w:b/>
          <w:bCs/>
        </w:rPr>
      </w:pPr>
    </w:p>
    <w:p w14:paraId="4F5EA8EE" w14:textId="77777777" w:rsidR="003A35E8" w:rsidRDefault="003A35E8" w:rsidP="003A35E8">
      <w:pPr>
        <w:spacing w:line="276" w:lineRule="auto"/>
        <w:rPr>
          <w:rFonts w:ascii="Arial" w:hAnsi="Arial" w:cs="Arial"/>
          <w:b/>
          <w:bCs/>
        </w:rPr>
      </w:pPr>
    </w:p>
    <w:p w14:paraId="3926291B" w14:textId="77777777" w:rsidR="003A35E8" w:rsidRDefault="003A35E8" w:rsidP="003A35E8">
      <w:pPr>
        <w:spacing w:line="276" w:lineRule="auto"/>
        <w:rPr>
          <w:rFonts w:ascii="Arial" w:hAnsi="Arial" w:cs="Arial"/>
          <w:b/>
          <w:bCs/>
        </w:rPr>
      </w:pPr>
    </w:p>
    <w:p w14:paraId="1196B59B" w14:textId="77777777" w:rsidR="003A35E8" w:rsidRDefault="003A35E8" w:rsidP="003A35E8">
      <w:pPr>
        <w:spacing w:line="276" w:lineRule="auto"/>
        <w:rPr>
          <w:rFonts w:ascii="Arial" w:hAnsi="Arial" w:cs="Arial"/>
          <w:b/>
          <w:bCs/>
        </w:rPr>
      </w:pPr>
    </w:p>
    <w:p w14:paraId="69E26C1F" w14:textId="77777777" w:rsidR="003A35E8" w:rsidRDefault="003A35E8" w:rsidP="003A35E8">
      <w:pPr>
        <w:spacing w:line="276" w:lineRule="auto"/>
        <w:rPr>
          <w:rFonts w:ascii="Arial" w:hAnsi="Arial" w:cs="Arial"/>
          <w:b/>
          <w:bCs/>
        </w:rPr>
      </w:pPr>
    </w:p>
    <w:p w14:paraId="6CA88502" w14:textId="77777777" w:rsidR="003A35E8" w:rsidRDefault="003A35E8" w:rsidP="003A35E8">
      <w:pPr>
        <w:spacing w:line="276" w:lineRule="auto"/>
        <w:rPr>
          <w:rFonts w:ascii="Arial" w:hAnsi="Arial" w:cs="Arial"/>
          <w:b/>
          <w:bCs/>
        </w:rPr>
      </w:pPr>
    </w:p>
    <w:p w14:paraId="5ADD6717" w14:textId="77777777" w:rsidR="003A35E8" w:rsidRDefault="003A35E8" w:rsidP="003A35E8">
      <w:pPr>
        <w:spacing w:line="276" w:lineRule="auto"/>
        <w:rPr>
          <w:rFonts w:ascii="Arial" w:hAnsi="Arial" w:cs="Arial"/>
          <w:b/>
          <w:bCs/>
        </w:rPr>
      </w:pPr>
    </w:p>
    <w:p w14:paraId="02F79605" w14:textId="77777777" w:rsidR="003A35E8" w:rsidRDefault="003A35E8" w:rsidP="003A35E8">
      <w:pPr>
        <w:spacing w:line="276" w:lineRule="auto"/>
        <w:rPr>
          <w:rFonts w:ascii="Arial" w:hAnsi="Arial" w:cs="Arial"/>
          <w:b/>
          <w:bCs/>
        </w:rPr>
      </w:pPr>
    </w:p>
    <w:p w14:paraId="746F3018" w14:textId="77777777" w:rsidR="003A35E8" w:rsidRDefault="003A35E8" w:rsidP="003A35E8">
      <w:pPr>
        <w:spacing w:line="276" w:lineRule="auto"/>
        <w:rPr>
          <w:rFonts w:ascii="Arial" w:hAnsi="Arial" w:cs="Arial"/>
          <w:b/>
          <w:bCs/>
        </w:rPr>
      </w:pPr>
    </w:p>
    <w:p w14:paraId="34C402AD" w14:textId="77777777" w:rsidR="003A35E8" w:rsidRDefault="003A35E8" w:rsidP="003A35E8">
      <w:pPr>
        <w:spacing w:line="276" w:lineRule="auto"/>
        <w:rPr>
          <w:rFonts w:ascii="Arial" w:hAnsi="Arial" w:cs="Arial"/>
          <w:b/>
          <w:bCs/>
        </w:rPr>
      </w:pPr>
    </w:p>
    <w:p w14:paraId="5B488E60" w14:textId="77777777" w:rsidR="003A35E8" w:rsidRDefault="003A35E8" w:rsidP="003A35E8">
      <w:pPr>
        <w:spacing w:line="276" w:lineRule="auto"/>
        <w:rPr>
          <w:rFonts w:ascii="Arial" w:hAnsi="Arial" w:cs="Arial"/>
          <w:b/>
          <w:bCs/>
        </w:rPr>
      </w:pPr>
    </w:p>
    <w:p w14:paraId="2F80141C" w14:textId="77777777" w:rsidR="003A35E8" w:rsidRDefault="003A35E8" w:rsidP="003A35E8">
      <w:pPr>
        <w:spacing w:line="276" w:lineRule="auto"/>
        <w:rPr>
          <w:rFonts w:ascii="Arial" w:hAnsi="Arial" w:cs="Arial"/>
          <w:b/>
          <w:bCs/>
        </w:rPr>
      </w:pPr>
    </w:p>
    <w:p w14:paraId="3A8BE09B" w14:textId="77777777" w:rsidR="003A35E8" w:rsidRDefault="003A35E8" w:rsidP="003A35E8">
      <w:pPr>
        <w:spacing w:line="276" w:lineRule="auto"/>
        <w:rPr>
          <w:rFonts w:ascii="Arial" w:hAnsi="Arial" w:cs="Arial"/>
          <w:b/>
          <w:bCs/>
        </w:rPr>
      </w:pPr>
    </w:p>
    <w:p w14:paraId="1657A280" w14:textId="77777777" w:rsidR="003A35E8" w:rsidRDefault="003A35E8" w:rsidP="003A35E8">
      <w:pPr>
        <w:spacing w:line="276" w:lineRule="auto"/>
        <w:rPr>
          <w:rFonts w:ascii="Arial" w:hAnsi="Arial" w:cs="Arial"/>
          <w:b/>
          <w:bCs/>
        </w:rPr>
      </w:pPr>
    </w:p>
    <w:p w14:paraId="5035ADB8" w14:textId="77777777" w:rsidR="003A35E8" w:rsidRDefault="003A35E8" w:rsidP="003A35E8">
      <w:pPr>
        <w:spacing w:line="276" w:lineRule="auto"/>
        <w:rPr>
          <w:rFonts w:ascii="Arial" w:hAnsi="Arial" w:cs="Arial"/>
          <w:b/>
          <w:bCs/>
        </w:rPr>
      </w:pPr>
    </w:p>
    <w:p w14:paraId="286868FA" w14:textId="77777777" w:rsidR="003A35E8" w:rsidRDefault="003A35E8" w:rsidP="003A35E8">
      <w:pPr>
        <w:spacing w:line="276" w:lineRule="auto"/>
        <w:rPr>
          <w:rFonts w:ascii="Arial" w:hAnsi="Arial" w:cs="Arial"/>
          <w:b/>
          <w:bCs/>
        </w:rPr>
      </w:pPr>
    </w:p>
    <w:p w14:paraId="5AF4FE3B" w14:textId="77777777" w:rsidR="003A35E8" w:rsidRDefault="003A35E8" w:rsidP="003A35E8">
      <w:pPr>
        <w:spacing w:line="276" w:lineRule="auto"/>
        <w:rPr>
          <w:rFonts w:ascii="Arial" w:hAnsi="Arial" w:cs="Arial"/>
          <w:b/>
          <w:bCs/>
        </w:rPr>
      </w:pPr>
    </w:p>
    <w:p w14:paraId="75DDED13" w14:textId="77777777" w:rsidR="003A35E8" w:rsidRDefault="003A35E8" w:rsidP="003A35E8">
      <w:pPr>
        <w:spacing w:line="276" w:lineRule="auto"/>
        <w:rPr>
          <w:rFonts w:ascii="Arial" w:hAnsi="Arial" w:cs="Arial"/>
          <w:b/>
          <w:bCs/>
        </w:rPr>
      </w:pPr>
    </w:p>
    <w:p w14:paraId="7D248B73" w14:textId="77777777" w:rsidR="003A35E8" w:rsidRDefault="003A35E8" w:rsidP="003A35E8">
      <w:pPr>
        <w:spacing w:line="276" w:lineRule="auto"/>
        <w:rPr>
          <w:rFonts w:ascii="Arial" w:hAnsi="Arial" w:cs="Arial"/>
          <w:b/>
          <w:bCs/>
        </w:rPr>
      </w:pPr>
    </w:p>
    <w:p w14:paraId="63DE19E4" w14:textId="77777777" w:rsidR="003A35E8" w:rsidRDefault="003A35E8" w:rsidP="003A35E8">
      <w:pPr>
        <w:spacing w:line="276" w:lineRule="auto"/>
        <w:rPr>
          <w:rFonts w:ascii="Arial" w:hAnsi="Arial" w:cs="Arial"/>
          <w:b/>
          <w:bCs/>
        </w:rPr>
      </w:pPr>
    </w:p>
    <w:p w14:paraId="0138E950" w14:textId="77777777" w:rsidR="003A35E8" w:rsidRDefault="003A35E8" w:rsidP="003A35E8">
      <w:pPr>
        <w:spacing w:line="276" w:lineRule="auto"/>
        <w:rPr>
          <w:rFonts w:ascii="Arial" w:hAnsi="Arial" w:cs="Arial"/>
          <w:b/>
          <w:bCs/>
        </w:rPr>
      </w:pPr>
    </w:p>
    <w:p w14:paraId="6B07C22B" w14:textId="77777777" w:rsidR="003A35E8" w:rsidRDefault="003A35E8" w:rsidP="003A35E8">
      <w:pPr>
        <w:spacing w:line="276" w:lineRule="auto"/>
        <w:rPr>
          <w:rFonts w:ascii="Arial" w:hAnsi="Arial" w:cs="Arial"/>
          <w:b/>
          <w:bCs/>
        </w:rPr>
      </w:pPr>
    </w:p>
    <w:p w14:paraId="55598F24" w14:textId="77777777" w:rsidR="003A35E8" w:rsidRDefault="003A35E8" w:rsidP="003A35E8">
      <w:pPr>
        <w:spacing w:line="276" w:lineRule="auto"/>
        <w:rPr>
          <w:rFonts w:ascii="Arial" w:hAnsi="Arial" w:cs="Arial"/>
          <w:b/>
          <w:bCs/>
        </w:rPr>
      </w:pPr>
    </w:p>
    <w:p w14:paraId="2774271F" w14:textId="77777777" w:rsidR="00770778" w:rsidRDefault="00770778" w:rsidP="003A35E8">
      <w:pPr>
        <w:spacing w:line="276" w:lineRule="auto"/>
        <w:rPr>
          <w:rFonts w:ascii="Arial" w:hAnsi="Arial" w:cs="Arial"/>
          <w:b/>
          <w:bCs/>
        </w:rPr>
      </w:pPr>
    </w:p>
    <w:p w14:paraId="78A6B904" w14:textId="77777777" w:rsidR="003A35E8" w:rsidRDefault="003A35E8" w:rsidP="003A35E8">
      <w:pPr>
        <w:spacing w:line="276" w:lineRule="auto"/>
        <w:rPr>
          <w:rFonts w:ascii="Arial" w:hAnsi="Arial" w:cs="Arial"/>
          <w:b/>
          <w:bCs/>
        </w:rPr>
      </w:pPr>
    </w:p>
    <w:p w14:paraId="492C98AD" w14:textId="77777777" w:rsidR="003A35E8" w:rsidRPr="003A35E8" w:rsidRDefault="003A35E8" w:rsidP="003A35E8">
      <w:pPr>
        <w:spacing w:line="276" w:lineRule="auto"/>
        <w:rPr>
          <w:rFonts w:ascii="Arial" w:hAnsi="Arial" w:cs="Arial"/>
          <w:b/>
          <w:bCs/>
        </w:rPr>
      </w:pPr>
    </w:p>
    <w:p w14:paraId="628BCE8F" w14:textId="77777777" w:rsidR="003A35E8" w:rsidRPr="003A35E8" w:rsidRDefault="003A35E8" w:rsidP="003A35E8">
      <w:pPr>
        <w:spacing w:line="276" w:lineRule="auto"/>
        <w:ind w:right="531"/>
        <w:rPr>
          <w:rFonts w:ascii="Arial" w:hAnsi="Arial" w:cs="Arial"/>
          <w:b/>
          <w:bCs/>
        </w:rPr>
      </w:pPr>
      <w:r w:rsidRPr="003A35E8">
        <w:rPr>
          <w:rFonts w:ascii="Arial" w:hAnsi="Arial" w:cs="Arial"/>
          <w:b/>
          <w:bCs/>
        </w:rPr>
        <w:lastRenderedPageBreak/>
        <w:t>Essay two:</w:t>
      </w:r>
    </w:p>
    <w:p w14:paraId="3BE63546" w14:textId="77777777" w:rsidR="003A35E8" w:rsidRPr="003A35E8" w:rsidRDefault="003A35E8" w:rsidP="003A35E8">
      <w:pPr>
        <w:spacing w:after="0" w:line="276" w:lineRule="auto"/>
        <w:ind w:right="531"/>
        <w:rPr>
          <w:rFonts w:ascii="Arial" w:eastAsia="Calibri" w:hAnsi="Arial" w:cs="Arial"/>
          <w:b/>
          <w:bCs/>
        </w:rPr>
      </w:pPr>
      <w:r w:rsidRPr="003A35E8">
        <w:rPr>
          <w:rFonts w:ascii="Arial" w:eastAsia="Calibri" w:hAnsi="Arial" w:cs="Arial"/>
          <w:b/>
          <w:bCs/>
        </w:rPr>
        <w:t>Response policing – Why is it important to manage mental wellbeing in policing? What can be the consequences if mental wellbeing is not managed appropriately?</w:t>
      </w:r>
    </w:p>
    <w:p w14:paraId="04F5D67B" w14:textId="77777777" w:rsidR="003A35E8" w:rsidRPr="003A35E8" w:rsidRDefault="003A35E8" w:rsidP="003A35E8">
      <w:pPr>
        <w:spacing w:line="276" w:lineRule="auto"/>
        <w:ind w:right="531"/>
        <w:jc w:val="both"/>
        <w:rPr>
          <w:rFonts w:ascii="Arial" w:hAnsi="Arial" w:cs="Arial"/>
          <w:b/>
          <w:bCs/>
        </w:rPr>
      </w:pPr>
    </w:p>
    <w:p w14:paraId="0DDC521C" w14:textId="77777777" w:rsidR="003A35E8" w:rsidRPr="003A35E8" w:rsidRDefault="003A35E8" w:rsidP="003A35E8">
      <w:pPr>
        <w:spacing w:line="276" w:lineRule="auto"/>
        <w:ind w:right="531"/>
        <w:jc w:val="both"/>
        <w:rPr>
          <w:rFonts w:ascii="Arial" w:hAnsi="Arial" w:cs="Arial"/>
          <w:lang w:val="en-US"/>
        </w:rPr>
      </w:pPr>
      <w:r w:rsidRPr="003A35E8">
        <w:rPr>
          <w:rFonts w:ascii="Arial" w:hAnsi="Arial" w:cs="Arial"/>
          <w:lang w:val="en-US"/>
        </w:rPr>
        <w:t>Mental wellbeing in policing is central to officer performance and public safety. Police officers are placed in complex incidents everyday which opens them up to working irregular working hours, often exposure to trauma and regularly making high-risk decision, a combination of all these factors can contribute to elevated risks of psychological distress. This essay examines the significance of mental health management in policing, supported by contemporary research and relevant theories. It also explores the consequences of neglect, drawing from studies across the UK and internationally to provide a well-rounded perspective.</w:t>
      </w:r>
    </w:p>
    <w:p w14:paraId="5846B8F0" w14:textId="796B3D38" w:rsidR="003A35E8" w:rsidRPr="003A35E8" w:rsidRDefault="003A35E8" w:rsidP="003A35E8">
      <w:pPr>
        <w:spacing w:line="276" w:lineRule="auto"/>
        <w:ind w:right="531"/>
        <w:jc w:val="both"/>
        <w:rPr>
          <w:rFonts w:ascii="Arial" w:hAnsi="Arial" w:cs="Arial"/>
        </w:rPr>
      </w:pPr>
      <w:r w:rsidRPr="003A35E8">
        <w:rPr>
          <w:rFonts w:ascii="Arial" w:hAnsi="Arial" w:cs="Arial"/>
          <w:lang w:val="en-US"/>
        </w:rPr>
        <w:t xml:space="preserve">Police officers experience stress in many ways. </w:t>
      </w:r>
      <w:r w:rsidRPr="003A35E8">
        <w:rPr>
          <w:rFonts w:ascii="Arial" w:hAnsi="Arial" w:cs="Arial"/>
        </w:rPr>
        <w:t>Drew and Williamson (2024)</w:t>
      </w:r>
      <w:r w:rsidRPr="003A35E8">
        <w:rPr>
          <w:rFonts w:ascii="Arial" w:hAnsi="Arial" w:cs="Arial"/>
          <w:lang w:val="en-US"/>
        </w:rPr>
        <w:t xml:space="preserve"> categories these stressors in 2 categories; Firstly, operational stress </w:t>
      </w:r>
      <w:r w:rsidR="00230E68">
        <w:rPr>
          <w:rFonts w:ascii="Arial" w:hAnsi="Arial" w:cs="Arial"/>
          <w:lang w:val="en-US"/>
        </w:rPr>
        <w:t xml:space="preserve">which looks at “stressors from a more </w:t>
      </w:r>
      <w:r w:rsidRPr="003A35E8">
        <w:rPr>
          <w:rFonts w:ascii="Arial" w:hAnsi="Arial" w:cs="Arial"/>
          <w:lang w:val="en-US"/>
        </w:rPr>
        <w:t>wholistic</w:t>
      </w:r>
      <w:r w:rsidR="00230E68">
        <w:rPr>
          <w:rFonts w:ascii="Arial" w:hAnsi="Arial" w:cs="Arial"/>
          <w:lang w:val="en-US"/>
        </w:rPr>
        <w:t xml:space="preserve"> perspective” and identifies </w:t>
      </w:r>
      <w:r w:rsidRPr="003A35E8">
        <w:rPr>
          <w:rFonts w:ascii="Arial" w:hAnsi="Arial" w:cs="Arial"/>
          <w:lang w:val="en-US"/>
        </w:rPr>
        <w:t xml:space="preserve">stressors that are </w:t>
      </w:r>
      <w:r w:rsidR="00230E68" w:rsidRPr="003A35E8">
        <w:rPr>
          <w:rFonts w:ascii="Arial" w:hAnsi="Arial" w:cs="Arial"/>
          <w:lang w:val="en-US"/>
        </w:rPr>
        <w:t>linked</w:t>
      </w:r>
      <w:r w:rsidRPr="003A35E8">
        <w:rPr>
          <w:rFonts w:ascii="Arial" w:hAnsi="Arial" w:cs="Arial"/>
          <w:lang w:val="en-US"/>
        </w:rPr>
        <w:t xml:space="preserve"> with</w:t>
      </w:r>
      <w:r w:rsidR="00230E68">
        <w:rPr>
          <w:rFonts w:ascii="Arial" w:hAnsi="Arial" w:cs="Arial"/>
          <w:lang w:val="en-US"/>
        </w:rPr>
        <w:t xml:space="preserve"> the role</w:t>
      </w:r>
      <w:r w:rsidRPr="003A35E8">
        <w:rPr>
          <w:rFonts w:ascii="Arial" w:hAnsi="Arial" w:cs="Arial"/>
          <w:lang w:val="en-US"/>
        </w:rPr>
        <w:t xml:space="preserve"> of policing</w:t>
      </w:r>
      <w:r w:rsidR="00230E68">
        <w:rPr>
          <w:rFonts w:ascii="Arial" w:hAnsi="Arial" w:cs="Arial"/>
          <w:lang w:val="en-US"/>
        </w:rPr>
        <w:t xml:space="preserve"> </w:t>
      </w:r>
      <w:r w:rsidRPr="003A35E8">
        <w:rPr>
          <w:rFonts w:ascii="Arial" w:hAnsi="Arial" w:cs="Arial"/>
          <w:lang w:val="en-US"/>
        </w:rPr>
        <w:t>which stems from direct experiences such as dealing with death, violence or victims of crime. Secondly, Organizational stress can be “</w:t>
      </w:r>
      <w:r w:rsidRPr="003A35E8">
        <w:rPr>
          <w:rFonts w:ascii="Arial" w:hAnsi="Arial" w:cs="Arial"/>
        </w:rPr>
        <w:t>associated with the organizational culture of the police environment”</w:t>
      </w:r>
      <w:r w:rsidRPr="003A35E8">
        <w:rPr>
          <w:rFonts w:ascii="Arial" w:hAnsi="Arial" w:cs="Arial"/>
          <w:lang w:val="en-US"/>
        </w:rPr>
        <w:t xml:space="preserve"> which can include long shifts, lack of control in decision-making and even favoritism in staff from managers </w:t>
      </w:r>
      <w:r w:rsidRPr="003A35E8">
        <w:rPr>
          <w:rFonts w:ascii="Arial" w:hAnsi="Arial" w:cs="Arial"/>
        </w:rPr>
        <w:t>(Drew and Williamson, 2024)</w:t>
      </w:r>
      <w:r w:rsidRPr="003A35E8">
        <w:rPr>
          <w:rFonts w:ascii="Arial" w:hAnsi="Arial" w:cs="Arial"/>
          <w:lang w:val="en-US"/>
        </w:rPr>
        <w:t xml:space="preserve">. According to </w:t>
      </w:r>
      <w:bookmarkStart w:id="0" w:name="_Hlk198983169"/>
      <w:r w:rsidRPr="003A35E8">
        <w:rPr>
          <w:rFonts w:ascii="Arial" w:hAnsi="Arial" w:cs="Arial"/>
          <w:lang w:val="en-US"/>
        </w:rPr>
        <w:t xml:space="preserve">McCarty and Garland (2007), </w:t>
      </w:r>
      <w:bookmarkEnd w:id="0"/>
      <w:r w:rsidRPr="003A35E8">
        <w:rPr>
          <w:rFonts w:ascii="Arial" w:hAnsi="Arial" w:cs="Arial"/>
          <w:lang w:val="en-US"/>
        </w:rPr>
        <w:t>both types of stress significantly contribute to mental health deterioration amongst male and female officers. This identifies how complex and difficult the role can be for officers and allows understanding of why officers experience mental health issues.</w:t>
      </w:r>
    </w:p>
    <w:p w14:paraId="2C31B4F1" w14:textId="0667EF59" w:rsidR="003A35E8" w:rsidRPr="003A35E8" w:rsidRDefault="00230E68" w:rsidP="003A35E8">
      <w:pPr>
        <w:spacing w:line="276" w:lineRule="auto"/>
        <w:ind w:right="531"/>
        <w:jc w:val="both"/>
        <w:rPr>
          <w:rFonts w:ascii="Arial" w:hAnsi="Arial" w:cs="Arial"/>
        </w:rPr>
      </w:pPr>
      <w:r>
        <w:rPr>
          <w:rFonts w:ascii="Arial" w:hAnsi="Arial" w:cs="Arial"/>
        </w:rPr>
        <w:t>A model which is widely discussed i</w:t>
      </w:r>
      <w:r w:rsidR="003A35E8" w:rsidRPr="003A35E8">
        <w:rPr>
          <w:rFonts w:ascii="Arial" w:hAnsi="Arial" w:cs="Arial"/>
        </w:rPr>
        <w:t xml:space="preserve">n occupational stress is the Job Demand-Resources (JD-R) Model </w:t>
      </w:r>
      <w:bookmarkStart w:id="1" w:name="_Hlk198983182"/>
      <w:r w:rsidR="003A35E8" w:rsidRPr="003A35E8">
        <w:rPr>
          <w:rFonts w:ascii="Arial" w:hAnsi="Arial" w:cs="Arial"/>
        </w:rPr>
        <w:t xml:space="preserve">(Bakker &amp; Demerouti, 2007) </w:t>
      </w:r>
      <w:bookmarkEnd w:id="1"/>
      <w:r w:rsidR="003A35E8" w:rsidRPr="003A35E8">
        <w:rPr>
          <w:rFonts w:ascii="Arial" w:hAnsi="Arial" w:cs="Arial"/>
        </w:rPr>
        <w:t xml:space="preserve">it </w:t>
      </w:r>
      <w:r>
        <w:rPr>
          <w:rFonts w:ascii="Arial" w:hAnsi="Arial" w:cs="Arial"/>
          <w:lang w:val="en-US"/>
        </w:rPr>
        <w:t>shows the link having</w:t>
      </w:r>
      <w:r w:rsidR="003A35E8" w:rsidRPr="003A35E8">
        <w:rPr>
          <w:rFonts w:ascii="Arial" w:hAnsi="Arial" w:cs="Arial"/>
          <w:lang w:val="en-US"/>
        </w:rPr>
        <w:t xml:space="preserve"> insufficient </w:t>
      </w:r>
      <w:r>
        <w:rPr>
          <w:rFonts w:ascii="Arial" w:hAnsi="Arial" w:cs="Arial"/>
          <w:lang w:val="en-US"/>
        </w:rPr>
        <w:t>staff can</w:t>
      </w:r>
      <w:r w:rsidR="003A35E8" w:rsidRPr="003A35E8">
        <w:rPr>
          <w:rFonts w:ascii="Arial" w:hAnsi="Arial" w:cs="Arial"/>
          <w:lang w:val="en-US"/>
        </w:rPr>
        <w:t xml:space="preserve"> lead to </w:t>
      </w:r>
      <w:r w:rsidRPr="003A35E8">
        <w:rPr>
          <w:rFonts w:ascii="Arial" w:hAnsi="Arial" w:cs="Arial"/>
          <w:lang w:val="en-US"/>
        </w:rPr>
        <w:t>exhaustion</w:t>
      </w:r>
      <w:r w:rsidR="003A35E8" w:rsidRPr="003A35E8">
        <w:rPr>
          <w:rFonts w:ascii="Arial" w:hAnsi="Arial" w:cs="Arial"/>
          <w:lang w:val="en-US"/>
        </w:rPr>
        <w:t>.</w:t>
      </w:r>
      <w:r w:rsidR="003A35E8" w:rsidRPr="003A35E8">
        <w:rPr>
          <w:rFonts w:ascii="Arial" w:hAnsi="Arial" w:cs="Arial"/>
        </w:rPr>
        <w:t xml:space="preserve"> In policing, job </w:t>
      </w:r>
      <w:r w:rsidRPr="003A35E8">
        <w:rPr>
          <w:rFonts w:ascii="Arial" w:hAnsi="Arial" w:cs="Arial"/>
        </w:rPr>
        <w:t>stresses</w:t>
      </w:r>
      <w:r w:rsidR="003A35E8" w:rsidRPr="003A35E8">
        <w:rPr>
          <w:rFonts w:ascii="Arial" w:hAnsi="Arial" w:cs="Arial"/>
        </w:rPr>
        <w:t xml:space="preserve"> such as high workload and trauma exposure are often paired with less recovery time and limited mental health support which is the reality of policing resources </w:t>
      </w:r>
      <w:bookmarkStart w:id="2" w:name="_Hlk198983191"/>
      <w:r w:rsidR="003A35E8" w:rsidRPr="003A35E8">
        <w:rPr>
          <w:rFonts w:ascii="Arial" w:hAnsi="Arial" w:cs="Arial"/>
        </w:rPr>
        <w:t>(</w:t>
      </w:r>
      <w:proofErr w:type="spellStart"/>
      <w:r w:rsidR="003A35E8" w:rsidRPr="003A35E8">
        <w:rPr>
          <w:rFonts w:ascii="Arial" w:hAnsi="Arial" w:cs="Arial"/>
        </w:rPr>
        <w:t>Purba</w:t>
      </w:r>
      <w:proofErr w:type="spellEnd"/>
      <w:r w:rsidR="003A35E8" w:rsidRPr="003A35E8">
        <w:rPr>
          <w:rFonts w:ascii="Arial" w:hAnsi="Arial" w:cs="Arial"/>
        </w:rPr>
        <w:t xml:space="preserve"> and </w:t>
      </w:r>
      <w:proofErr w:type="spellStart"/>
      <w:r w:rsidR="003A35E8" w:rsidRPr="003A35E8">
        <w:rPr>
          <w:rFonts w:ascii="Arial" w:hAnsi="Arial" w:cs="Arial"/>
        </w:rPr>
        <w:t>Demou</w:t>
      </w:r>
      <w:proofErr w:type="spellEnd"/>
      <w:r w:rsidR="003A35E8" w:rsidRPr="003A35E8">
        <w:rPr>
          <w:rFonts w:ascii="Arial" w:hAnsi="Arial" w:cs="Arial"/>
        </w:rPr>
        <w:t>, 2019)</w:t>
      </w:r>
      <w:bookmarkEnd w:id="2"/>
      <w:r w:rsidR="003A35E8" w:rsidRPr="003A35E8">
        <w:rPr>
          <w:rFonts w:ascii="Arial" w:hAnsi="Arial" w:cs="Arial"/>
        </w:rPr>
        <w:t xml:space="preserve">. These pressures will ultimately leave officers with lasting personal issues such as anxiety or even PTSD.  </w:t>
      </w:r>
    </w:p>
    <w:p w14:paraId="09F74EA8" w14:textId="58C1F377" w:rsidR="003A35E8" w:rsidRPr="003A35E8" w:rsidRDefault="003A35E8" w:rsidP="003A35E8">
      <w:pPr>
        <w:spacing w:line="276" w:lineRule="auto"/>
        <w:ind w:right="531"/>
        <w:jc w:val="both"/>
        <w:rPr>
          <w:rFonts w:ascii="Arial" w:hAnsi="Arial" w:cs="Arial"/>
        </w:rPr>
      </w:pPr>
      <w:r w:rsidRPr="003A35E8">
        <w:rPr>
          <w:rFonts w:ascii="Arial" w:hAnsi="Arial" w:cs="Arial"/>
        </w:rPr>
        <w:t xml:space="preserve">Burnout Theory is helpful here as it highlights three mechanisms of burnout which are essential to the understanding of what burnout is; </w:t>
      </w:r>
      <w:r w:rsidR="00230E68">
        <w:rPr>
          <w:rFonts w:ascii="Arial" w:hAnsi="Arial" w:cs="Arial"/>
        </w:rPr>
        <w:t>“</w:t>
      </w:r>
      <w:r w:rsidRPr="003A35E8">
        <w:rPr>
          <w:rFonts w:ascii="Arial" w:hAnsi="Arial" w:cs="Arial"/>
        </w:rPr>
        <w:t>it’s a combination of emotional exhaustion, depersonalisation, and reduced personal accomplishment</w:t>
      </w:r>
      <w:r w:rsidR="00230E68">
        <w:rPr>
          <w:rFonts w:ascii="Arial" w:hAnsi="Arial" w:cs="Arial"/>
        </w:rPr>
        <w:t>”</w:t>
      </w:r>
      <w:r w:rsidRPr="003A35E8">
        <w:rPr>
          <w:rFonts w:ascii="Arial" w:hAnsi="Arial" w:cs="Arial"/>
        </w:rPr>
        <w:t xml:space="preserve"> </w:t>
      </w:r>
      <w:bookmarkStart w:id="3" w:name="_Hlk198983205"/>
      <w:r w:rsidRPr="003A35E8">
        <w:rPr>
          <w:rFonts w:ascii="Arial" w:hAnsi="Arial" w:cs="Arial"/>
        </w:rPr>
        <w:t>(Maslach and Leiter’s,1997</w:t>
      </w:r>
      <w:bookmarkEnd w:id="3"/>
      <w:r w:rsidRPr="003A35E8">
        <w:rPr>
          <w:rFonts w:ascii="Arial" w:hAnsi="Arial" w:cs="Arial"/>
        </w:rPr>
        <w:t>). It’s not uncommon for officers to score relatively high in all three due to the constant pressure and lack of emotional recovery time (Basinska, Wiciak and Dåderman, 2014). Police officers will tend to avoid the topic but if left unspoken about, it can lead to long-term psychological issues.</w:t>
      </w:r>
    </w:p>
    <w:p w14:paraId="6F9132FC" w14:textId="0BB0BAC6" w:rsidR="003A35E8" w:rsidRPr="003A35E8" w:rsidRDefault="003A35E8" w:rsidP="003A35E8">
      <w:pPr>
        <w:spacing w:line="276" w:lineRule="auto"/>
        <w:ind w:right="531"/>
        <w:jc w:val="both"/>
        <w:rPr>
          <w:rFonts w:ascii="Arial" w:hAnsi="Arial" w:cs="Arial"/>
        </w:rPr>
      </w:pPr>
      <w:r w:rsidRPr="003A35E8">
        <w:rPr>
          <w:rFonts w:ascii="Arial" w:hAnsi="Arial" w:cs="Arial"/>
        </w:rPr>
        <w:t xml:space="preserve">Mental health is widely discussed in research and there’s a clear link between policing and mental health disorders. Supporting research by Purba and Demou (2019) emphasises that due to the line of work officers are exposed to </w:t>
      </w:r>
      <w:r w:rsidR="005E3FF7" w:rsidRPr="003A35E8">
        <w:rPr>
          <w:rFonts w:ascii="Arial" w:hAnsi="Arial" w:cs="Arial"/>
        </w:rPr>
        <w:t>them</w:t>
      </w:r>
      <w:r w:rsidRPr="003A35E8">
        <w:rPr>
          <w:rFonts w:ascii="Arial" w:hAnsi="Arial" w:cs="Arial"/>
        </w:rPr>
        <w:t xml:space="preserve"> will be at risk of PTSD and suicide at a much greater scale than the public. Chronic exposure to trauma, particularly without timely interventions, can also lead to Operational Stress Injury (OSI), this is usually used when referring to military mental health conditions but increasingly applicable in policing </w:t>
      </w:r>
      <w:bookmarkStart w:id="4" w:name="_Hlk198983437"/>
      <w:r w:rsidRPr="003A35E8">
        <w:rPr>
          <w:rFonts w:ascii="Arial" w:hAnsi="Arial" w:cs="Arial"/>
        </w:rPr>
        <w:t>(Antony et al., 2020).</w:t>
      </w:r>
      <w:bookmarkEnd w:id="4"/>
    </w:p>
    <w:p w14:paraId="305DD0FA" w14:textId="1FAA747C" w:rsidR="003A35E8" w:rsidRPr="003A35E8" w:rsidRDefault="003A35E8" w:rsidP="003A35E8">
      <w:pPr>
        <w:spacing w:line="276" w:lineRule="auto"/>
        <w:ind w:right="531"/>
        <w:jc w:val="both"/>
        <w:rPr>
          <w:rFonts w:ascii="Arial" w:hAnsi="Arial" w:cs="Arial"/>
        </w:rPr>
      </w:pPr>
      <w:r w:rsidRPr="003A35E8">
        <w:rPr>
          <w:rFonts w:ascii="Arial" w:hAnsi="Arial" w:cs="Arial"/>
        </w:rPr>
        <w:lastRenderedPageBreak/>
        <w:t>One of the key barriers to mental health support in policing is organisational culture. Historically in the police force it was known that officers would show a certain amount of toughness, (Ward et al., 2018) explains the</w:t>
      </w:r>
      <w:r w:rsidR="00230E68">
        <w:rPr>
          <w:rFonts w:ascii="Arial" w:hAnsi="Arial" w:cs="Arial"/>
        </w:rPr>
        <w:t>re is a</w:t>
      </w:r>
      <w:r w:rsidRPr="003A35E8">
        <w:rPr>
          <w:rFonts w:ascii="Arial" w:hAnsi="Arial" w:cs="Arial"/>
        </w:rPr>
        <w:t xml:space="preserve"> direct link between mental toughness and resilience to experiencing any mental health issues. Knowing that officers are expected to be confident and challenge themselves throughout the role, officers are often discouraged to show any vulnerabilities, and this allows officers to supress any emotions. </w:t>
      </w:r>
      <w:bookmarkStart w:id="5" w:name="_Hlk198983447"/>
      <w:r w:rsidRPr="003A35E8">
        <w:rPr>
          <w:rFonts w:ascii="Arial" w:hAnsi="Arial" w:cs="Arial"/>
        </w:rPr>
        <w:t xml:space="preserve">Corrigan et al (2014) </w:t>
      </w:r>
      <w:bookmarkEnd w:id="5"/>
      <w:r w:rsidRPr="003A35E8">
        <w:rPr>
          <w:rFonts w:ascii="Arial" w:hAnsi="Arial" w:cs="Arial"/>
        </w:rPr>
        <w:t>emphasises that this culture can lead to expected stigma, where people won’t seek any help due to feeling ashamed and they worry about being labelled as having a mental illness. Without culture change, mental health initiatives may fail to reach those most in need.</w:t>
      </w:r>
    </w:p>
    <w:p w14:paraId="1A26E229" w14:textId="77777777" w:rsidR="003A35E8" w:rsidRPr="003A35E8" w:rsidRDefault="003A35E8" w:rsidP="003A35E8">
      <w:pPr>
        <w:spacing w:line="276" w:lineRule="auto"/>
        <w:ind w:right="531"/>
        <w:jc w:val="both"/>
        <w:rPr>
          <w:rFonts w:ascii="Arial" w:hAnsi="Arial" w:cs="Arial"/>
        </w:rPr>
      </w:pPr>
      <w:r w:rsidRPr="003A35E8">
        <w:rPr>
          <w:rFonts w:ascii="Arial" w:hAnsi="Arial" w:cs="Arial"/>
        </w:rPr>
        <w:t xml:space="preserve">By officers remaining silent and fostering this approach of not reporting this is having a direct impact on early intervention due to feeling discouraged. A study by </w:t>
      </w:r>
      <w:bookmarkStart w:id="6" w:name="_Hlk198983475"/>
      <w:r w:rsidRPr="003A35E8">
        <w:rPr>
          <w:rFonts w:ascii="Arial" w:hAnsi="Arial" w:cs="Arial"/>
        </w:rPr>
        <w:t xml:space="preserve">Stuart (2008) </w:t>
      </w:r>
      <w:bookmarkEnd w:id="6"/>
      <w:r w:rsidRPr="003A35E8">
        <w:rPr>
          <w:rFonts w:ascii="Arial" w:hAnsi="Arial" w:cs="Arial"/>
        </w:rPr>
        <w:t>shows that in the emergency services there was lot of peer judgement which was a major reason people avoided mental health services, even when they recognised their own symptoms. Ultimately if officers feel reserved to speak out about how they feel this will have a direct effect on the quality of work due them feeling burnout.</w:t>
      </w:r>
    </w:p>
    <w:p w14:paraId="60BF027A" w14:textId="77777777" w:rsidR="003A35E8" w:rsidRPr="003A35E8" w:rsidRDefault="003A35E8" w:rsidP="003A35E8">
      <w:pPr>
        <w:spacing w:line="276" w:lineRule="auto"/>
        <w:ind w:right="531"/>
        <w:jc w:val="both"/>
        <w:rPr>
          <w:rFonts w:ascii="Arial" w:hAnsi="Arial" w:cs="Arial"/>
        </w:rPr>
      </w:pPr>
      <w:r w:rsidRPr="003A35E8">
        <w:rPr>
          <w:rFonts w:ascii="Arial" w:hAnsi="Arial" w:cs="Arial"/>
        </w:rPr>
        <w:t>There is growing consensus that wellbeing must be managed proactively rather than reactively. Police forces are advocates of mental health and they do support officers in times of hardship, Watson et al., (2018) emphasises the importance of TRiM (Trauma Risk Management) being used across police forces, this does allow officers to speak openly about any trauma experienced on or off the job ensuring officers have time to process all of their thoughts and feelings alongside professionals who are trained in trauma management. Officers who used TRiM found it helped reduce symptoms from PSTD and it allowed them the time to process with professionals after experiencing any trauma (Watson et al., 2018)</w:t>
      </w:r>
    </w:p>
    <w:p w14:paraId="1ACEFC62" w14:textId="77777777" w:rsidR="003A35E8" w:rsidRPr="003A35E8" w:rsidRDefault="003A35E8" w:rsidP="003A35E8">
      <w:pPr>
        <w:spacing w:line="276" w:lineRule="auto"/>
        <w:ind w:right="531"/>
        <w:jc w:val="both"/>
        <w:rPr>
          <w:rFonts w:ascii="Arial" w:hAnsi="Arial" w:cs="Arial"/>
        </w:rPr>
      </w:pPr>
      <w:r w:rsidRPr="003A35E8">
        <w:rPr>
          <w:rFonts w:ascii="Arial" w:hAnsi="Arial" w:cs="Arial"/>
        </w:rPr>
        <w:t>When discussing mental health culture, this places emphasis on leadership within departments. Research suggests that managers who openly discuss wellbeing and model healthy behaviours such as using support services can ultimately reduce stigma and set the tone for their teams which can start to reduce the stigma around it (</w:t>
      </w:r>
      <w:bookmarkStart w:id="7" w:name="_Hlk198983507"/>
      <w:r w:rsidRPr="003A35E8">
        <w:rPr>
          <w:rFonts w:ascii="Arial" w:hAnsi="Arial" w:cs="Arial"/>
        </w:rPr>
        <w:t xml:space="preserve">Quinane et al., 2021). </w:t>
      </w:r>
      <w:bookmarkEnd w:id="7"/>
      <w:r w:rsidRPr="003A35E8">
        <w:rPr>
          <w:rFonts w:ascii="Arial" w:hAnsi="Arial" w:cs="Arial"/>
        </w:rPr>
        <w:t>This suggests shifting from the way managers lead in their role can start to promote openness and empathy which can reduce stigma around mental health.</w:t>
      </w:r>
    </w:p>
    <w:p w14:paraId="11B4EAF6" w14:textId="120259C3" w:rsidR="003A35E8" w:rsidRPr="003A35E8" w:rsidRDefault="003A35E8" w:rsidP="003A35E8">
      <w:pPr>
        <w:spacing w:line="276" w:lineRule="auto"/>
        <w:ind w:right="531"/>
        <w:jc w:val="both"/>
        <w:rPr>
          <w:rFonts w:ascii="Arial" w:hAnsi="Arial" w:cs="Arial"/>
        </w:rPr>
      </w:pPr>
      <w:r w:rsidRPr="003A35E8">
        <w:rPr>
          <w:rFonts w:ascii="Arial" w:hAnsi="Arial" w:cs="Arial"/>
        </w:rPr>
        <w:t>Failing to manage mental wellbeing can result in massive consequences such as increased absences. Looking at statistics its apparent that mental health is a clear-cut issue across police forces. When looking at mental health-related absences in UK, the Blue Light Scoping Survey show that “of the officers surveyed, 61% reported mental health problems; the highest figure recorded amongst all emergency services” (</w:t>
      </w:r>
      <w:bookmarkStart w:id="8" w:name="_Hlk198983517"/>
      <w:r w:rsidRPr="003A35E8">
        <w:rPr>
          <w:rFonts w:ascii="Arial" w:hAnsi="Arial" w:cs="Arial"/>
        </w:rPr>
        <w:t>Quin, 2024</w:t>
      </w:r>
      <w:bookmarkEnd w:id="8"/>
      <w:r w:rsidRPr="003A35E8">
        <w:rPr>
          <w:rFonts w:ascii="Arial" w:hAnsi="Arial" w:cs="Arial"/>
        </w:rPr>
        <w:t xml:space="preserve">). This has a knock effect on the service being provided to the public then as the resources are lowered due to officers on sick leave. Policing strategies need to start reflecting the importance of mental </w:t>
      </w:r>
      <w:r w:rsidR="005E3FF7" w:rsidRPr="003A35E8">
        <w:rPr>
          <w:rFonts w:ascii="Arial" w:hAnsi="Arial" w:cs="Arial"/>
        </w:rPr>
        <w:t>wellbeing,</w:t>
      </w:r>
      <w:r w:rsidRPr="003A35E8">
        <w:rPr>
          <w:rFonts w:ascii="Arial" w:hAnsi="Arial" w:cs="Arial"/>
        </w:rPr>
        <w:t xml:space="preserve"> so officers have access and officers need to be reminded that their mental health matters and they’re a priority and not just a working number.</w:t>
      </w:r>
    </w:p>
    <w:p w14:paraId="64A68B0C" w14:textId="651A1402" w:rsidR="003A35E8" w:rsidRPr="003A35E8" w:rsidRDefault="003A35E8" w:rsidP="003A35E8">
      <w:pPr>
        <w:spacing w:line="276" w:lineRule="auto"/>
        <w:ind w:right="531"/>
        <w:jc w:val="both"/>
        <w:rPr>
          <w:rFonts w:ascii="Arial" w:hAnsi="Arial" w:cs="Arial"/>
        </w:rPr>
      </w:pPr>
      <w:r w:rsidRPr="003A35E8">
        <w:rPr>
          <w:rFonts w:ascii="Arial" w:hAnsi="Arial" w:cs="Arial"/>
        </w:rPr>
        <w:t>Managing mental wellbeing in policing is essential not only for protecting the psychological health</w:t>
      </w:r>
      <w:r w:rsidR="00230E68">
        <w:rPr>
          <w:rFonts w:ascii="Arial" w:hAnsi="Arial" w:cs="Arial"/>
        </w:rPr>
        <w:t xml:space="preserve"> of police officers</w:t>
      </w:r>
      <w:r w:rsidRPr="003A35E8">
        <w:rPr>
          <w:rFonts w:ascii="Arial" w:hAnsi="Arial" w:cs="Arial"/>
        </w:rPr>
        <w:t xml:space="preserve"> but also for ensuring the safety, integrity, and efficiency of policing institutions. The pressures of modern policing, when unsupported, can lead to serious personal and organisational consequences including reduced </w:t>
      </w:r>
      <w:r w:rsidRPr="003A35E8">
        <w:rPr>
          <w:rFonts w:ascii="Arial" w:hAnsi="Arial" w:cs="Arial"/>
        </w:rPr>
        <w:lastRenderedPageBreak/>
        <w:t>performance and impaired public trust. A proactive approach that includes resilience training, organisational change, and cultural reform is essential for sustaining a healthy, effective police workforce.</w:t>
      </w:r>
    </w:p>
    <w:p w14:paraId="64314797" w14:textId="75A4D67A" w:rsidR="003A35E8" w:rsidRPr="003A35E8" w:rsidRDefault="003A35E8" w:rsidP="003A35E8">
      <w:pPr>
        <w:spacing w:line="276" w:lineRule="auto"/>
        <w:ind w:right="531"/>
        <w:jc w:val="both"/>
        <w:rPr>
          <w:rFonts w:ascii="Arial" w:hAnsi="Arial" w:cs="Arial"/>
        </w:rPr>
      </w:pPr>
      <w:r w:rsidRPr="003A35E8">
        <w:rPr>
          <w:rFonts w:ascii="Arial" w:hAnsi="Arial" w:cs="Arial"/>
        </w:rPr>
        <w:t>Words: 107</w:t>
      </w:r>
      <w:r w:rsidR="00230E68">
        <w:rPr>
          <w:rFonts w:ascii="Arial" w:hAnsi="Arial" w:cs="Arial"/>
        </w:rPr>
        <w:t>7</w:t>
      </w:r>
    </w:p>
    <w:p w14:paraId="370B6AAE" w14:textId="77777777" w:rsidR="003A35E8" w:rsidRDefault="003A35E8" w:rsidP="003A35E8">
      <w:pPr>
        <w:spacing w:line="276" w:lineRule="auto"/>
        <w:ind w:right="531"/>
        <w:jc w:val="both"/>
        <w:rPr>
          <w:rFonts w:ascii="Arial" w:hAnsi="Arial" w:cs="Arial"/>
          <w:b/>
          <w:bCs/>
        </w:rPr>
      </w:pPr>
    </w:p>
    <w:p w14:paraId="7875B63A" w14:textId="77777777" w:rsidR="003A35E8" w:rsidRDefault="003A35E8" w:rsidP="003A35E8">
      <w:pPr>
        <w:spacing w:line="276" w:lineRule="auto"/>
        <w:ind w:right="531"/>
        <w:jc w:val="both"/>
        <w:rPr>
          <w:rFonts w:ascii="Arial" w:hAnsi="Arial" w:cs="Arial"/>
          <w:b/>
          <w:bCs/>
        </w:rPr>
      </w:pPr>
    </w:p>
    <w:p w14:paraId="6CE6862E" w14:textId="77777777" w:rsidR="003A35E8" w:rsidRDefault="003A35E8" w:rsidP="003A35E8">
      <w:pPr>
        <w:spacing w:line="276" w:lineRule="auto"/>
        <w:ind w:right="531"/>
        <w:jc w:val="both"/>
        <w:rPr>
          <w:rFonts w:ascii="Arial" w:hAnsi="Arial" w:cs="Arial"/>
          <w:b/>
          <w:bCs/>
        </w:rPr>
      </w:pPr>
    </w:p>
    <w:p w14:paraId="10F28F8C" w14:textId="77777777" w:rsidR="003A35E8" w:rsidRDefault="003A35E8" w:rsidP="003A35E8">
      <w:pPr>
        <w:spacing w:line="276" w:lineRule="auto"/>
        <w:ind w:right="531"/>
        <w:jc w:val="both"/>
        <w:rPr>
          <w:rFonts w:ascii="Arial" w:hAnsi="Arial" w:cs="Arial"/>
          <w:b/>
          <w:bCs/>
        </w:rPr>
      </w:pPr>
    </w:p>
    <w:p w14:paraId="0CAD29B2" w14:textId="77777777" w:rsidR="003A35E8" w:rsidRDefault="003A35E8" w:rsidP="003A35E8">
      <w:pPr>
        <w:spacing w:line="276" w:lineRule="auto"/>
        <w:ind w:right="531"/>
        <w:jc w:val="both"/>
        <w:rPr>
          <w:rFonts w:ascii="Arial" w:hAnsi="Arial" w:cs="Arial"/>
          <w:b/>
          <w:bCs/>
        </w:rPr>
      </w:pPr>
    </w:p>
    <w:p w14:paraId="36300157" w14:textId="77777777" w:rsidR="003A35E8" w:rsidRDefault="003A35E8" w:rsidP="003A35E8">
      <w:pPr>
        <w:spacing w:line="276" w:lineRule="auto"/>
        <w:ind w:right="531"/>
        <w:jc w:val="both"/>
        <w:rPr>
          <w:rFonts w:ascii="Arial" w:hAnsi="Arial" w:cs="Arial"/>
          <w:b/>
          <w:bCs/>
        </w:rPr>
      </w:pPr>
    </w:p>
    <w:p w14:paraId="0720C187" w14:textId="77777777" w:rsidR="003A35E8" w:rsidRDefault="003A35E8" w:rsidP="003A35E8">
      <w:pPr>
        <w:spacing w:line="276" w:lineRule="auto"/>
        <w:ind w:right="531"/>
        <w:jc w:val="both"/>
        <w:rPr>
          <w:rFonts w:ascii="Arial" w:hAnsi="Arial" w:cs="Arial"/>
          <w:b/>
          <w:bCs/>
        </w:rPr>
      </w:pPr>
    </w:p>
    <w:p w14:paraId="21BF068C" w14:textId="77777777" w:rsidR="003A35E8" w:rsidRDefault="003A35E8" w:rsidP="003A35E8">
      <w:pPr>
        <w:spacing w:line="276" w:lineRule="auto"/>
        <w:ind w:right="531"/>
        <w:jc w:val="both"/>
        <w:rPr>
          <w:rFonts w:ascii="Arial" w:hAnsi="Arial" w:cs="Arial"/>
          <w:b/>
          <w:bCs/>
        </w:rPr>
      </w:pPr>
    </w:p>
    <w:p w14:paraId="7A849384" w14:textId="77777777" w:rsidR="003A35E8" w:rsidRDefault="003A35E8" w:rsidP="003A35E8">
      <w:pPr>
        <w:spacing w:line="276" w:lineRule="auto"/>
        <w:ind w:right="531"/>
        <w:jc w:val="both"/>
        <w:rPr>
          <w:rFonts w:ascii="Arial" w:hAnsi="Arial" w:cs="Arial"/>
          <w:b/>
          <w:bCs/>
        </w:rPr>
      </w:pPr>
    </w:p>
    <w:p w14:paraId="14EAB074" w14:textId="77777777" w:rsidR="003A35E8" w:rsidRDefault="003A35E8" w:rsidP="003A35E8">
      <w:pPr>
        <w:spacing w:line="276" w:lineRule="auto"/>
        <w:ind w:right="531"/>
        <w:jc w:val="both"/>
        <w:rPr>
          <w:rFonts w:ascii="Arial" w:hAnsi="Arial" w:cs="Arial"/>
          <w:b/>
          <w:bCs/>
        </w:rPr>
      </w:pPr>
    </w:p>
    <w:p w14:paraId="6EC2D4C8" w14:textId="77777777" w:rsidR="003A35E8" w:rsidRDefault="003A35E8" w:rsidP="003A35E8">
      <w:pPr>
        <w:spacing w:line="276" w:lineRule="auto"/>
        <w:ind w:right="531"/>
        <w:jc w:val="both"/>
        <w:rPr>
          <w:rFonts w:ascii="Arial" w:hAnsi="Arial" w:cs="Arial"/>
          <w:b/>
          <w:bCs/>
        </w:rPr>
      </w:pPr>
    </w:p>
    <w:p w14:paraId="5030E278" w14:textId="77777777" w:rsidR="003A35E8" w:rsidRDefault="003A35E8" w:rsidP="003A35E8">
      <w:pPr>
        <w:spacing w:line="276" w:lineRule="auto"/>
        <w:ind w:right="531"/>
        <w:jc w:val="both"/>
        <w:rPr>
          <w:rFonts w:ascii="Arial" w:hAnsi="Arial" w:cs="Arial"/>
          <w:b/>
          <w:bCs/>
        </w:rPr>
      </w:pPr>
    </w:p>
    <w:p w14:paraId="35AE558A" w14:textId="77777777" w:rsidR="003A35E8" w:rsidRDefault="003A35E8" w:rsidP="003A35E8">
      <w:pPr>
        <w:spacing w:line="276" w:lineRule="auto"/>
        <w:ind w:right="531"/>
        <w:jc w:val="both"/>
        <w:rPr>
          <w:rFonts w:ascii="Arial" w:hAnsi="Arial" w:cs="Arial"/>
          <w:b/>
          <w:bCs/>
        </w:rPr>
      </w:pPr>
    </w:p>
    <w:p w14:paraId="331ACC03" w14:textId="77777777" w:rsidR="003A35E8" w:rsidRDefault="003A35E8" w:rsidP="003A35E8">
      <w:pPr>
        <w:spacing w:line="276" w:lineRule="auto"/>
        <w:ind w:right="531"/>
        <w:jc w:val="both"/>
        <w:rPr>
          <w:rFonts w:ascii="Arial" w:hAnsi="Arial" w:cs="Arial"/>
          <w:b/>
          <w:bCs/>
        </w:rPr>
      </w:pPr>
    </w:p>
    <w:p w14:paraId="05B6BB58" w14:textId="77777777" w:rsidR="003A35E8" w:rsidRDefault="003A35E8" w:rsidP="003A35E8">
      <w:pPr>
        <w:spacing w:line="276" w:lineRule="auto"/>
        <w:ind w:right="531"/>
        <w:jc w:val="both"/>
        <w:rPr>
          <w:rFonts w:ascii="Arial" w:hAnsi="Arial" w:cs="Arial"/>
          <w:b/>
          <w:bCs/>
        </w:rPr>
      </w:pPr>
    </w:p>
    <w:p w14:paraId="32ED860A" w14:textId="77777777" w:rsidR="003A35E8" w:rsidRDefault="003A35E8" w:rsidP="003A35E8">
      <w:pPr>
        <w:spacing w:line="276" w:lineRule="auto"/>
        <w:ind w:right="531"/>
        <w:jc w:val="both"/>
        <w:rPr>
          <w:rFonts w:ascii="Arial" w:hAnsi="Arial" w:cs="Arial"/>
          <w:b/>
          <w:bCs/>
        </w:rPr>
      </w:pPr>
    </w:p>
    <w:p w14:paraId="5F76A6FA" w14:textId="77777777" w:rsidR="003A35E8" w:rsidRDefault="003A35E8" w:rsidP="003A35E8">
      <w:pPr>
        <w:spacing w:line="276" w:lineRule="auto"/>
        <w:ind w:right="531"/>
        <w:jc w:val="both"/>
        <w:rPr>
          <w:rFonts w:ascii="Arial" w:hAnsi="Arial" w:cs="Arial"/>
          <w:b/>
          <w:bCs/>
        </w:rPr>
      </w:pPr>
    </w:p>
    <w:p w14:paraId="5DE929B3" w14:textId="77777777" w:rsidR="003A35E8" w:rsidRDefault="003A35E8" w:rsidP="003A35E8">
      <w:pPr>
        <w:spacing w:line="276" w:lineRule="auto"/>
        <w:ind w:right="531"/>
        <w:jc w:val="both"/>
        <w:rPr>
          <w:rFonts w:ascii="Arial" w:hAnsi="Arial" w:cs="Arial"/>
          <w:b/>
          <w:bCs/>
        </w:rPr>
      </w:pPr>
    </w:p>
    <w:p w14:paraId="54083137" w14:textId="77777777" w:rsidR="003A35E8" w:rsidRDefault="003A35E8" w:rsidP="003A35E8">
      <w:pPr>
        <w:spacing w:line="276" w:lineRule="auto"/>
        <w:ind w:right="531"/>
        <w:jc w:val="both"/>
        <w:rPr>
          <w:rFonts w:ascii="Arial" w:hAnsi="Arial" w:cs="Arial"/>
          <w:b/>
          <w:bCs/>
        </w:rPr>
      </w:pPr>
    </w:p>
    <w:p w14:paraId="28906153" w14:textId="77777777" w:rsidR="003A35E8" w:rsidRDefault="003A35E8" w:rsidP="003A35E8">
      <w:pPr>
        <w:spacing w:line="276" w:lineRule="auto"/>
        <w:ind w:right="531"/>
        <w:jc w:val="both"/>
        <w:rPr>
          <w:rFonts w:ascii="Arial" w:hAnsi="Arial" w:cs="Arial"/>
          <w:b/>
          <w:bCs/>
        </w:rPr>
      </w:pPr>
    </w:p>
    <w:p w14:paraId="02EF9E6F" w14:textId="77777777" w:rsidR="003A35E8" w:rsidRDefault="003A35E8" w:rsidP="003A35E8">
      <w:pPr>
        <w:spacing w:line="276" w:lineRule="auto"/>
        <w:ind w:right="531"/>
        <w:jc w:val="both"/>
        <w:rPr>
          <w:rFonts w:ascii="Arial" w:hAnsi="Arial" w:cs="Arial"/>
          <w:b/>
          <w:bCs/>
        </w:rPr>
      </w:pPr>
    </w:p>
    <w:p w14:paraId="027A9080" w14:textId="77777777" w:rsidR="003A35E8" w:rsidRDefault="003A35E8" w:rsidP="003A35E8">
      <w:pPr>
        <w:spacing w:line="276" w:lineRule="auto"/>
        <w:ind w:right="531"/>
        <w:jc w:val="both"/>
        <w:rPr>
          <w:rFonts w:ascii="Arial" w:hAnsi="Arial" w:cs="Arial"/>
          <w:b/>
          <w:bCs/>
        </w:rPr>
      </w:pPr>
    </w:p>
    <w:p w14:paraId="102DF032" w14:textId="77777777" w:rsidR="003A35E8" w:rsidRDefault="003A35E8" w:rsidP="003A35E8">
      <w:pPr>
        <w:spacing w:line="276" w:lineRule="auto"/>
        <w:ind w:right="531"/>
        <w:jc w:val="both"/>
        <w:rPr>
          <w:rFonts w:ascii="Arial" w:hAnsi="Arial" w:cs="Arial"/>
          <w:b/>
          <w:bCs/>
        </w:rPr>
      </w:pPr>
    </w:p>
    <w:p w14:paraId="2010D618" w14:textId="77777777" w:rsidR="003A35E8" w:rsidRDefault="003A35E8" w:rsidP="003A35E8">
      <w:pPr>
        <w:spacing w:line="276" w:lineRule="auto"/>
        <w:ind w:right="531"/>
        <w:jc w:val="both"/>
        <w:rPr>
          <w:rFonts w:ascii="Arial" w:hAnsi="Arial" w:cs="Arial"/>
          <w:b/>
          <w:bCs/>
        </w:rPr>
      </w:pPr>
    </w:p>
    <w:p w14:paraId="259CB6DE" w14:textId="77777777" w:rsidR="003A35E8" w:rsidRPr="003A35E8" w:rsidRDefault="003A35E8" w:rsidP="003A35E8">
      <w:pPr>
        <w:spacing w:line="276" w:lineRule="auto"/>
        <w:ind w:right="531"/>
        <w:jc w:val="both"/>
        <w:rPr>
          <w:rFonts w:ascii="Arial" w:hAnsi="Arial" w:cs="Arial"/>
          <w:b/>
          <w:bCs/>
        </w:rPr>
      </w:pPr>
    </w:p>
    <w:p w14:paraId="7BA393BA" w14:textId="77777777" w:rsidR="00082716" w:rsidRDefault="00082716" w:rsidP="003A35E8">
      <w:pPr>
        <w:spacing w:line="276" w:lineRule="auto"/>
        <w:ind w:right="531"/>
        <w:jc w:val="both"/>
        <w:rPr>
          <w:rFonts w:ascii="Arial" w:hAnsi="Arial" w:cs="Arial"/>
          <w:b/>
          <w:bCs/>
        </w:rPr>
      </w:pPr>
    </w:p>
    <w:p w14:paraId="0F941A5A" w14:textId="77777777" w:rsidR="00082716" w:rsidRDefault="00082716" w:rsidP="003A35E8">
      <w:pPr>
        <w:spacing w:line="276" w:lineRule="auto"/>
        <w:ind w:right="531"/>
        <w:jc w:val="both"/>
        <w:rPr>
          <w:rFonts w:ascii="Arial" w:hAnsi="Arial" w:cs="Arial"/>
          <w:b/>
          <w:bCs/>
        </w:rPr>
      </w:pPr>
    </w:p>
    <w:p w14:paraId="4DE6B287" w14:textId="77777777" w:rsidR="00082716" w:rsidRDefault="00082716" w:rsidP="003A35E8">
      <w:pPr>
        <w:spacing w:line="276" w:lineRule="auto"/>
        <w:ind w:right="531"/>
        <w:jc w:val="both"/>
        <w:rPr>
          <w:rFonts w:ascii="Arial" w:hAnsi="Arial" w:cs="Arial"/>
          <w:b/>
          <w:bCs/>
        </w:rPr>
      </w:pPr>
    </w:p>
    <w:p w14:paraId="2445E17D" w14:textId="3FC3998E" w:rsidR="003A35E8" w:rsidRPr="003A35E8" w:rsidRDefault="003A35E8" w:rsidP="003A35E8">
      <w:pPr>
        <w:spacing w:line="276" w:lineRule="auto"/>
        <w:ind w:right="531"/>
        <w:jc w:val="both"/>
        <w:rPr>
          <w:rFonts w:ascii="Arial" w:hAnsi="Arial" w:cs="Arial"/>
          <w:b/>
          <w:bCs/>
        </w:rPr>
      </w:pPr>
      <w:r w:rsidRPr="003A35E8">
        <w:rPr>
          <w:rFonts w:ascii="Arial" w:hAnsi="Arial" w:cs="Arial"/>
          <w:b/>
          <w:bCs/>
        </w:rPr>
        <w:lastRenderedPageBreak/>
        <w:t>Essay three:</w:t>
      </w:r>
    </w:p>
    <w:p w14:paraId="27E83E3F" w14:textId="77777777" w:rsidR="003A35E8" w:rsidRPr="003A35E8" w:rsidRDefault="003A35E8" w:rsidP="003A35E8">
      <w:pPr>
        <w:spacing w:line="276" w:lineRule="auto"/>
        <w:ind w:right="531"/>
        <w:rPr>
          <w:rFonts w:ascii="Arial" w:eastAsia="Calibri" w:hAnsi="Arial" w:cs="Arial"/>
          <w:b/>
          <w:bCs/>
        </w:rPr>
      </w:pPr>
      <w:r w:rsidRPr="003A35E8">
        <w:rPr>
          <w:rFonts w:ascii="Arial" w:eastAsia="Calibri" w:hAnsi="Arial" w:cs="Arial"/>
          <w:b/>
          <w:bCs/>
        </w:rPr>
        <w:t>How might personal attitudes, values and bias impact upon the effective investigation of volume crime?</w:t>
      </w:r>
    </w:p>
    <w:p w14:paraId="12F93975" w14:textId="7D37BBA0" w:rsidR="003A35E8" w:rsidRPr="003A35E8" w:rsidRDefault="003A35E8" w:rsidP="003A35E8">
      <w:pPr>
        <w:spacing w:line="276" w:lineRule="auto"/>
        <w:ind w:right="531"/>
        <w:rPr>
          <w:rFonts w:ascii="Arial" w:hAnsi="Arial" w:cs="Arial"/>
        </w:rPr>
      </w:pPr>
      <w:r w:rsidRPr="003A35E8">
        <w:rPr>
          <w:rFonts w:ascii="Arial" w:hAnsi="Arial" w:cs="Arial"/>
        </w:rPr>
        <w:t xml:space="preserve">When referring to volume crime it looks at crime such as burglaries, thefts and criminal damages. In the police force these are often seen as low-level crimes however they do have a significant impact when it comes to the public’s </w:t>
      </w:r>
      <w:r w:rsidR="00082716">
        <w:rPr>
          <w:rFonts w:ascii="Arial" w:hAnsi="Arial" w:cs="Arial"/>
        </w:rPr>
        <w:t>perception</w:t>
      </w:r>
      <w:r w:rsidRPr="003A35E8">
        <w:rPr>
          <w:rFonts w:ascii="Arial" w:hAnsi="Arial" w:cs="Arial"/>
        </w:rPr>
        <w:t xml:space="preserve"> in the </w:t>
      </w:r>
      <w:r w:rsidR="00082716">
        <w:rPr>
          <w:rFonts w:ascii="Arial" w:hAnsi="Arial" w:cs="Arial"/>
        </w:rPr>
        <w:t>officers and the organisation</w:t>
      </w:r>
      <w:r w:rsidRPr="003A35E8">
        <w:rPr>
          <w:rFonts w:ascii="Arial" w:hAnsi="Arial" w:cs="Arial"/>
        </w:rPr>
        <w:t>. Officers must remain objective and professional throughout investigations, but it’s known that human judgment can affect how officers’ approach and resolves cases such as personal attitudes, values, and biases. In this essay it explores how these factors can affect the investigation when it comes to volume crimes, it will draw on academic theories and evidence-based research to show how these factors can shape investigator decisions, outcomes, and fairness in policing.</w:t>
      </w:r>
    </w:p>
    <w:p w14:paraId="7E1DEB82" w14:textId="77777777" w:rsidR="003A35E8" w:rsidRPr="003A35E8" w:rsidRDefault="003A35E8" w:rsidP="003A35E8">
      <w:pPr>
        <w:spacing w:line="276" w:lineRule="auto"/>
        <w:ind w:right="531"/>
        <w:rPr>
          <w:rFonts w:ascii="Arial" w:hAnsi="Arial" w:cs="Arial"/>
        </w:rPr>
      </w:pPr>
      <w:r w:rsidRPr="003A35E8">
        <w:rPr>
          <w:rFonts w:ascii="Arial" w:hAnsi="Arial" w:cs="Arial"/>
        </w:rPr>
        <w:t xml:space="preserve">When thinking about our own personal biases these can be defined as a predisposition or prejudice toward a particular perspective, often leading to unfair or inaccurate conclusions (Cuellar, 2017). In policing, biases can arise at any point of the investigation such as suspect identification, victim interaction or even evidence interpretation, biases can be categorised into either conscious bias (explicit bias) or unconscious bias (implicit bias) whereby a person may make automatic associations or attitudes without even being aware of them (Kahneman, 2011). If officers are dealing with volume crime investigations whilst being unaware of the biases, this can lead them to make quick ineffective decisions in high pressure environments ultimately being influenced by unknown external factors such as predisposition they already have.  </w:t>
      </w:r>
    </w:p>
    <w:p w14:paraId="5CE0C84B" w14:textId="77777777" w:rsidR="003A35E8" w:rsidRPr="003A35E8" w:rsidRDefault="003A35E8" w:rsidP="003A35E8">
      <w:pPr>
        <w:spacing w:line="276" w:lineRule="auto"/>
        <w:ind w:right="531"/>
        <w:rPr>
          <w:rFonts w:ascii="Arial" w:hAnsi="Arial" w:cs="Arial"/>
        </w:rPr>
      </w:pPr>
      <w:r w:rsidRPr="003A35E8">
        <w:rPr>
          <w:rFonts w:ascii="Arial" w:hAnsi="Arial" w:cs="Arial"/>
        </w:rPr>
        <w:t>Paulus et al. (2022) highlights, speedy decision-making in uncertain conditions tends to rely on heuristics or mental shortcuts that are more prone to personal bias. Investigators may not even be aware that these judgements are being shaped by internalised attitudes rather than objective facts in the case. Due to how quick decisions must be made during investigations, police officers could be unconsciously driven by cultural or social stereotypes. Research shows that people in the UK who have working-class accents are likely to be suspected of criminal activity than people without one (Paver et al, 2025).</w:t>
      </w:r>
    </w:p>
    <w:p w14:paraId="3670DF01" w14:textId="5066C4C0" w:rsidR="003A35E8" w:rsidRPr="003A35E8" w:rsidRDefault="003A35E8" w:rsidP="003A35E8">
      <w:pPr>
        <w:spacing w:line="276" w:lineRule="auto"/>
        <w:ind w:right="531"/>
        <w:rPr>
          <w:rFonts w:ascii="Arial" w:hAnsi="Arial" w:cs="Arial"/>
        </w:rPr>
      </w:pPr>
      <w:r w:rsidRPr="003A35E8">
        <w:rPr>
          <w:rFonts w:ascii="Arial" w:hAnsi="Arial" w:cs="Arial"/>
        </w:rPr>
        <w:t xml:space="preserve">Police officers are likely to engage with several people from different backgrounds daily when attending incidents, it’s expected that our cognitive bias can have some impact when it comes to influencing how people perceive and interpret information. One of the most researched forms of cognitive bias in policing is confirmation bias where investigators </w:t>
      </w:r>
      <w:r w:rsidR="00082716">
        <w:rPr>
          <w:rFonts w:ascii="Arial" w:hAnsi="Arial" w:cs="Arial"/>
        </w:rPr>
        <w:t xml:space="preserve">may search for information to and support their </w:t>
      </w:r>
      <w:r w:rsidR="00082716" w:rsidRPr="003A35E8">
        <w:rPr>
          <w:rFonts w:ascii="Arial" w:hAnsi="Arial" w:cs="Arial"/>
        </w:rPr>
        <w:t>current</w:t>
      </w:r>
      <w:r w:rsidRPr="003A35E8">
        <w:rPr>
          <w:rFonts w:ascii="Arial" w:hAnsi="Arial" w:cs="Arial"/>
        </w:rPr>
        <w:t xml:space="preserve"> </w:t>
      </w:r>
      <w:r w:rsidR="00082716" w:rsidRPr="003A35E8">
        <w:rPr>
          <w:rFonts w:ascii="Arial" w:hAnsi="Arial" w:cs="Arial"/>
        </w:rPr>
        <w:t>views</w:t>
      </w:r>
      <w:r w:rsidRPr="003A35E8">
        <w:rPr>
          <w:rFonts w:ascii="Arial" w:hAnsi="Arial" w:cs="Arial"/>
        </w:rPr>
        <w:t xml:space="preserve">, while disregarding </w:t>
      </w:r>
      <w:r w:rsidR="00082716">
        <w:rPr>
          <w:rFonts w:ascii="Arial" w:hAnsi="Arial" w:cs="Arial"/>
        </w:rPr>
        <w:t>the evidence in front of them</w:t>
      </w:r>
      <w:r w:rsidRPr="003A35E8">
        <w:rPr>
          <w:rFonts w:ascii="Arial" w:hAnsi="Arial" w:cs="Arial"/>
        </w:rPr>
        <w:t xml:space="preserve"> (Metzgar, 2013). </w:t>
      </w:r>
    </w:p>
    <w:p w14:paraId="23280993" w14:textId="77777777" w:rsidR="003A35E8" w:rsidRPr="003A35E8" w:rsidRDefault="003A35E8" w:rsidP="003A35E8">
      <w:pPr>
        <w:spacing w:line="276" w:lineRule="auto"/>
        <w:ind w:right="531"/>
        <w:rPr>
          <w:rFonts w:ascii="Arial" w:hAnsi="Arial" w:cs="Arial"/>
        </w:rPr>
      </w:pPr>
      <w:r w:rsidRPr="003A35E8">
        <w:rPr>
          <w:rFonts w:ascii="Arial" w:hAnsi="Arial" w:cs="Arial"/>
        </w:rPr>
        <w:t>This is closely linked to the concept of “tunnel vision,” which occurs when investigators focus too narrowly on one suspect or theory and fail to explore alternative explanations. Dror and Kukucka (2021) argue that forensic decision-making is particularly vulnerable to contextual influences, especially when investigators are exposed to irrelevant case details that shape their interpretation of evidence. This is concerning in volume crime cases, where evidence may be limited, and investigators must rely heavily on judgement.</w:t>
      </w:r>
    </w:p>
    <w:p w14:paraId="52040892" w14:textId="77777777" w:rsidR="003A35E8" w:rsidRPr="003A35E8" w:rsidRDefault="003A35E8" w:rsidP="003A35E8">
      <w:pPr>
        <w:spacing w:line="276" w:lineRule="auto"/>
        <w:ind w:right="531"/>
        <w:rPr>
          <w:rFonts w:ascii="Arial" w:hAnsi="Arial" w:cs="Arial"/>
        </w:rPr>
      </w:pPr>
      <w:r w:rsidRPr="003A35E8">
        <w:rPr>
          <w:rFonts w:ascii="Arial" w:hAnsi="Arial" w:cs="Arial"/>
        </w:rPr>
        <w:lastRenderedPageBreak/>
        <w:t>Research by Kassin, Dror and Kukucka (2013) further supports this, demonstrating that forensic examiners even those trained to be impartial are susceptible to confirmation bias. When examiners were told a suspect had confessed sometimes, they were told falsely, they were more likely to find a match between that suspect and ambiguous fingerprint evidence. This shows that personal attitudes or assumptions, such as the belief in guilt, can unconsciously steer investigative outcomes.</w:t>
      </w:r>
    </w:p>
    <w:p w14:paraId="7FC99D68" w14:textId="2F3F59D7" w:rsidR="003A35E8" w:rsidRPr="003A35E8" w:rsidRDefault="003A35E8" w:rsidP="003A35E8">
      <w:pPr>
        <w:spacing w:line="276" w:lineRule="auto"/>
        <w:ind w:right="531"/>
        <w:rPr>
          <w:rFonts w:ascii="Arial" w:hAnsi="Arial" w:cs="Arial"/>
        </w:rPr>
      </w:pPr>
      <w:r w:rsidRPr="003A35E8">
        <w:rPr>
          <w:rFonts w:ascii="Arial" w:hAnsi="Arial" w:cs="Arial"/>
        </w:rPr>
        <w:t xml:space="preserve">When looking at the people who are directly involved in the crime itself like victim, witnesses and suspects biases can still have an impact. When it comes to volume crime, eyewitness accounts are relied on greatly however bias can significantly impact suspect identification. Meissner &amp; Brigham 2001 et al, (2001) looks at the “cross-race effect” which shows that people </w:t>
      </w:r>
      <w:r w:rsidR="00082716">
        <w:rPr>
          <w:rFonts w:ascii="Arial" w:hAnsi="Arial" w:cs="Arial"/>
        </w:rPr>
        <w:t>struggled to identify</w:t>
      </w:r>
      <w:r w:rsidRPr="003A35E8">
        <w:rPr>
          <w:rFonts w:ascii="Arial" w:hAnsi="Arial" w:cs="Arial"/>
        </w:rPr>
        <w:t xml:space="preserve"> individuals of a different race, increasing the risk of wrongful identification. Given that many volume crimes rely on quick interviews and public reports, officers may unknowingly rely on flawed or biased witness testimonies, particularly in diverse communities.</w:t>
      </w:r>
    </w:p>
    <w:p w14:paraId="74A88CD9" w14:textId="7F3A3D1E" w:rsidR="003A35E8" w:rsidRPr="003A35E8" w:rsidRDefault="003A35E8" w:rsidP="003A35E8">
      <w:pPr>
        <w:spacing w:line="276" w:lineRule="auto"/>
        <w:ind w:right="531"/>
        <w:rPr>
          <w:rFonts w:ascii="Arial" w:hAnsi="Arial" w:cs="Arial"/>
        </w:rPr>
      </w:pPr>
      <w:r w:rsidRPr="003A35E8">
        <w:rPr>
          <w:rFonts w:ascii="Arial" w:hAnsi="Arial" w:cs="Arial"/>
        </w:rPr>
        <w:t>Another significant part of investigations is suspect interviewing whereby bias can play a significant role. Hill (2003) found that police officers often used biased questioning techniques when they believe a suspect is guilty, this can come from the unconscious biases and officers may not know their doing it intentionally. Techniques such as this can not only skew the interview process but also increase the risk of false confessions, particularly in the most vulnerable people.</w:t>
      </w:r>
      <w:r w:rsidRPr="003A35E8">
        <w:rPr>
          <w:rFonts w:ascii="Arial" w:hAnsi="Arial" w:cs="Arial"/>
        </w:rPr>
        <w:br/>
      </w:r>
      <w:r w:rsidRPr="003A35E8">
        <w:rPr>
          <w:rFonts w:ascii="Arial" w:hAnsi="Arial" w:cs="Arial"/>
        </w:rPr>
        <w:br/>
        <w:t>The beliefs and values of officers may also determine how much weight they give to a suspect's background. If an officer holds prejudicial views consciously or unconsciously, they may interpret ambiguous behaviour as suspicious. As explained by Hill (2003), this can create a feedback loop where initial bias leads to confirmatory evidence, reinforcing the original assumption of guilt.</w:t>
      </w:r>
    </w:p>
    <w:p w14:paraId="01305A98" w14:textId="77777777" w:rsidR="003A35E8" w:rsidRPr="003A35E8" w:rsidRDefault="003A35E8" w:rsidP="003A35E8">
      <w:pPr>
        <w:spacing w:line="276" w:lineRule="auto"/>
        <w:ind w:right="531"/>
        <w:rPr>
          <w:rFonts w:ascii="Arial" w:hAnsi="Arial" w:cs="Arial"/>
        </w:rPr>
      </w:pPr>
      <w:r w:rsidRPr="003A35E8">
        <w:rPr>
          <w:rFonts w:ascii="Arial" w:hAnsi="Arial" w:cs="Arial"/>
        </w:rPr>
        <w:t>It’s important for officers to be aware and recognise the risks posed by biases, police forces ensure that biases are covered largely in training and yearly in training courses. Implicit bias training is increasingly being offered in policing institutions to help officers recognise their unconscious prejudices. Fridell (2016) suggests that reflective practice can raise awareness and make more investigators aware of the core biases they hold. Similarly, the College of Policing (2023) does encourage continuous reflection and self-awareness among police officers, urging them to reflect on personal values and when it comes to decision-making.</w:t>
      </w:r>
    </w:p>
    <w:p w14:paraId="37103324" w14:textId="77777777" w:rsidR="003A35E8" w:rsidRPr="003A35E8" w:rsidRDefault="003A35E8" w:rsidP="003A35E8">
      <w:pPr>
        <w:spacing w:line="276" w:lineRule="auto"/>
        <w:ind w:right="531"/>
        <w:rPr>
          <w:rFonts w:ascii="Arial" w:hAnsi="Arial" w:cs="Arial"/>
        </w:rPr>
      </w:pPr>
      <w:r w:rsidRPr="003A35E8">
        <w:rPr>
          <w:rFonts w:ascii="Arial" w:hAnsi="Arial" w:cs="Arial"/>
        </w:rPr>
        <w:t>Paulus et al. (2022) agrees and states “Being self-aware about one's own biases is an important first step in debiasing”, by being completely aware of their own biases it would allow them to truly understand what affects their judgement. By encouraging investigators to critically reflect on their own biases it does allow ongoing learning. Supervision and peer-review within investigations can also help reduce the impact of individual attitudes on case outcomes which can avoid any dominance of the investigator’s personal perspective.</w:t>
      </w:r>
    </w:p>
    <w:p w14:paraId="0386AF38" w14:textId="30CCD3FD" w:rsidR="003A35E8" w:rsidRPr="003A35E8" w:rsidRDefault="003A35E8" w:rsidP="003A35E8">
      <w:pPr>
        <w:spacing w:line="276" w:lineRule="auto"/>
        <w:ind w:right="531"/>
        <w:rPr>
          <w:rFonts w:ascii="Arial" w:hAnsi="Arial" w:cs="Arial"/>
        </w:rPr>
      </w:pPr>
      <w:r w:rsidRPr="003A35E8">
        <w:rPr>
          <w:rFonts w:ascii="Arial" w:hAnsi="Arial" w:cs="Arial"/>
        </w:rPr>
        <w:t xml:space="preserve">This essay has demonstrated that personal attitudes and biases have a </w:t>
      </w:r>
      <w:r w:rsidR="00082716" w:rsidRPr="003A35E8">
        <w:rPr>
          <w:rFonts w:ascii="Arial" w:hAnsi="Arial" w:cs="Arial"/>
        </w:rPr>
        <w:t>substantial</w:t>
      </w:r>
      <w:r w:rsidRPr="003A35E8">
        <w:rPr>
          <w:rFonts w:ascii="Arial" w:hAnsi="Arial" w:cs="Arial"/>
        </w:rPr>
        <w:t xml:space="preserve"> impact on the investigation</w:t>
      </w:r>
      <w:r w:rsidR="00082716">
        <w:rPr>
          <w:rFonts w:ascii="Arial" w:hAnsi="Arial" w:cs="Arial"/>
        </w:rPr>
        <w:t xml:space="preserve"> when it comes to</w:t>
      </w:r>
      <w:r w:rsidRPr="003A35E8">
        <w:rPr>
          <w:rFonts w:ascii="Arial" w:hAnsi="Arial" w:cs="Arial"/>
        </w:rPr>
        <w:t xml:space="preserve"> volume crime. From initial suspect identification to forensic analysis and interviews, these internal influences can distort objective judgement, leading to unfair outcomes and miscarriages of justice. </w:t>
      </w:r>
      <w:r w:rsidRPr="003A35E8">
        <w:rPr>
          <w:rFonts w:ascii="Arial" w:hAnsi="Arial" w:cs="Arial"/>
        </w:rPr>
        <w:lastRenderedPageBreak/>
        <w:t>Acknowledging the presence of bias is not a sign of weakness, but rather a necessary step toward strengthening the fairness and accuracy of the investigative process. Continued research and training can ensure the police force are reducing the impact of bias and upholding professional standards throughout all investigation whilst officers navigate through everyday crime.</w:t>
      </w:r>
    </w:p>
    <w:p w14:paraId="60FCACB1" w14:textId="7089597F" w:rsidR="003A35E8" w:rsidRPr="003A35E8" w:rsidRDefault="003A35E8" w:rsidP="003A35E8">
      <w:pPr>
        <w:spacing w:line="276" w:lineRule="auto"/>
        <w:ind w:right="531"/>
        <w:rPr>
          <w:rFonts w:ascii="Arial" w:hAnsi="Arial" w:cs="Arial"/>
        </w:rPr>
      </w:pPr>
      <w:r w:rsidRPr="003A35E8">
        <w:rPr>
          <w:rFonts w:ascii="Arial" w:hAnsi="Arial" w:cs="Arial"/>
        </w:rPr>
        <w:t>Words:10</w:t>
      </w:r>
      <w:r w:rsidR="00082716">
        <w:rPr>
          <w:rFonts w:ascii="Arial" w:hAnsi="Arial" w:cs="Arial"/>
        </w:rPr>
        <w:t>60</w:t>
      </w:r>
    </w:p>
    <w:p w14:paraId="782130B5" w14:textId="5879E8BA" w:rsidR="003A35E8" w:rsidRPr="003A35E8" w:rsidRDefault="003A35E8" w:rsidP="003A35E8">
      <w:pPr>
        <w:spacing w:line="276" w:lineRule="auto"/>
        <w:ind w:right="531"/>
        <w:rPr>
          <w:rFonts w:ascii="Arial" w:hAnsi="Arial" w:cs="Arial"/>
        </w:rPr>
      </w:pPr>
    </w:p>
    <w:p w14:paraId="18596EA4" w14:textId="77777777" w:rsidR="003A35E8" w:rsidRDefault="003A35E8" w:rsidP="003A35E8">
      <w:pPr>
        <w:spacing w:line="276" w:lineRule="auto"/>
        <w:ind w:right="531"/>
        <w:rPr>
          <w:rFonts w:ascii="Arial" w:hAnsi="Arial" w:cs="Arial"/>
        </w:rPr>
      </w:pPr>
    </w:p>
    <w:p w14:paraId="52035B0A" w14:textId="77777777" w:rsidR="003A35E8" w:rsidRDefault="003A35E8" w:rsidP="003A35E8">
      <w:pPr>
        <w:spacing w:line="276" w:lineRule="auto"/>
        <w:ind w:right="531"/>
        <w:rPr>
          <w:rFonts w:ascii="Arial" w:hAnsi="Arial" w:cs="Arial"/>
        </w:rPr>
      </w:pPr>
    </w:p>
    <w:p w14:paraId="530F4AA1" w14:textId="77777777" w:rsidR="003A35E8" w:rsidRDefault="003A35E8" w:rsidP="003A35E8">
      <w:pPr>
        <w:spacing w:line="276" w:lineRule="auto"/>
        <w:ind w:right="531"/>
        <w:rPr>
          <w:rFonts w:ascii="Arial" w:hAnsi="Arial" w:cs="Arial"/>
        </w:rPr>
      </w:pPr>
    </w:p>
    <w:p w14:paraId="2DDC7672" w14:textId="77777777" w:rsidR="003A35E8" w:rsidRDefault="003A35E8" w:rsidP="003A35E8">
      <w:pPr>
        <w:spacing w:line="276" w:lineRule="auto"/>
        <w:ind w:right="531"/>
        <w:rPr>
          <w:rFonts w:ascii="Arial" w:hAnsi="Arial" w:cs="Arial"/>
        </w:rPr>
      </w:pPr>
    </w:p>
    <w:p w14:paraId="318537E1" w14:textId="77777777" w:rsidR="003A35E8" w:rsidRDefault="003A35E8" w:rsidP="003A35E8">
      <w:pPr>
        <w:spacing w:line="276" w:lineRule="auto"/>
        <w:ind w:right="531"/>
        <w:rPr>
          <w:rFonts w:ascii="Arial" w:hAnsi="Arial" w:cs="Arial"/>
        </w:rPr>
      </w:pPr>
    </w:p>
    <w:p w14:paraId="26097AFF" w14:textId="77777777" w:rsidR="003A35E8" w:rsidRDefault="003A35E8" w:rsidP="003A35E8">
      <w:pPr>
        <w:spacing w:line="276" w:lineRule="auto"/>
        <w:ind w:right="531"/>
        <w:rPr>
          <w:rFonts w:ascii="Arial" w:hAnsi="Arial" w:cs="Arial"/>
        </w:rPr>
      </w:pPr>
    </w:p>
    <w:p w14:paraId="6EF42903" w14:textId="77777777" w:rsidR="003A35E8" w:rsidRDefault="003A35E8" w:rsidP="003A35E8">
      <w:pPr>
        <w:spacing w:line="276" w:lineRule="auto"/>
        <w:ind w:right="531"/>
        <w:rPr>
          <w:rFonts w:ascii="Arial" w:hAnsi="Arial" w:cs="Arial"/>
        </w:rPr>
      </w:pPr>
    </w:p>
    <w:p w14:paraId="653404EC" w14:textId="77777777" w:rsidR="003A35E8" w:rsidRDefault="003A35E8" w:rsidP="003A35E8">
      <w:pPr>
        <w:spacing w:line="276" w:lineRule="auto"/>
        <w:ind w:right="531"/>
        <w:rPr>
          <w:rFonts w:ascii="Arial" w:hAnsi="Arial" w:cs="Arial"/>
        </w:rPr>
      </w:pPr>
    </w:p>
    <w:p w14:paraId="7F33FA32" w14:textId="77777777" w:rsidR="003A35E8" w:rsidRDefault="003A35E8" w:rsidP="003A35E8">
      <w:pPr>
        <w:spacing w:line="276" w:lineRule="auto"/>
        <w:ind w:right="531"/>
        <w:rPr>
          <w:rFonts w:ascii="Arial" w:hAnsi="Arial" w:cs="Arial"/>
        </w:rPr>
      </w:pPr>
    </w:p>
    <w:p w14:paraId="42A1CC4F" w14:textId="77777777" w:rsidR="003A35E8" w:rsidRDefault="003A35E8" w:rsidP="003A35E8">
      <w:pPr>
        <w:spacing w:line="276" w:lineRule="auto"/>
        <w:ind w:right="531"/>
        <w:rPr>
          <w:rFonts w:ascii="Arial" w:hAnsi="Arial" w:cs="Arial"/>
        </w:rPr>
      </w:pPr>
    </w:p>
    <w:p w14:paraId="18541F7C" w14:textId="77777777" w:rsidR="003A35E8" w:rsidRDefault="003A35E8" w:rsidP="003A35E8">
      <w:pPr>
        <w:spacing w:line="276" w:lineRule="auto"/>
        <w:ind w:right="531"/>
        <w:rPr>
          <w:rFonts w:ascii="Arial" w:hAnsi="Arial" w:cs="Arial"/>
        </w:rPr>
      </w:pPr>
    </w:p>
    <w:p w14:paraId="72C6A6B3" w14:textId="77777777" w:rsidR="003A35E8" w:rsidRDefault="003A35E8" w:rsidP="003A35E8">
      <w:pPr>
        <w:spacing w:line="276" w:lineRule="auto"/>
        <w:ind w:right="531"/>
        <w:rPr>
          <w:rFonts w:ascii="Arial" w:hAnsi="Arial" w:cs="Arial"/>
        </w:rPr>
      </w:pPr>
    </w:p>
    <w:p w14:paraId="7FB3C537" w14:textId="77777777" w:rsidR="003A35E8" w:rsidRDefault="003A35E8" w:rsidP="003A35E8">
      <w:pPr>
        <w:spacing w:line="276" w:lineRule="auto"/>
        <w:ind w:right="531"/>
        <w:rPr>
          <w:rFonts w:ascii="Arial" w:hAnsi="Arial" w:cs="Arial"/>
        </w:rPr>
      </w:pPr>
    </w:p>
    <w:p w14:paraId="104E3322" w14:textId="77777777" w:rsidR="003A35E8" w:rsidRDefault="003A35E8" w:rsidP="003A35E8">
      <w:pPr>
        <w:spacing w:line="276" w:lineRule="auto"/>
        <w:ind w:right="531"/>
        <w:rPr>
          <w:rFonts w:ascii="Arial" w:hAnsi="Arial" w:cs="Arial"/>
        </w:rPr>
      </w:pPr>
    </w:p>
    <w:p w14:paraId="2B08FE3B" w14:textId="77777777" w:rsidR="003A35E8" w:rsidRDefault="003A35E8" w:rsidP="003A35E8">
      <w:pPr>
        <w:spacing w:line="276" w:lineRule="auto"/>
        <w:ind w:right="531"/>
        <w:rPr>
          <w:rFonts w:ascii="Arial" w:hAnsi="Arial" w:cs="Arial"/>
        </w:rPr>
      </w:pPr>
    </w:p>
    <w:p w14:paraId="19866D99" w14:textId="77777777" w:rsidR="003A35E8" w:rsidRDefault="003A35E8" w:rsidP="003A35E8">
      <w:pPr>
        <w:spacing w:line="276" w:lineRule="auto"/>
        <w:ind w:right="531"/>
        <w:rPr>
          <w:rFonts w:ascii="Arial" w:hAnsi="Arial" w:cs="Arial"/>
        </w:rPr>
      </w:pPr>
    </w:p>
    <w:p w14:paraId="5C474A7E" w14:textId="77777777" w:rsidR="003A35E8" w:rsidRDefault="003A35E8" w:rsidP="003A35E8">
      <w:pPr>
        <w:spacing w:line="276" w:lineRule="auto"/>
        <w:ind w:right="531"/>
        <w:rPr>
          <w:rFonts w:ascii="Arial" w:hAnsi="Arial" w:cs="Arial"/>
        </w:rPr>
      </w:pPr>
    </w:p>
    <w:p w14:paraId="77AC3A55" w14:textId="77777777" w:rsidR="003A35E8" w:rsidRDefault="003A35E8" w:rsidP="003A35E8">
      <w:pPr>
        <w:spacing w:line="276" w:lineRule="auto"/>
        <w:ind w:right="531"/>
        <w:rPr>
          <w:rFonts w:ascii="Arial" w:hAnsi="Arial" w:cs="Arial"/>
        </w:rPr>
      </w:pPr>
    </w:p>
    <w:p w14:paraId="27BCD360" w14:textId="77777777" w:rsidR="003A35E8" w:rsidRDefault="003A35E8" w:rsidP="003A35E8">
      <w:pPr>
        <w:spacing w:line="276" w:lineRule="auto"/>
        <w:ind w:right="531"/>
        <w:rPr>
          <w:rFonts w:ascii="Arial" w:hAnsi="Arial" w:cs="Arial"/>
        </w:rPr>
      </w:pPr>
    </w:p>
    <w:p w14:paraId="05A1E4CE" w14:textId="77777777" w:rsidR="003A35E8" w:rsidRDefault="003A35E8" w:rsidP="003A35E8">
      <w:pPr>
        <w:spacing w:line="276" w:lineRule="auto"/>
        <w:ind w:right="531"/>
        <w:rPr>
          <w:rFonts w:ascii="Arial" w:hAnsi="Arial" w:cs="Arial"/>
        </w:rPr>
      </w:pPr>
    </w:p>
    <w:p w14:paraId="7EF4BDA3" w14:textId="77777777" w:rsidR="003A35E8" w:rsidRDefault="003A35E8" w:rsidP="003A35E8">
      <w:pPr>
        <w:spacing w:line="276" w:lineRule="auto"/>
        <w:ind w:right="531"/>
        <w:rPr>
          <w:rFonts w:ascii="Arial" w:hAnsi="Arial" w:cs="Arial"/>
        </w:rPr>
      </w:pPr>
    </w:p>
    <w:p w14:paraId="651689E4" w14:textId="77777777" w:rsidR="003A35E8" w:rsidRDefault="003A35E8" w:rsidP="003A35E8">
      <w:pPr>
        <w:spacing w:line="276" w:lineRule="auto"/>
        <w:ind w:right="531"/>
        <w:rPr>
          <w:rFonts w:ascii="Arial" w:hAnsi="Arial" w:cs="Arial"/>
        </w:rPr>
      </w:pPr>
    </w:p>
    <w:p w14:paraId="32556C81" w14:textId="77777777" w:rsidR="003A35E8" w:rsidRDefault="003A35E8" w:rsidP="003A35E8">
      <w:pPr>
        <w:spacing w:line="276" w:lineRule="auto"/>
        <w:ind w:right="531"/>
        <w:rPr>
          <w:rFonts w:ascii="Arial" w:hAnsi="Arial" w:cs="Arial"/>
        </w:rPr>
      </w:pPr>
    </w:p>
    <w:p w14:paraId="7CADB2B7" w14:textId="77777777" w:rsidR="003A35E8" w:rsidRDefault="003A35E8" w:rsidP="003A35E8">
      <w:pPr>
        <w:spacing w:line="276" w:lineRule="auto"/>
        <w:ind w:right="531"/>
        <w:rPr>
          <w:rFonts w:ascii="Arial" w:hAnsi="Arial" w:cs="Arial"/>
        </w:rPr>
      </w:pPr>
    </w:p>
    <w:p w14:paraId="68865F49" w14:textId="77777777" w:rsidR="003A35E8" w:rsidRPr="003A35E8" w:rsidRDefault="003A35E8" w:rsidP="003A35E8">
      <w:pPr>
        <w:spacing w:line="276" w:lineRule="auto"/>
        <w:ind w:right="531"/>
        <w:rPr>
          <w:rFonts w:ascii="Arial" w:hAnsi="Arial" w:cs="Arial"/>
        </w:rPr>
      </w:pPr>
    </w:p>
    <w:p w14:paraId="10AF523D" w14:textId="1BFB7237" w:rsidR="003A35E8" w:rsidRPr="003A35E8" w:rsidRDefault="003A35E8" w:rsidP="003A35E8">
      <w:pPr>
        <w:spacing w:line="276" w:lineRule="auto"/>
        <w:ind w:right="531"/>
        <w:rPr>
          <w:rFonts w:ascii="Arial" w:hAnsi="Arial" w:cs="Arial"/>
          <w:b/>
          <w:bCs/>
        </w:rPr>
      </w:pPr>
      <w:r w:rsidRPr="003A35E8">
        <w:rPr>
          <w:rFonts w:ascii="Arial" w:hAnsi="Arial" w:cs="Arial"/>
          <w:b/>
          <w:bCs/>
        </w:rPr>
        <w:lastRenderedPageBreak/>
        <w:t xml:space="preserve">Essay four: </w:t>
      </w:r>
    </w:p>
    <w:p w14:paraId="30F2A742" w14:textId="77777777" w:rsidR="003A35E8" w:rsidRPr="003A35E8" w:rsidRDefault="003A35E8" w:rsidP="003A35E8">
      <w:pPr>
        <w:spacing w:line="276" w:lineRule="auto"/>
        <w:ind w:right="531"/>
        <w:rPr>
          <w:rFonts w:ascii="Arial" w:eastAsia="Calibri" w:hAnsi="Arial" w:cs="Arial"/>
          <w:b/>
          <w:bCs/>
        </w:rPr>
      </w:pPr>
      <w:r w:rsidRPr="003A35E8">
        <w:rPr>
          <w:rFonts w:ascii="Arial" w:eastAsia="Calibri" w:hAnsi="Arial" w:cs="Arial"/>
          <w:b/>
          <w:bCs/>
        </w:rPr>
        <w:t>Outline potential links between serious and organised crime and public protection issues. What characteristics make some people more vulnerable to exploitation by serious and organised crime gangs?</w:t>
      </w:r>
    </w:p>
    <w:p w14:paraId="0B53C259" w14:textId="77777777" w:rsidR="003A35E8" w:rsidRPr="003A35E8" w:rsidRDefault="003A35E8" w:rsidP="003A35E8">
      <w:pPr>
        <w:spacing w:line="276" w:lineRule="auto"/>
        <w:ind w:right="531"/>
        <w:rPr>
          <w:rFonts w:ascii="Arial" w:hAnsi="Arial" w:cs="Arial"/>
        </w:rPr>
      </w:pPr>
      <w:r w:rsidRPr="003A35E8">
        <w:rPr>
          <w:rFonts w:ascii="Arial" w:hAnsi="Arial" w:cs="Arial"/>
        </w:rPr>
        <w:t>Public protection is taken very seriously by government bodies, more so when it comes to Serious and Organised crime (SOC) due to the serious impact it can have on communities. This can mean children and vulnerable adults are coerced into criminal activity which has been planned, ultimately leading to them being exploited for financial gain which can directly impact small communities, this is ultimately what SOC is (National Crime Agency, 2025). The link between SOC and public protection comes from the rising concerns through its exploitation of vulnerable individuals. This essay outlines the links between SOC and public protection issues and explores what characteristics make certain individuals more susceptible to exploitation.</w:t>
      </w:r>
    </w:p>
    <w:p w14:paraId="275381F0" w14:textId="77777777" w:rsidR="003A35E8" w:rsidRPr="003A35E8" w:rsidRDefault="003A35E8" w:rsidP="003A35E8">
      <w:pPr>
        <w:spacing w:line="276" w:lineRule="auto"/>
        <w:ind w:right="531"/>
        <w:rPr>
          <w:rFonts w:ascii="Arial" w:hAnsi="Arial" w:cs="Arial"/>
        </w:rPr>
      </w:pPr>
      <w:r w:rsidRPr="003A35E8">
        <w:rPr>
          <w:rFonts w:ascii="Arial" w:hAnsi="Arial" w:cs="Arial"/>
        </w:rPr>
        <w:t>One of the key links between SOC and public protection is how organised crime groups (OCGs) exploit existing gaps in the safeguarding framework. The Home Office (2018) notes that criminals increasingly target young people, migrants, and those with mental health needs, these people will already be known to services such as the police, social service or mental health groups. This can be difficult to navigate from a criminal justice perspective and a safeguarding response as some individuals can be identified as being a perpetrator as well as a victim of exploitation. An example would be, in county lines drug trafficking, children are recruited under coercion to transport and sell drugs. Though they may commit crimes, their involvement is often the result of grooming (Turner et al,. 2019). This can make policing difficult as children can be criminalised putting them further at risk of exploitation.</w:t>
      </w:r>
    </w:p>
    <w:p w14:paraId="49AC911B" w14:textId="112E23EB" w:rsidR="003A35E8" w:rsidRPr="003A35E8" w:rsidRDefault="003A35E8" w:rsidP="003A35E8">
      <w:pPr>
        <w:spacing w:line="276" w:lineRule="auto"/>
        <w:ind w:right="531"/>
        <w:rPr>
          <w:rFonts w:ascii="Arial" w:hAnsi="Arial" w:cs="Arial"/>
        </w:rPr>
      </w:pPr>
      <w:r w:rsidRPr="003A35E8">
        <w:rPr>
          <w:rFonts w:ascii="Arial" w:hAnsi="Arial" w:cs="Arial"/>
        </w:rPr>
        <w:t xml:space="preserve">When attempting to understand why certain vulnerable people are chosen, </w:t>
      </w:r>
      <w:r w:rsidR="00D35509" w:rsidRPr="003A35E8">
        <w:rPr>
          <w:rFonts w:ascii="Arial" w:hAnsi="Arial" w:cs="Arial"/>
        </w:rPr>
        <w:t>it’s</w:t>
      </w:r>
      <w:r w:rsidRPr="003A35E8">
        <w:rPr>
          <w:rFonts w:ascii="Arial" w:hAnsi="Arial" w:cs="Arial"/>
        </w:rPr>
        <w:t xml:space="preserve"> important to look at theories such as Routine Activity Theory which help explain how certain individuals become targets </w:t>
      </w:r>
      <w:r w:rsidR="00082716">
        <w:rPr>
          <w:rFonts w:ascii="Arial" w:hAnsi="Arial" w:cs="Arial"/>
        </w:rPr>
        <w:t xml:space="preserve">due to them not having </w:t>
      </w:r>
      <w:r w:rsidRPr="003A35E8">
        <w:rPr>
          <w:rFonts w:ascii="Arial" w:hAnsi="Arial" w:cs="Arial"/>
        </w:rPr>
        <w:t>a sustainable home and capable parents (Cohen &amp; Felson, 1979). This can also be applied to safeguarding within services when suitable interventions may not have applied due to the lack of resources. Another theory with a similar opinion is Social Disorganisation Theory explored by Shaw &amp; Mckay (1942) this theory suggests that communities that are economically deprived can become ideal ground for SOC as the people who tend to live there may require additional funds to support their lifestyle and they tend to have a lack of social control to resist being involved in criminal activity (Harris, 1944). If safeguarding systems are lacking in resources, then this leaves a gap for OCGs to enter these communities more easily.</w:t>
      </w:r>
    </w:p>
    <w:p w14:paraId="7C478622" w14:textId="02D33067" w:rsidR="003A35E8" w:rsidRPr="003A35E8" w:rsidRDefault="003A35E8" w:rsidP="003A35E8">
      <w:pPr>
        <w:spacing w:line="276" w:lineRule="auto"/>
        <w:ind w:right="531"/>
        <w:rPr>
          <w:rFonts w:ascii="Arial" w:hAnsi="Arial" w:cs="Arial"/>
        </w:rPr>
      </w:pPr>
      <w:r w:rsidRPr="003A35E8">
        <w:rPr>
          <w:rFonts w:ascii="Arial" w:hAnsi="Arial" w:cs="Arial"/>
        </w:rPr>
        <w:t>Modern slavery and human trafficking are one of the clearest examples of how SOC intersects with public protection. Victims are often hidden in plain sight, Stevenson (2021</w:t>
      </w:r>
      <w:r w:rsidR="005E3FF7" w:rsidRPr="003A35E8">
        <w:rPr>
          <w:rFonts w:ascii="Arial" w:hAnsi="Arial" w:cs="Arial"/>
        </w:rPr>
        <w:t>) explain</w:t>
      </w:r>
      <w:r w:rsidRPr="003A35E8">
        <w:rPr>
          <w:rFonts w:ascii="Arial" w:hAnsi="Arial" w:cs="Arial"/>
        </w:rPr>
        <w:t xml:space="preserve"> that victims will often be deceived and coerced to work into either physical labour such as working in a car wash or nail bar or they could be made to work for sexual purposes for domestic enslavement most. Victims will not identify themselves usually due to the fear of deportation from immigration, the fact of it is they may not be able to say due to the language barrier and the understanding of their rights or they may fear of repercussions (Machura et al., 2018).This is when highly </w:t>
      </w:r>
      <w:r w:rsidRPr="003A35E8">
        <w:rPr>
          <w:rFonts w:ascii="Arial" w:hAnsi="Arial" w:cs="Arial"/>
        </w:rPr>
        <w:lastRenderedPageBreak/>
        <w:t>trained professionals are relied upon to identify the signs of exploitation and act accordingly to ensure effective public protection. </w:t>
      </w:r>
    </w:p>
    <w:p w14:paraId="5EF1B193" w14:textId="77777777" w:rsidR="003A35E8" w:rsidRPr="003A35E8" w:rsidRDefault="003A35E8" w:rsidP="003A35E8">
      <w:pPr>
        <w:spacing w:line="276" w:lineRule="auto"/>
        <w:ind w:right="531"/>
        <w:rPr>
          <w:rFonts w:ascii="Arial" w:hAnsi="Arial" w:cs="Arial"/>
        </w:rPr>
      </w:pPr>
      <w:r w:rsidRPr="003A35E8">
        <w:rPr>
          <w:rFonts w:ascii="Arial" w:hAnsi="Arial" w:cs="Arial"/>
        </w:rPr>
        <w:t xml:space="preserve">One key vulnerability factor highlighted is poverty and socioeconomic exclusion. Merton’s (1938) Strain Theory theorises that individuals who are blocked from achieving goals through legitimate means may resort to illegitimate ones (TCullen and Wilcox, 2010). Young people from </w:t>
      </w:r>
      <w:proofErr w:type="gramStart"/>
      <w:r w:rsidRPr="003A35E8">
        <w:rPr>
          <w:rFonts w:ascii="Arial" w:hAnsi="Arial" w:cs="Arial"/>
        </w:rPr>
        <w:t>economically deprived</w:t>
      </w:r>
      <w:proofErr w:type="gramEnd"/>
      <w:r w:rsidRPr="003A35E8">
        <w:rPr>
          <w:rFonts w:ascii="Arial" w:hAnsi="Arial" w:cs="Arial"/>
        </w:rPr>
        <w:t xml:space="preserve"> backgrounds with limited opportunities may view gang involvement as the only viable path to income and respect, especially when they see crime as normalised within their environment (Windle &amp; Briggs, 2015). OCG’s and gangs will use this to their advantage, knowing they’re socially deprived allows them to be easily exploited.</w:t>
      </w:r>
    </w:p>
    <w:p w14:paraId="79362B8A" w14:textId="77777777" w:rsidR="003A35E8" w:rsidRPr="003A35E8" w:rsidRDefault="003A35E8" w:rsidP="003A35E8">
      <w:pPr>
        <w:spacing w:line="276" w:lineRule="auto"/>
        <w:ind w:right="531"/>
        <w:rPr>
          <w:rFonts w:ascii="Arial" w:hAnsi="Arial" w:cs="Arial"/>
        </w:rPr>
      </w:pPr>
      <w:r w:rsidRPr="003A35E8">
        <w:rPr>
          <w:rFonts w:ascii="Arial" w:hAnsi="Arial" w:cs="Arial"/>
        </w:rPr>
        <w:t xml:space="preserve">Touched upon briefly was the ongoing issue with “county lines” which is one of the most prominent public protection issues associated with SOC in the UK. In the UK urban gangs extend their operations into rural or coastal areas, often using vulnerable adults and young people as couriers. The Children’s Society (2019) highlights that children as young as 11 are being exploited to transport drugs, often under the threat of violence or manipulation (TCullen and Wilcox, 2010). From another angle drug users are among the second target for this model, its known that people with drug addiction may be exploited to transport drugs, exchange services, or act as the fall guy this is due to them being heavily reliant on substances and the support around them is usually lacking which makes them an easy target to exploit (Harding, 2020).Children and vulnerable adults will always exist which make confronting this area difficult as it’s not something we can simply eradicate. </w:t>
      </w:r>
    </w:p>
    <w:p w14:paraId="2E3156DA" w14:textId="0DD19D5A" w:rsidR="003A35E8" w:rsidRPr="003A35E8" w:rsidRDefault="003A35E8" w:rsidP="003A35E8">
      <w:pPr>
        <w:spacing w:line="276" w:lineRule="auto"/>
        <w:ind w:right="531"/>
        <w:rPr>
          <w:rFonts w:ascii="Arial" w:hAnsi="Arial" w:cs="Arial"/>
        </w:rPr>
      </w:pPr>
      <w:proofErr w:type="spellStart"/>
      <w:r w:rsidRPr="003A35E8">
        <w:rPr>
          <w:rFonts w:ascii="Arial" w:hAnsi="Arial" w:cs="Arial"/>
        </w:rPr>
        <w:t>Its</w:t>
      </w:r>
      <w:proofErr w:type="spellEnd"/>
      <w:r w:rsidRPr="003A35E8">
        <w:rPr>
          <w:rFonts w:ascii="Arial" w:hAnsi="Arial" w:cs="Arial"/>
        </w:rPr>
        <w:t xml:space="preserve"> clear that social isolation and lack of stable relationships make these individuals a target. Many exploited youths report feeling </w:t>
      </w:r>
      <w:r w:rsidR="005E3FF7" w:rsidRPr="003A35E8">
        <w:rPr>
          <w:rFonts w:ascii="Arial" w:hAnsi="Arial" w:cs="Arial"/>
        </w:rPr>
        <w:t>invisible and</w:t>
      </w:r>
      <w:r w:rsidRPr="003A35E8">
        <w:rPr>
          <w:rFonts w:ascii="Arial" w:hAnsi="Arial" w:cs="Arial"/>
        </w:rPr>
        <w:t xml:space="preserve"> come from unsupported homes and usually unwanted by traditional systems such as schools and it shows in the performance and attendance of the children and a lot of the time these children are known to services and the police already (McEwan, 2018). These circumstances are what make them attractive targets for grooming. Gangs manipulate these emotional voids by offering that sense of belonging and rewards alongside in exchange for loyalty (TCullen and Wilcox, 2010). This type of emotional manipulation is one of the most sinister aspects of exploitation as the perpetrator psychologically grooms the victim so the reality, they once knew is now distorted which makes it extremely difficult to leave and making public protection that much more difficult to police.</w:t>
      </w:r>
    </w:p>
    <w:p w14:paraId="35DDBDA4" w14:textId="77777777" w:rsidR="003A35E8" w:rsidRPr="003A35E8" w:rsidRDefault="003A35E8" w:rsidP="003A35E8">
      <w:pPr>
        <w:spacing w:line="276" w:lineRule="auto"/>
        <w:ind w:right="531"/>
        <w:rPr>
          <w:rFonts w:ascii="Arial" w:hAnsi="Arial" w:cs="Arial"/>
        </w:rPr>
      </w:pPr>
      <w:r w:rsidRPr="003A35E8">
        <w:rPr>
          <w:rFonts w:ascii="Arial" w:hAnsi="Arial" w:cs="Arial"/>
        </w:rPr>
        <w:t>The line between victim and offender is often blurred in SOC, especially when vulnerable individuals are coerced into criminality. For instance, young people exploited in county lines operations may be arrested for drug offences despite acting under duress (TCullen and Wilcox, 2010). This raises ethical and legal dilemmas about criminal responsibility and victimhood. For public protection to be strengthened against SOC, it requires multi-agency collaborations to coordinate responses to safeguarding concerns.</w:t>
      </w:r>
    </w:p>
    <w:p w14:paraId="16C10B41" w14:textId="77777777" w:rsidR="003A35E8" w:rsidRPr="003A35E8" w:rsidRDefault="003A35E8" w:rsidP="003A35E8">
      <w:pPr>
        <w:spacing w:line="276" w:lineRule="auto"/>
        <w:ind w:right="531"/>
        <w:rPr>
          <w:rFonts w:ascii="Arial" w:hAnsi="Arial" w:cs="Arial"/>
        </w:rPr>
      </w:pPr>
      <w:r w:rsidRPr="003A35E8">
        <w:rPr>
          <w:rFonts w:ascii="Arial" w:hAnsi="Arial" w:cs="Arial"/>
        </w:rPr>
        <w:t xml:space="preserve">Serious and organised crime represents a dynamic and pervasive threat that directly impacts public protection. SOC groups thrive on exploiting the most vulnerable in society and my interpretation of the material available is what makes someone vulnerable is based on circumstance, if the person has been exposed to systemic inequalities, and emotional deprivation this can ultimately lead that person down the </w:t>
      </w:r>
      <w:r w:rsidRPr="003A35E8">
        <w:rPr>
          <w:rFonts w:ascii="Arial" w:hAnsi="Arial" w:cs="Arial"/>
        </w:rPr>
        <w:lastRenderedPageBreak/>
        <w:t>wrong path which OCG’s are aware of. Recognising this is essential if we are to develop holistic public protection responses that don’t blame victims but instead work to prevent their exploitation altogether. </w:t>
      </w:r>
    </w:p>
    <w:p w14:paraId="06D98BD1" w14:textId="27AF6D86" w:rsidR="003A35E8" w:rsidRPr="003A35E8" w:rsidRDefault="003A35E8" w:rsidP="003A35E8">
      <w:pPr>
        <w:spacing w:line="276" w:lineRule="auto"/>
        <w:ind w:right="531"/>
        <w:rPr>
          <w:rFonts w:ascii="Arial" w:hAnsi="Arial" w:cs="Arial"/>
        </w:rPr>
      </w:pPr>
      <w:r w:rsidRPr="003A35E8">
        <w:rPr>
          <w:rFonts w:ascii="Arial" w:hAnsi="Arial" w:cs="Arial"/>
        </w:rPr>
        <w:t>Words: 1</w:t>
      </w:r>
      <w:r w:rsidR="00082716">
        <w:rPr>
          <w:rFonts w:ascii="Arial" w:hAnsi="Arial" w:cs="Arial"/>
        </w:rPr>
        <w:t>098</w:t>
      </w:r>
    </w:p>
    <w:p w14:paraId="7471F285" w14:textId="77777777" w:rsidR="003A35E8" w:rsidRPr="003A35E8" w:rsidRDefault="003A35E8" w:rsidP="003A35E8">
      <w:pPr>
        <w:spacing w:line="276" w:lineRule="auto"/>
        <w:ind w:right="531"/>
        <w:rPr>
          <w:rFonts w:ascii="Arial" w:hAnsi="Arial" w:cs="Arial"/>
        </w:rPr>
      </w:pPr>
    </w:p>
    <w:p w14:paraId="3837A0BF" w14:textId="77777777" w:rsidR="003A35E8" w:rsidRDefault="003A35E8" w:rsidP="003A35E8">
      <w:pPr>
        <w:spacing w:line="276" w:lineRule="auto"/>
        <w:ind w:right="531"/>
        <w:rPr>
          <w:rFonts w:ascii="Arial" w:hAnsi="Arial" w:cs="Arial"/>
        </w:rPr>
      </w:pPr>
    </w:p>
    <w:p w14:paraId="257D84A2" w14:textId="77777777" w:rsidR="003A35E8" w:rsidRDefault="003A35E8" w:rsidP="003A35E8">
      <w:pPr>
        <w:spacing w:line="276" w:lineRule="auto"/>
        <w:ind w:right="531"/>
        <w:rPr>
          <w:rFonts w:ascii="Arial" w:hAnsi="Arial" w:cs="Arial"/>
        </w:rPr>
      </w:pPr>
    </w:p>
    <w:p w14:paraId="0DE398D1" w14:textId="77777777" w:rsidR="003A35E8" w:rsidRDefault="003A35E8" w:rsidP="003A35E8">
      <w:pPr>
        <w:spacing w:line="276" w:lineRule="auto"/>
        <w:ind w:right="531"/>
        <w:rPr>
          <w:rFonts w:ascii="Arial" w:hAnsi="Arial" w:cs="Arial"/>
        </w:rPr>
      </w:pPr>
    </w:p>
    <w:p w14:paraId="596F0DD7" w14:textId="77777777" w:rsidR="003A35E8" w:rsidRDefault="003A35E8" w:rsidP="003A35E8">
      <w:pPr>
        <w:spacing w:line="276" w:lineRule="auto"/>
        <w:ind w:right="531"/>
        <w:rPr>
          <w:rFonts w:ascii="Arial" w:hAnsi="Arial" w:cs="Arial"/>
        </w:rPr>
      </w:pPr>
    </w:p>
    <w:p w14:paraId="137BB09B" w14:textId="77777777" w:rsidR="003A35E8" w:rsidRDefault="003A35E8" w:rsidP="003A35E8">
      <w:pPr>
        <w:spacing w:line="276" w:lineRule="auto"/>
        <w:ind w:right="531"/>
        <w:rPr>
          <w:rFonts w:ascii="Arial" w:hAnsi="Arial" w:cs="Arial"/>
        </w:rPr>
      </w:pPr>
    </w:p>
    <w:p w14:paraId="3A872D47" w14:textId="77777777" w:rsidR="003A35E8" w:rsidRDefault="003A35E8" w:rsidP="003A35E8">
      <w:pPr>
        <w:spacing w:line="276" w:lineRule="auto"/>
        <w:ind w:right="531"/>
        <w:rPr>
          <w:rFonts w:ascii="Arial" w:hAnsi="Arial" w:cs="Arial"/>
        </w:rPr>
      </w:pPr>
    </w:p>
    <w:p w14:paraId="40B9ABFE" w14:textId="77777777" w:rsidR="003A35E8" w:rsidRDefault="003A35E8" w:rsidP="003A35E8">
      <w:pPr>
        <w:spacing w:line="276" w:lineRule="auto"/>
        <w:ind w:right="531"/>
        <w:rPr>
          <w:rFonts w:ascii="Arial" w:hAnsi="Arial" w:cs="Arial"/>
        </w:rPr>
      </w:pPr>
    </w:p>
    <w:p w14:paraId="0449FB1C" w14:textId="77777777" w:rsidR="003A35E8" w:rsidRDefault="003A35E8" w:rsidP="003A35E8">
      <w:pPr>
        <w:spacing w:line="276" w:lineRule="auto"/>
        <w:ind w:right="531"/>
        <w:rPr>
          <w:rFonts w:ascii="Arial" w:hAnsi="Arial" w:cs="Arial"/>
        </w:rPr>
      </w:pPr>
    </w:p>
    <w:p w14:paraId="32EE3E83" w14:textId="77777777" w:rsidR="003A35E8" w:rsidRDefault="003A35E8" w:rsidP="003A35E8">
      <w:pPr>
        <w:spacing w:line="276" w:lineRule="auto"/>
        <w:ind w:right="531"/>
        <w:rPr>
          <w:rFonts w:ascii="Arial" w:hAnsi="Arial" w:cs="Arial"/>
        </w:rPr>
      </w:pPr>
    </w:p>
    <w:p w14:paraId="6B73A575" w14:textId="77777777" w:rsidR="003A35E8" w:rsidRDefault="003A35E8" w:rsidP="003A35E8">
      <w:pPr>
        <w:spacing w:line="276" w:lineRule="auto"/>
        <w:ind w:right="531"/>
        <w:rPr>
          <w:rFonts w:ascii="Arial" w:hAnsi="Arial" w:cs="Arial"/>
        </w:rPr>
      </w:pPr>
    </w:p>
    <w:p w14:paraId="554C7AAD" w14:textId="77777777" w:rsidR="003A35E8" w:rsidRDefault="003A35E8" w:rsidP="003A35E8">
      <w:pPr>
        <w:spacing w:line="276" w:lineRule="auto"/>
        <w:ind w:right="531"/>
        <w:rPr>
          <w:rFonts w:ascii="Arial" w:hAnsi="Arial" w:cs="Arial"/>
        </w:rPr>
      </w:pPr>
    </w:p>
    <w:p w14:paraId="2E548E65" w14:textId="77777777" w:rsidR="003A35E8" w:rsidRDefault="003A35E8" w:rsidP="003A35E8">
      <w:pPr>
        <w:spacing w:line="276" w:lineRule="auto"/>
        <w:ind w:right="531"/>
        <w:rPr>
          <w:rFonts w:ascii="Arial" w:hAnsi="Arial" w:cs="Arial"/>
        </w:rPr>
      </w:pPr>
    </w:p>
    <w:p w14:paraId="5AB97F68" w14:textId="77777777" w:rsidR="003A35E8" w:rsidRDefault="003A35E8" w:rsidP="003A35E8">
      <w:pPr>
        <w:spacing w:line="276" w:lineRule="auto"/>
        <w:ind w:right="531"/>
        <w:rPr>
          <w:rFonts w:ascii="Arial" w:hAnsi="Arial" w:cs="Arial"/>
        </w:rPr>
      </w:pPr>
    </w:p>
    <w:p w14:paraId="1BE7B49C" w14:textId="77777777" w:rsidR="003A35E8" w:rsidRDefault="003A35E8" w:rsidP="003A35E8">
      <w:pPr>
        <w:spacing w:line="276" w:lineRule="auto"/>
        <w:ind w:right="531"/>
        <w:rPr>
          <w:rFonts w:ascii="Arial" w:hAnsi="Arial" w:cs="Arial"/>
        </w:rPr>
      </w:pPr>
    </w:p>
    <w:p w14:paraId="1899C899" w14:textId="77777777" w:rsidR="003A35E8" w:rsidRDefault="003A35E8" w:rsidP="003A35E8">
      <w:pPr>
        <w:spacing w:line="276" w:lineRule="auto"/>
        <w:ind w:right="531"/>
        <w:rPr>
          <w:rFonts w:ascii="Arial" w:hAnsi="Arial" w:cs="Arial"/>
        </w:rPr>
      </w:pPr>
    </w:p>
    <w:p w14:paraId="540D01F2" w14:textId="77777777" w:rsidR="003A35E8" w:rsidRDefault="003A35E8" w:rsidP="003A35E8">
      <w:pPr>
        <w:spacing w:line="276" w:lineRule="auto"/>
        <w:ind w:right="531"/>
        <w:rPr>
          <w:rFonts w:ascii="Arial" w:hAnsi="Arial" w:cs="Arial"/>
        </w:rPr>
      </w:pPr>
    </w:p>
    <w:p w14:paraId="1E954087" w14:textId="77777777" w:rsidR="003A35E8" w:rsidRDefault="003A35E8" w:rsidP="003A35E8">
      <w:pPr>
        <w:spacing w:line="276" w:lineRule="auto"/>
        <w:ind w:right="531"/>
        <w:rPr>
          <w:rFonts w:ascii="Arial" w:hAnsi="Arial" w:cs="Arial"/>
        </w:rPr>
      </w:pPr>
    </w:p>
    <w:p w14:paraId="4EA6614C" w14:textId="77777777" w:rsidR="003A35E8" w:rsidRDefault="003A35E8" w:rsidP="003A35E8">
      <w:pPr>
        <w:spacing w:line="276" w:lineRule="auto"/>
        <w:ind w:right="531"/>
        <w:rPr>
          <w:rFonts w:ascii="Arial" w:hAnsi="Arial" w:cs="Arial"/>
        </w:rPr>
      </w:pPr>
    </w:p>
    <w:p w14:paraId="00142CA5" w14:textId="77777777" w:rsidR="003A35E8" w:rsidRDefault="003A35E8" w:rsidP="003A35E8">
      <w:pPr>
        <w:spacing w:line="276" w:lineRule="auto"/>
        <w:ind w:right="531"/>
        <w:rPr>
          <w:rFonts w:ascii="Arial" w:hAnsi="Arial" w:cs="Arial"/>
        </w:rPr>
      </w:pPr>
    </w:p>
    <w:p w14:paraId="4DE5832A" w14:textId="77777777" w:rsidR="003A35E8" w:rsidRDefault="003A35E8" w:rsidP="003A35E8">
      <w:pPr>
        <w:spacing w:line="276" w:lineRule="auto"/>
        <w:ind w:right="531"/>
        <w:rPr>
          <w:rFonts w:ascii="Arial" w:hAnsi="Arial" w:cs="Arial"/>
        </w:rPr>
      </w:pPr>
    </w:p>
    <w:p w14:paraId="2273457A" w14:textId="77777777" w:rsidR="003A35E8" w:rsidRDefault="003A35E8" w:rsidP="003A35E8">
      <w:pPr>
        <w:spacing w:line="276" w:lineRule="auto"/>
        <w:ind w:right="531"/>
        <w:rPr>
          <w:rFonts w:ascii="Arial" w:hAnsi="Arial" w:cs="Arial"/>
        </w:rPr>
      </w:pPr>
    </w:p>
    <w:p w14:paraId="33E69454" w14:textId="77777777" w:rsidR="003A35E8" w:rsidRDefault="003A35E8" w:rsidP="003A35E8">
      <w:pPr>
        <w:spacing w:line="276" w:lineRule="auto"/>
        <w:ind w:right="531"/>
        <w:rPr>
          <w:rFonts w:ascii="Arial" w:hAnsi="Arial" w:cs="Arial"/>
        </w:rPr>
      </w:pPr>
    </w:p>
    <w:p w14:paraId="20AB1FB7" w14:textId="77777777" w:rsidR="003A35E8" w:rsidRDefault="003A35E8" w:rsidP="003A35E8">
      <w:pPr>
        <w:spacing w:line="276" w:lineRule="auto"/>
        <w:ind w:right="531"/>
        <w:rPr>
          <w:rFonts w:ascii="Arial" w:hAnsi="Arial" w:cs="Arial"/>
        </w:rPr>
      </w:pPr>
    </w:p>
    <w:p w14:paraId="0F266E6E" w14:textId="77777777" w:rsidR="003A35E8" w:rsidRDefault="003A35E8" w:rsidP="003A35E8">
      <w:pPr>
        <w:spacing w:line="276" w:lineRule="auto"/>
        <w:ind w:right="531"/>
        <w:rPr>
          <w:rFonts w:ascii="Arial" w:hAnsi="Arial" w:cs="Arial"/>
        </w:rPr>
      </w:pPr>
    </w:p>
    <w:p w14:paraId="2378244E" w14:textId="77777777" w:rsidR="003A35E8" w:rsidRDefault="003A35E8" w:rsidP="003A35E8">
      <w:pPr>
        <w:spacing w:line="276" w:lineRule="auto"/>
        <w:ind w:right="531"/>
        <w:rPr>
          <w:rFonts w:ascii="Arial" w:hAnsi="Arial" w:cs="Arial"/>
        </w:rPr>
      </w:pPr>
    </w:p>
    <w:p w14:paraId="571ACB83" w14:textId="77777777" w:rsidR="003A35E8" w:rsidRDefault="003A35E8" w:rsidP="003A35E8">
      <w:pPr>
        <w:spacing w:line="276" w:lineRule="auto"/>
        <w:ind w:right="531"/>
        <w:rPr>
          <w:rFonts w:ascii="Arial" w:hAnsi="Arial" w:cs="Arial"/>
        </w:rPr>
      </w:pPr>
    </w:p>
    <w:p w14:paraId="69BB1821" w14:textId="77777777" w:rsidR="003A35E8" w:rsidRPr="003A35E8" w:rsidRDefault="003A35E8" w:rsidP="003A35E8">
      <w:pPr>
        <w:spacing w:line="276" w:lineRule="auto"/>
        <w:ind w:right="531"/>
        <w:rPr>
          <w:rFonts w:ascii="Arial" w:hAnsi="Arial" w:cs="Arial"/>
        </w:rPr>
      </w:pPr>
    </w:p>
    <w:p w14:paraId="5271C6C3" w14:textId="77777777" w:rsidR="003A35E8" w:rsidRPr="003A35E8" w:rsidRDefault="003A35E8" w:rsidP="003A35E8">
      <w:pPr>
        <w:spacing w:line="276" w:lineRule="auto"/>
        <w:ind w:right="531"/>
        <w:rPr>
          <w:rFonts w:ascii="Arial" w:hAnsi="Arial" w:cs="Arial"/>
        </w:rPr>
      </w:pPr>
      <w:r w:rsidRPr="003A35E8">
        <w:rPr>
          <w:rFonts w:ascii="Arial" w:eastAsia="Calibri" w:hAnsi="Arial" w:cs="Arial"/>
          <w:b/>
          <w:bCs/>
        </w:rPr>
        <w:lastRenderedPageBreak/>
        <w:t xml:space="preserve">Essay five: </w:t>
      </w:r>
    </w:p>
    <w:p w14:paraId="71E2F6C9" w14:textId="77777777" w:rsidR="003A35E8" w:rsidRPr="003A35E8" w:rsidRDefault="003A35E8" w:rsidP="003A35E8">
      <w:pPr>
        <w:spacing w:line="276" w:lineRule="auto"/>
        <w:ind w:right="531"/>
        <w:rPr>
          <w:rFonts w:ascii="Arial" w:eastAsia="Calibri" w:hAnsi="Arial" w:cs="Arial"/>
          <w:b/>
          <w:bCs/>
        </w:rPr>
      </w:pPr>
      <w:r w:rsidRPr="003A35E8">
        <w:rPr>
          <w:rFonts w:ascii="Arial" w:eastAsia="Calibri" w:hAnsi="Arial" w:cs="Arial"/>
          <w:b/>
          <w:bCs/>
        </w:rPr>
        <w:t>How effective is early intervention an effective means of preventing young people from offending or re-offending?</w:t>
      </w:r>
    </w:p>
    <w:p w14:paraId="43B21FB3" w14:textId="77777777" w:rsidR="003A35E8" w:rsidRPr="003A35E8" w:rsidRDefault="003A35E8" w:rsidP="003A35E8">
      <w:pPr>
        <w:spacing w:line="276" w:lineRule="auto"/>
        <w:rPr>
          <w:rFonts w:ascii="Arial" w:hAnsi="Arial" w:cs="Arial"/>
        </w:rPr>
      </w:pPr>
      <w:r w:rsidRPr="003A35E8">
        <w:rPr>
          <w:rFonts w:ascii="Arial" w:hAnsi="Arial" w:cs="Arial"/>
        </w:rPr>
        <w:t>Youth offending is a complex social issue influenced by a variety of personal and environmental factors. In response, early intervention has become a foundation of youth justice policy, based on the idea that addressing risk factors before offending behaviour becomes rooted can reduce the likelihood of future criminal activity. Drawing on criminological theories and research, early intervention is generally seen as a promising approach to tackling youth offending. However, its effectiveness is not universally agreed upon, and outcomes often depend on the nature and delivery of the intervention. This essay explores the effectiveness of early intervention as a strategy for preventing young people from offending or reoffending. It will explore how early intervention works in practice.</w:t>
      </w:r>
    </w:p>
    <w:p w14:paraId="2376F0C4" w14:textId="77777777" w:rsidR="003A35E8" w:rsidRPr="003A35E8" w:rsidRDefault="003A35E8" w:rsidP="003A35E8">
      <w:pPr>
        <w:spacing w:line="276" w:lineRule="auto"/>
        <w:rPr>
          <w:rFonts w:ascii="Arial" w:hAnsi="Arial" w:cs="Arial"/>
        </w:rPr>
      </w:pPr>
      <w:r w:rsidRPr="003A35E8">
        <w:rPr>
          <w:rFonts w:ascii="Arial" w:hAnsi="Arial" w:cs="Arial"/>
        </w:rPr>
        <w:t xml:space="preserve">Early intervention refers to strategies, services, and support mechanisms that aim to identify and address risks before problematic behaviour escalates into criminality. It includes both primary prevention which focuses on targeting general populations at risk and secondary prevention which concentrates on targeting individuals who have already shown signs of risk or early offending (Farrington, 2006). </w:t>
      </w:r>
    </w:p>
    <w:p w14:paraId="24FF67C5" w14:textId="77777777" w:rsidR="003A35E8" w:rsidRPr="003A35E8" w:rsidRDefault="003A35E8" w:rsidP="003A35E8">
      <w:pPr>
        <w:spacing w:line="276" w:lineRule="auto"/>
        <w:rPr>
          <w:rFonts w:ascii="Arial" w:hAnsi="Arial" w:cs="Arial"/>
        </w:rPr>
      </w:pPr>
      <w:r w:rsidRPr="003A35E8">
        <w:rPr>
          <w:rFonts w:ascii="Arial" w:hAnsi="Arial" w:cs="Arial"/>
        </w:rPr>
        <w:t xml:space="preserve">The Risk and Protective Factors Framework is commonly used to guide early intervention whereby it looks at risk factors for youth offending include family dysfunction, school exclusion, peer pressure, substance abuse, and socioeconomic deprivation (Farrington, 2000). Farrington, (2000) explains that young people who have protective factors in place such as strong attachments, positive school engagement and good mental health, stand a much better chance to help mitigate these risks. </w:t>
      </w:r>
    </w:p>
    <w:p w14:paraId="753CBEDD" w14:textId="77777777" w:rsidR="003A35E8" w:rsidRPr="003A35E8" w:rsidRDefault="003A35E8" w:rsidP="003A35E8">
      <w:pPr>
        <w:spacing w:line="276" w:lineRule="auto"/>
        <w:rPr>
          <w:rFonts w:ascii="Arial" w:hAnsi="Arial" w:cs="Arial"/>
        </w:rPr>
      </w:pPr>
      <w:r w:rsidRPr="003A35E8">
        <w:rPr>
          <w:rFonts w:ascii="Arial" w:hAnsi="Arial" w:cs="Arial"/>
        </w:rPr>
        <w:t xml:space="preserve">Similarly, Silverman et </w:t>
      </w:r>
      <w:proofErr w:type="gramStart"/>
      <w:r w:rsidRPr="003A35E8">
        <w:rPr>
          <w:rFonts w:ascii="Arial" w:hAnsi="Arial" w:cs="Arial"/>
        </w:rPr>
        <w:t>al,.</w:t>
      </w:r>
      <w:proofErr w:type="gramEnd"/>
      <w:r w:rsidRPr="003A35E8">
        <w:rPr>
          <w:rFonts w:ascii="Arial" w:hAnsi="Arial" w:cs="Arial"/>
        </w:rPr>
        <w:t xml:space="preserve"> (1994) stated that, Developmental and Life-Course Theory shows the likelihood of offending is shaped by life events, family bonds and turning points, intervention is critical in the developmental stages such as early childhood or adolescence and shouldn’t be ignored. Early interventions can be affective and offers an opportunity to disrupt and help reduce risk factors and strengthen the protective ones if addressed early on.</w:t>
      </w:r>
    </w:p>
    <w:p w14:paraId="36731D5F" w14:textId="10C3AF41" w:rsidR="003A35E8" w:rsidRPr="003A35E8" w:rsidRDefault="003A35E8" w:rsidP="003A35E8">
      <w:pPr>
        <w:spacing w:line="276" w:lineRule="auto"/>
        <w:rPr>
          <w:rFonts w:ascii="Arial" w:hAnsi="Arial" w:cs="Arial"/>
        </w:rPr>
      </w:pPr>
      <w:r w:rsidRPr="003A35E8">
        <w:rPr>
          <w:rFonts w:ascii="Arial" w:hAnsi="Arial" w:cs="Arial"/>
        </w:rPr>
        <w:t xml:space="preserve">Intervention at an early stage can take many forms, ranging from parenting support, multi-agency with the youth offending teams (YOTs). A key focus in the research by Olds et al., (1998) is the emphasis on structured home visits by health professionals to first-time mothers in disadvantaged communities. Evidence </w:t>
      </w:r>
      <w:r w:rsidR="00082716">
        <w:rPr>
          <w:rFonts w:ascii="Arial" w:hAnsi="Arial" w:cs="Arial"/>
        </w:rPr>
        <w:t xml:space="preserve">shows </w:t>
      </w:r>
      <w:r w:rsidRPr="003A35E8">
        <w:rPr>
          <w:rFonts w:ascii="Arial" w:hAnsi="Arial" w:cs="Arial"/>
        </w:rPr>
        <w:t>that children involved in such schemes were</w:t>
      </w:r>
      <w:r w:rsidR="00082716">
        <w:rPr>
          <w:rFonts w:ascii="Arial" w:hAnsi="Arial" w:cs="Arial"/>
        </w:rPr>
        <w:t xml:space="preserve"> involved in significantly less crime </w:t>
      </w:r>
      <w:r w:rsidRPr="003A35E8">
        <w:rPr>
          <w:rFonts w:ascii="Arial" w:hAnsi="Arial" w:cs="Arial"/>
        </w:rPr>
        <w:t>as teenagers, suggesting the long-term benefits of early social investment. Similar approaches in the UK, such as Sure Start, also sought to improve early childhood outcomes, though evaluations have shown mixed results (Melhuish et al., 2008).</w:t>
      </w:r>
    </w:p>
    <w:p w14:paraId="793A8D5D" w14:textId="659C24BB" w:rsidR="003A35E8" w:rsidRPr="003A35E8" w:rsidRDefault="003A35E8" w:rsidP="003A35E8">
      <w:pPr>
        <w:spacing w:line="276" w:lineRule="auto"/>
        <w:rPr>
          <w:rFonts w:ascii="Arial" w:hAnsi="Arial" w:cs="Arial"/>
        </w:rPr>
      </w:pPr>
      <w:r w:rsidRPr="003A35E8">
        <w:rPr>
          <w:rFonts w:ascii="Arial" w:hAnsi="Arial" w:cs="Arial"/>
        </w:rPr>
        <w:t xml:space="preserve">Theories such as Social Learning Theory (Bandura, 1977) </w:t>
      </w:r>
      <w:r w:rsidR="00082716">
        <w:rPr>
          <w:rFonts w:ascii="Arial" w:hAnsi="Arial" w:cs="Arial"/>
        </w:rPr>
        <w:t>explains</w:t>
      </w:r>
      <w:r w:rsidRPr="003A35E8">
        <w:rPr>
          <w:rFonts w:ascii="Arial" w:hAnsi="Arial" w:cs="Arial"/>
        </w:rPr>
        <w:t xml:space="preserve"> that behaviour</w:t>
      </w:r>
      <w:r w:rsidR="00082716">
        <w:rPr>
          <w:rFonts w:ascii="Arial" w:hAnsi="Arial" w:cs="Arial"/>
        </w:rPr>
        <w:t>s are learnt usually though observing an</w:t>
      </w:r>
      <w:r w:rsidR="00356E00">
        <w:rPr>
          <w:rFonts w:ascii="Arial" w:hAnsi="Arial" w:cs="Arial"/>
        </w:rPr>
        <w:t>d then the reinforcements which follow</w:t>
      </w:r>
      <w:r w:rsidRPr="003A35E8">
        <w:rPr>
          <w:rFonts w:ascii="Arial" w:hAnsi="Arial" w:cs="Arial"/>
        </w:rPr>
        <w:t>. If young people are exposed to pro-social role models and environments early on, they are less likely to engage in offending and on the flip side if they’re embedded into a lifestyle that normalises violence and criminality then interventions from school, family members or services need to be identified early in an attempt to change their path (Bandura, 1977).</w:t>
      </w:r>
    </w:p>
    <w:p w14:paraId="564E3068" w14:textId="06D1BDB4" w:rsidR="003A35E8" w:rsidRPr="003A35E8" w:rsidRDefault="003A35E8" w:rsidP="003A35E8">
      <w:pPr>
        <w:spacing w:line="276" w:lineRule="auto"/>
        <w:rPr>
          <w:rFonts w:ascii="Arial" w:hAnsi="Arial" w:cs="Arial"/>
        </w:rPr>
      </w:pPr>
      <w:r w:rsidRPr="003A35E8">
        <w:rPr>
          <w:rFonts w:ascii="Arial" w:hAnsi="Arial" w:cs="Arial"/>
        </w:rPr>
        <w:lastRenderedPageBreak/>
        <w:t>Services need to be recognising that the family environment these children are embedded in could be normalising criminalized behaviours and family interventions could assist. Parenting programmes have been shown to improve family situations. Multi-Systemic Therapy (MST)</w:t>
      </w:r>
      <w:r w:rsidR="00356E00">
        <w:rPr>
          <w:rFonts w:ascii="Arial" w:hAnsi="Arial" w:cs="Arial"/>
        </w:rPr>
        <w:t xml:space="preserve"> is a prime example of this type of model, it</w:t>
      </w:r>
      <w:r w:rsidRPr="003A35E8">
        <w:rPr>
          <w:rFonts w:ascii="Arial" w:hAnsi="Arial" w:cs="Arial"/>
        </w:rPr>
        <w:t xml:space="preserve"> is </w:t>
      </w:r>
      <w:r w:rsidR="00356E00">
        <w:rPr>
          <w:rFonts w:ascii="Arial" w:hAnsi="Arial" w:cs="Arial"/>
        </w:rPr>
        <w:t>“</w:t>
      </w:r>
      <w:r w:rsidRPr="003A35E8">
        <w:rPr>
          <w:rFonts w:ascii="Arial" w:hAnsi="Arial" w:cs="Arial"/>
        </w:rPr>
        <w:t>an intensive, family and community-based intervention</w:t>
      </w:r>
      <w:r w:rsidR="00356E00">
        <w:rPr>
          <w:rFonts w:ascii="Arial" w:hAnsi="Arial" w:cs="Arial"/>
        </w:rPr>
        <w:t>”</w:t>
      </w:r>
      <w:r w:rsidRPr="003A35E8">
        <w:rPr>
          <w:rFonts w:ascii="Arial" w:hAnsi="Arial" w:cs="Arial"/>
        </w:rPr>
        <w:t xml:space="preserve"> targeting serious young offenders whereby </w:t>
      </w:r>
      <w:r w:rsidR="00356E00">
        <w:rPr>
          <w:rFonts w:ascii="Arial" w:hAnsi="Arial" w:cs="Arial"/>
        </w:rPr>
        <w:t xml:space="preserve">the </w:t>
      </w:r>
      <w:r w:rsidRPr="003A35E8">
        <w:rPr>
          <w:rFonts w:ascii="Arial" w:hAnsi="Arial" w:cs="Arial"/>
        </w:rPr>
        <w:t>studies</w:t>
      </w:r>
      <w:r w:rsidR="00356E00">
        <w:rPr>
          <w:rFonts w:ascii="Arial" w:hAnsi="Arial" w:cs="Arial"/>
        </w:rPr>
        <w:t xml:space="preserve"> carried out</w:t>
      </w:r>
      <w:r w:rsidRPr="003A35E8">
        <w:rPr>
          <w:rFonts w:ascii="Arial" w:hAnsi="Arial" w:cs="Arial"/>
        </w:rPr>
        <w:t xml:space="preserve"> show MST reduces reoffending rates and improves family functionality</w:t>
      </w:r>
      <w:r w:rsidR="00356E00">
        <w:rPr>
          <w:rFonts w:ascii="Arial" w:hAnsi="Arial" w:cs="Arial"/>
        </w:rPr>
        <w:t xml:space="preserve"> (</w:t>
      </w:r>
      <w:r w:rsidR="00356E00" w:rsidRPr="00356E00">
        <w:rPr>
          <w:rFonts w:ascii="Arial" w:hAnsi="Arial" w:cs="Arial"/>
        </w:rPr>
        <w:t>Markham, 2017)</w:t>
      </w:r>
    </w:p>
    <w:p w14:paraId="10A3D6EF" w14:textId="77777777" w:rsidR="003A35E8" w:rsidRPr="003A35E8" w:rsidRDefault="003A35E8" w:rsidP="003A35E8">
      <w:pPr>
        <w:spacing w:line="276" w:lineRule="auto"/>
        <w:rPr>
          <w:rFonts w:ascii="Arial" w:hAnsi="Arial" w:cs="Arial"/>
        </w:rPr>
      </w:pPr>
      <w:r w:rsidRPr="003A35E8">
        <w:rPr>
          <w:rFonts w:ascii="Arial" w:hAnsi="Arial" w:cs="Arial"/>
        </w:rPr>
        <w:t xml:space="preserve">Another supportive programme that identifies the root issues is, the Strengthening Families Programme which has been known to improve parental supervision and communication, leading to lower youth substance misuse and criminality (Kumpfer et </w:t>
      </w:r>
      <w:proofErr w:type="gramStart"/>
      <w:r w:rsidRPr="003A35E8">
        <w:rPr>
          <w:rFonts w:ascii="Arial" w:hAnsi="Arial" w:cs="Arial"/>
        </w:rPr>
        <w:t>al,.</w:t>
      </w:r>
      <w:proofErr w:type="gramEnd"/>
      <w:r w:rsidRPr="003A35E8">
        <w:rPr>
          <w:rFonts w:ascii="Arial" w:hAnsi="Arial" w:cs="Arial"/>
        </w:rPr>
        <w:t xml:space="preserve"> 2003). This shows if the patterns of behaviour are recognised and tackled then the this can lead to the young person being involved in less criminality. Together, these theories suggest that early, positive, and non-stigmatising engagement with youths can be more effective than disciplinary responses.</w:t>
      </w:r>
    </w:p>
    <w:p w14:paraId="7879376F" w14:textId="14194E34" w:rsidR="003A35E8" w:rsidRPr="003A35E8" w:rsidRDefault="003A35E8" w:rsidP="003A35E8">
      <w:pPr>
        <w:spacing w:line="276" w:lineRule="auto"/>
        <w:rPr>
          <w:rFonts w:ascii="Arial" w:hAnsi="Arial" w:cs="Arial"/>
        </w:rPr>
      </w:pPr>
      <w:r w:rsidRPr="003A35E8">
        <w:rPr>
          <w:rFonts w:ascii="Arial" w:hAnsi="Arial" w:cs="Arial"/>
        </w:rPr>
        <w:t xml:space="preserve">However, despite these promising findings, early intervention is not without critique. The long-term effectiveness of these programmes has been questioned, arguing that positive outcomes are often modest and not always sustained. </w:t>
      </w:r>
      <w:bookmarkStart w:id="9" w:name="_Hlk199168970"/>
      <w:r w:rsidRPr="003A35E8">
        <w:rPr>
          <w:rFonts w:ascii="Arial" w:hAnsi="Arial" w:cs="Arial"/>
        </w:rPr>
        <w:t xml:space="preserve">McAra </w:t>
      </w:r>
      <w:r w:rsidR="00356E00">
        <w:rPr>
          <w:rFonts w:ascii="Arial" w:hAnsi="Arial" w:cs="Arial"/>
        </w:rPr>
        <w:t>et al</w:t>
      </w:r>
      <w:proofErr w:type="gramStart"/>
      <w:r w:rsidR="00356E00">
        <w:rPr>
          <w:rFonts w:ascii="Arial" w:hAnsi="Arial" w:cs="Arial"/>
        </w:rPr>
        <w:t>,.</w:t>
      </w:r>
      <w:r w:rsidRPr="003A35E8">
        <w:rPr>
          <w:rFonts w:ascii="Arial" w:hAnsi="Arial" w:cs="Arial"/>
        </w:rPr>
        <w:t>(</w:t>
      </w:r>
      <w:proofErr w:type="gramEnd"/>
      <w:r w:rsidRPr="003A35E8">
        <w:rPr>
          <w:rFonts w:ascii="Arial" w:hAnsi="Arial" w:cs="Arial"/>
        </w:rPr>
        <w:t xml:space="preserve">2010) </w:t>
      </w:r>
      <w:bookmarkEnd w:id="9"/>
      <w:r w:rsidRPr="003A35E8">
        <w:rPr>
          <w:rFonts w:ascii="Arial" w:hAnsi="Arial" w:cs="Arial"/>
        </w:rPr>
        <w:t>highlight</w:t>
      </w:r>
      <w:r w:rsidR="00356E00">
        <w:rPr>
          <w:rFonts w:ascii="Arial" w:hAnsi="Arial" w:cs="Arial"/>
        </w:rPr>
        <w:t>s</w:t>
      </w:r>
      <w:r w:rsidRPr="003A35E8">
        <w:rPr>
          <w:rFonts w:ascii="Arial" w:hAnsi="Arial" w:cs="Arial"/>
        </w:rPr>
        <w:t xml:space="preserve"> that formal intervention with young people particularly when it involves contact with the justice system can </w:t>
      </w:r>
      <w:r w:rsidR="00356E00">
        <w:rPr>
          <w:rFonts w:ascii="Arial" w:hAnsi="Arial" w:cs="Arial"/>
        </w:rPr>
        <w:t>have the opposite effect on young people and end up committing more crim</w:t>
      </w:r>
      <w:r w:rsidR="00D35509">
        <w:rPr>
          <w:rFonts w:ascii="Arial" w:hAnsi="Arial" w:cs="Arial"/>
        </w:rPr>
        <w:t>e</w:t>
      </w:r>
      <w:r w:rsidR="00356E00">
        <w:rPr>
          <w:rFonts w:ascii="Arial" w:hAnsi="Arial" w:cs="Arial"/>
        </w:rPr>
        <w:t xml:space="preserve"> due to being labelled as an </w:t>
      </w:r>
      <w:r w:rsidRPr="003A35E8">
        <w:rPr>
          <w:rFonts w:ascii="Arial" w:hAnsi="Arial" w:cs="Arial"/>
        </w:rPr>
        <w:t>‘offender’. Their findings suggest early intervention can sometimes backfire if interventions are too closely linked with surveillance and control, rather than support and empowerment (McAra et al., 2010)</w:t>
      </w:r>
    </w:p>
    <w:p w14:paraId="5D508865" w14:textId="77777777" w:rsidR="003A35E8" w:rsidRPr="003A35E8" w:rsidRDefault="003A35E8" w:rsidP="003A35E8">
      <w:pPr>
        <w:spacing w:line="276" w:lineRule="auto"/>
        <w:rPr>
          <w:rFonts w:ascii="Arial" w:hAnsi="Arial" w:cs="Arial"/>
        </w:rPr>
      </w:pPr>
      <w:r w:rsidRPr="003A35E8">
        <w:rPr>
          <w:rFonts w:ascii="Arial" w:hAnsi="Arial" w:cs="Arial"/>
        </w:rPr>
        <w:t xml:space="preserve">This raises questions about the purpose and design of early intervention. Is it truly preventative, or is it a mechanism for identifying and managing those deemed to be a ‘risk’? The risk factor model, which underpins much early intervention work, has been criticised for being overly deterministic and individualising to marginalised youths. Haines et </w:t>
      </w:r>
      <w:proofErr w:type="gramStart"/>
      <w:r w:rsidRPr="003A35E8">
        <w:rPr>
          <w:rFonts w:ascii="Arial" w:hAnsi="Arial" w:cs="Arial"/>
        </w:rPr>
        <w:t>al,.</w:t>
      </w:r>
      <w:proofErr w:type="gramEnd"/>
      <w:r w:rsidRPr="003A35E8">
        <w:rPr>
          <w:rFonts w:ascii="Arial" w:hAnsi="Arial" w:cs="Arial"/>
        </w:rPr>
        <w:t xml:space="preserve"> (2008) argue that risk-focused models reduce young people to checklists of behaviours and circumstances and do not look at all the factors. They suggest children need to be guided and nurtured rather than managed as a problem. </w:t>
      </w:r>
    </w:p>
    <w:p w14:paraId="758D7A42" w14:textId="21727C1E" w:rsidR="003A35E8" w:rsidRPr="003A35E8" w:rsidRDefault="003A35E8" w:rsidP="003A35E8">
      <w:pPr>
        <w:spacing w:line="276" w:lineRule="auto"/>
        <w:rPr>
          <w:rFonts w:ascii="Arial" w:hAnsi="Arial" w:cs="Arial"/>
        </w:rPr>
      </w:pPr>
      <w:r w:rsidRPr="003A35E8">
        <w:rPr>
          <w:rFonts w:ascii="Arial" w:hAnsi="Arial" w:cs="Arial"/>
        </w:rPr>
        <w:t xml:space="preserve">Looking at the evidence available, early intervention has the potential to prevent offending and re-offending among young people, but its success depends on how it is executed. </w:t>
      </w:r>
      <w:r w:rsidR="00356E00">
        <w:rPr>
          <w:rFonts w:ascii="Arial" w:hAnsi="Arial" w:cs="Arial"/>
        </w:rPr>
        <w:t xml:space="preserve">Not every approach will work for all young people so it’s important to adapt as services see fit </w:t>
      </w:r>
      <w:r w:rsidRPr="003A35E8">
        <w:rPr>
          <w:rFonts w:ascii="Arial" w:hAnsi="Arial" w:cs="Arial"/>
        </w:rPr>
        <w:t>and caution must be taken not to label or stigmatise young people based on their backgrounds. Ultimately, the most effective interventions are those that view young people with the capacity to change and ones that invest in the wider social conditions such as building family connections which in hand support positive development.</w:t>
      </w:r>
    </w:p>
    <w:p w14:paraId="4F982193" w14:textId="615C09A6" w:rsidR="003A35E8" w:rsidRPr="003A35E8" w:rsidRDefault="003A35E8" w:rsidP="003A35E8">
      <w:pPr>
        <w:spacing w:line="276" w:lineRule="auto"/>
        <w:rPr>
          <w:rFonts w:ascii="Arial" w:hAnsi="Arial" w:cs="Arial"/>
        </w:rPr>
      </w:pPr>
      <w:r w:rsidRPr="003A35E8">
        <w:rPr>
          <w:rFonts w:ascii="Arial" w:hAnsi="Arial" w:cs="Arial"/>
        </w:rPr>
        <w:t xml:space="preserve">In conclusion, early intervention remains a key pillar of youth justice practice with a lot of theorists supporting its use. However, its effectiveness is not guaranteed and is contingent on multiple factors including the approach taken </w:t>
      </w:r>
      <w:r w:rsidR="00356E00">
        <w:rPr>
          <w:rFonts w:ascii="Arial" w:hAnsi="Arial" w:cs="Arial"/>
        </w:rPr>
        <w:t xml:space="preserve">by services </w:t>
      </w:r>
      <w:r w:rsidRPr="003A35E8">
        <w:rPr>
          <w:rFonts w:ascii="Arial" w:hAnsi="Arial" w:cs="Arial"/>
        </w:rPr>
        <w:t xml:space="preserve">and </w:t>
      </w:r>
      <w:r w:rsidR="00356E00">
        <w:rPr>
          <w:rFonts w:ascii="Arial" w:hAnsi="Arial" w:cs="Arial"/>
        </w:rPr>
        <w:t xml:space="preserve">how engaged young people </w:t>
      </w:r>
      <w:proofErr w:type="gramStart"/>
      <w:r w:rsidR="00356E00">
        <w:rPr>
          <w:rFonts w:ascii="Arial" w:hAnsi="Arial" w:cs="Arial"/>
        </w:rPr>
        <w:t>actually are</w:t>
      </w:r>
      <w:proofErr w:type="gramEnd"/>
      <w:r w:rsidRPr="003A35E8">
        <w:rPr>
          <w:rFonts w:ascii="Arial" w:hAnsi="Arial" w:cs="Arial"/>
        </w:rPr>
        <w:t xml:space="preserve">. While early intervention can be seen as a powerful tool for change it can’t be deemed as the cure for the young people in society. </w:t>
      </w:r>
    </w:p>
    <w:p w14:paraId="006F7F2D" w14:textId="55D0EC76" w:rsidR="005F0F84" w:rsidRDefault="003A35E8" w:rsidP="003A35E8">
      <w:pPr>
        <w:spacing w:line="276" w:lineRule="auto"/>
        <w:rPr>
          <w:rFonts w:ascii="Arial" w:hAnsi="Arial" w:cs="Arial"/>
        </w:rPr>
      </w:pPr>
      <w:r w:rsidRPr="003A35E8">
        <w:rPr>
          <w:rFonts w:ascii="Arial" w:hAnsi="Arial" w:cs="Arial"/>
        </w:rPr>
        <w:t>Words:</w:t>
      </w:r>
      <w:r w:rsidR="00356E00">
        <w:rPr>
          <w:rFonts w:ascii="Arial" w:hAnsi="Arial" w:cs="Arial"/>
        </w:rPr>
        <w:t>995</w:t>
      </w:r>
    </w:p>
    <w:p w14:paraId="3A0A6215" w14:textId="77777777" w:rsidR="00C405DE" w:rsidRDefault="00C405DE" w:rsidP="003A35E8">
      <w:pPr>
        <w:spacing w:line="276" w:lineRule="auto"/>
        <w:rPr>
          <w:rFonts w:ascii="Arial" w:hAnsi="Arial" w:cs="Arial"/>
        </w:rPr>
      </w:pPr>
    </w:p>
    <w:p w14:paraId="2A43A287" w14:textId="77777777" w:rsidR="00C405DE" w:rsidRDefault="00C405DE" w:rsidP="003A35E8">
      <w:pPr>
        <w:spacing w:line="276" w:lineRule="auto"/>
        <w:rPr>
          <w:rFonts w:ascii="Arial" w:hAnsi="Arial" w:cs="Arial"/>
        </w:rPr>
      </w:pPr>
    </w:p>
    <w:p w14:paraId="11A25867" w14:textId="7BEB974F" w:rsidR="005F0F84" w:rsidRDefault="005F0F84" w:rsidP="003A35E8">
      <w:pPr>
        <w:spacing w:line="276" w:lineRule="auto"/>
        <w:rPr>
          <w:rFonts w:ascii="Arial" w:hAnsi="Arial" w:cs="Arial"/>
          <w:b/>
          <w:bCs/>
          <w:u w:val="single"/>
        </w:rPr>
      </w:pPr>
      <w:r w:rsidRPr="005F0F84">
        <w:rPr>
          <w:rFonts w:ascii="Arial" w:hAnsi="Arial" w:cs="Arial"/>
          <w:b/>
          <w:bCs/>
          <w:u w:val="single"/>
        </w:rPr>
        <w:lastRenderedPageBreak/>
        <w:t xml:space="preserve">References </w:t>
      </w:r>
    </w:p>
    <w:p w14:paraId="3A80CF2A" w14:textId="77777777" w:rsidR="009A6C19" w:rsidRPr="00A976F9" w:rsidRDefault="009A6C19" w:rsidP="009A6C19">
      <w:pPr>
        <w:spacing w:line="360" w:lineRule="auto"/>
        <w:rPr>
          <w:rFonts w:ascii="Arial" w:hAnsi="Arial" w:cs="Arial"/>
        </w:rPr>
      </w:pPr>
      <w:r w:rsidRPr="00A976F9">
        <w:rPr>
          <w:rFonts w:ascii="Arial" w:hAnsi="Arial" w:cs="Arial"/>
        </w:rPr>
        <w:t>Antony, J. </w:t>
      </w:r>
      <w:r w:rsidRPr="00A976F9">
        <w:rPr>
          <w:rFonts w:ascii="Arial" w:hAnsi="Arial" w:cs="Arial"/>
          <w:i/>
          <w:iCs/>
        </w:rPr>
        <w:t>et al.</w:t>
      </w:r>
      <w:r w:rsidRPr="00A976F9">
        <w:rPr>
          <w:rFonts w:ascii="Arial" w:hAnsi="Arial" w:cs="Arial"/>
        </w:rPr>
        <w:t> (2020) 'Interventions for the prevention and management of occupational stress injury in first responders: a rapid overview of reviews,' </w:t>
      </w:r>
      <w:r w:rsidRPr="00A976F9">
        <w:rPr>
          <w:rFonts w:ascii="Arial" w:hAnsi="Arial" w:cs="Arial"/>
          <w:i/>
          <w:iCs/>
        </w:rPr>
        <w:t>Systematic Reviews</w:t>
      </w:r>
      <w:r w:rsidRPr="00A976F9">
        <w:rPr>
          <w:rFonts w:ascii="Arial" w:hAnsi="Arial" w:cs="Arial"/>
        </w:rPr>
        <w:t>, 9(1). </w:t>
      </w:r>
      <w:hyperlink r:id="rId5" w:history="1">
        <w:r w:rsidRPr="00A976F9">
          <w:rPr>
            <w:rStyle w:val="Hyperlink"/>
            <w:rFonts w:ascii="Arial" w:hAnsi="Arial" w:cs="Arial"/>
          </w:rPr>
          <w:t>https://doi.org/10.1186/s13643-020-01367-w</w:t>
        </w:r>
      </w:hyperlink>
      <w:r w:rsidRPr="00A976F9">
        <w:rPr>
          <w:rFonts w:ascii="Arial" w:hAnsi="Arial" w:cs="Arial"/>
        </w:rPr>
        <w:t>.</w:t>
      </w:r>
      <w:r w:rsidRPr="009A6C19">
        <w:rPr>
          <w:rFonts w:ascii="Arial" w:hAnsi="Arial" w:cs="Arial"/>
        </w:rPr>
        <w:t xml:space="preserve"> (Accessed 12 May 2025)</w:t>
      </w:r>
    </w:p>
    <w:p w14:paraId="7A98431D" w14:textId="63124741" w:rsidR="009A6C19" w:rsidRPr="00A976F9" w:rsidRDefault="009A6C19" w:rsidP="009A6C19">
      <w:pPr>
        <w:spacing w:line="360" w:lineRule="auto"/>
        <w:rPr>
          <w:rFonts w:ascii="Arial" w:hAnsi="Arial" w:cs="Arial"/>
        </w:rPr>
      </w:pPr>
      <w:r w:rsidRPr="00A976F9">
        <w:rPr>
          <w:rFonts w:ascii="Arial" w:hAnsi="Arial" w:cs="Arial"/>
        </w:rPr>
        <w:t>Bakker, A.B. and Demerouti, E. (2007) 'The Job Demands</w:t>
      </w:r>
      <w:r w:rsidRPr="00A976F9">
        <w:rPr>
          <w:rFonts w:ascii="Cambria Math" w:hAnsi="Cambria Math" w:cs="Cambria Math"/>
        </w:rPr>
        <w:t>‐</w:t>
      </w:r>
      <w:r w:rsidRPr="00A976F9">
        <w:rPr>
          <w:rFonts w:ascii="Arial" w:hAnsi="Arial" w:cs="Arial"/>
        </w:rPr>
        <w:t xml:space="preserve">Resources model: state of the art,' Journal of Managerial Psychology, 22(3), pp. 309–328. </w:t>
      </w:r>
      <w:hyperlink r:id="rId6" w:history="1">
        <w:r w:rsidRPr="00A976F9">
          <w:rPr>
            <w:rStyle w:val="Hyperlink"/>
            <w:rFonts w:ascii="Arial" w:hAnsi="Arial" w:cs="Arial"/>
          </w:rPr>
          <w:t>https://doi.org/10.1108/02683940710733115</w:t>
        </w:r>
      </w:hyperlink>
      <w:r w:rsidRPr="009A6C19">
        <w:rPr>
          <w:rFonts w:ascii="Arial" w:hAnsi="Arial" w:cs="Arial"/>
        </w:rPr>
        <w:t xml:space="preserve"> (Accessed 18 May</w:t>
      </w:r>
      <w:r>
        <w:rPr>
          <w:rFonts w:ascii="Arial" w:hAnsi="Arial" w:cs="Arial"/>
        </w:rPr>
        <w:t xml:space="preserve"> 2025</w:t>
      </w:r>
      <w:r w:rsidRPr="009A6C19">
        <w:rPr>
          <w:rFonts w:ascii="Arial" w:hAnsi="Arial" w:cs="Arial"/>
        </w:rPr>
        <w:t>)</w:t>
      </w:r>
    </w:p>
    <w:p w14:paraId="3E53ACF7" w14:textId="4A0A27CA" w:rsidR="009A6C19" w:rsidRPr="009A6C19" w:rsidRDefault="009A6C19" w:rsidP="009A6C19">
      <w:pPr>
        <w:spacing w:line="360" w:lineRule="auto"/>
        <w:rPr>
          <w:rFonts w:ascii="Arial" w:hAnsi="Arial" w:cs="Arial"/>
        </w:rPr>
      </w:pPr>
      <w:r w:rsidRPr="00A976F9">
        <w:rPr>
          <w:rFonts w:ascii="Arial" w:hAnsi="Arial" w:cs="Arial"/>
        </w:rPr>
        <w:t xml:space="preserve">Bandura, A. (1977). </w:t>
      </w:r>
      <w:r w:rsidRPr="00A976F9">
        <w:rPr>
          <w:rFonts w:ascii="Arial" w:hAnsi="Arial" w:cs="Arial"/>
          <w:i/>
          <w:iCs/>
        </w:rPr>
        <w:t>Social Learning Theory.</w:t>
      </w:r>
      <w:r w:rsidRPr="00A976F9">
        <w:rPr>
          <w:rFonts w:ascii="Arial" w:hAnsi="Arial" w:cs="Arial"/>
        </w:rPr>
        <w:t xml:space="preserve"> General Learning Press. United States of America. pp 1-46. Available at: </w:t>
      </w:r>
      <w:hyperlink r:id="rId7" w:history="1">
        <w:r w:rsidRPr="00A976F9">
          <w:rPr>
            <w:rStyle w:val="Hyperlink"/>
            <w:rFonts w:ascii="Arial" w:hAnsi="Arial" w:cs="Arial"/>
          </w:rPr>
          <w:t>https://www.asecib.ase.ro/mps/Bandura_SocialLearningTheory.pdf</w:t>
        </w:r>
      </w:hyperlink>
      <w:r w:rsidRPr="00A976F9">
        <w:rPr>
          <w:rFonts w:ascii="Arial" w:hAnsi="Arial" w:cs="Arial"/>
        </w:rPr>
        <w:t xml:space="preserve"> </w:t>
      </w:r>
      <w:r w:rsidRPr="009A6C19">
        <w:rPr>
          <w:rFonts w:ascii="Arial" w:hAnsi="Arial" w:cs="Arial"/>
        </w:rPr>
        <w:t>(Accessed 10 May</w:t>
      </w:r>
      <w:r>
        <w:rPr>
          <w:rFonts w:ascii="Arial" w:hAnsi="Arial" w:cs="Arial"/>
        </w:rPr>
        <w:t xml:space="preserve"> 2025</w:t>
      </w:r>
      <w:r w:rsidRPr="009A6C19">
        <w:rPr>
          <w:rFonts w:ascii="Arial" w:hAnsi="Arial" w:cs="Arial"/>
        </w:rPr>
        <w:t>)</w:t>
      </w:r>
    </w:p>
    <w:p w14:paraId="2B1F5C45" w14:textId="528F5AFD" w:rsidR="009A6C19" w:rsidRPr="009A6C19" w:rsidRDefault="009A6C19" w:rsidP="009A6C19">
      <w:pPr>
        <w:spacing w:line="360" w:lineRule="auto"/>
        <w:rPr>
          <w:rFonts w:ascii="Arial" w:hAnsi="Arial" w:cs="Arial"/>
        </w:rPr>
      </w:pPr>
      <w:proofErr w:type="spellStart"/>
      <w:r w:rsidRPr="00A976F9">
        <w:rPr>
          <w:rFonts w:ascii="Arial" w:hAnsi="Arial" w:cs="Arial"/>
        </w:rPr>
        <w:t>Basinska</w:t>
      </w:r>
      <w:proofErr w:type="spellEnd"/>
      <w:r w:rsidRPr="00A976F9">
        <w:rPr>
          <w:rFonts w:ascii="Arial" w:hAnsi="Arial" w:cs="Arial"/>
        </w:rPr>
        <w:t xml:space="preserve">, B.A., </w:t>
      </w:r>
      <w:proofErr w:type="spellStart"/>
      <w:r w:rsidRPr="00A976F9">
        <w:rPr>
          <w:rFonts w:ascii="Arial" w:hAnsi="Arial" w:cs="Arial"/>
        </w:rPr>
        <w:t>Wiciak</w:t>
      </w:r>
      <w:proofErr w:type="spellEnd"/>
      <w:r w:rsidRPr="00A976F9">
        <w:rPr>
          <w:rFonts w:ascii="Arial" w:hAnsi="Arial" w:cs="Arial"/>
        </w:rPr>
        <w:t xml:space="preserve">, I. and </w:t>
      </w:r>
      <w:proofErr w:type="spellStart"/>
      <w:r w:rsidRPr="00A976F9">
        <w:rPr>
          <w:rFonts w:ascii="Arial" w:hAnsi="Arial" w:cs="Arial"/>
        </w:rPr>
        <w:t>Dåderman</w:t>
      </w:r>
      <w:proofErr w:type="spellEnd"/>
      <w:r w:rsidRPr="00A976F9">
        <w:rPr>
          <w:rFonts w:ascii="Arial" w:hAnsi="Arial" w:cs="Arial"/>
        </w:rPr>
        <w:t>, A.M. (2014) 'Fatigue and burnout in police officers: the mediating role of emotions,' </w:t>
      </w:r>
      <w:r w:rsidRPr="00A976F9">
        <w:rPr>
          <w:rFonts w:ascii="Arial" w:hAnsi="Arial" w:cs="Arial"/>
          <w:i/>
          <w:iCs/>
        </w:rPr>
        <w:t>Policing an International Journal</w:t>
      </w:r>
      <w:r w:rsidRPr="00A976F9">
        <w:rPr>
          <w:rFonts w:ascii="Arial" w:hAnsi="Arial" w:cs="Arial"/>
        </w:rPr>
        <w:t>, 37(3), pp. 665–680. </w:t>
      </w:r>
      <w:hyperlink r:id="rId8" w:history="1">
        <w:r w:rsidRPr="00A976F9">
          <w:rPr>
            <w:rStyle w:val="Hyperlink"/>
            <w:rFonts w:ascii="Arial" w:hAnsi="Arial" w:cs="Arial"/>
          </w:rPr>
          <w:t>https://doi.org/10.1108/pijpsm-10-2013-0105</w:t>
        </w:r>
      </w:hyperlink>
      <w:r w:rsidRPr="00A976F9">
        <w:rPr>
          <w:rFonts w:ascii="Arial" w:hAnsi="Arial" w:cs="Arial"/>
        </w:rPr>
        <w:t>.</w:t>
      </w:r>
      <w:r w:rsidRPr="009A6C19">
        <w:rPr>
          <w:rFonts w:ascii="Arial" w:hAnsi="Arial" w:cs="Arial"/>
        </w:rPr>
        <w:t xml:space="preserve"> (Accessed 10 May</w:t>
      </w:r>
      <w:r>
        <w:rPr>
          <w:rFonts w:ascii="Arial" w:hAnsi="Arial" w:cs="Arial"/>
        </w:rPr>
        <w:t xml:space="preserve"> 2025</w:t>
      </w:r>
      <w:r w:rsidRPr="009A6C19">
        <w:rPr>
          <w:rFonts w:ascii="Arial" w:hAnsi="Arial" w:cs="Arial"/>
        </w:rPr>
        <w:t>)</w:t>
      </w:r>
    </w:p>
    <w:p w14:paraId="6D23830E" w14:textId="6D38F6CD" w:rsidR="009A6C19" w:rsidRPr="009A6C19" w:rsidRDefault="009A6C19" w:rsidP="009A6C19">
      <w:pPr>
        <w:spacing w:line="360" w:lineRule="auto"/>
        <w:rPr>
          <w:rFonts w:ascii="Arial" w:hAnsi="Arial" w:cs="Arial"/>
        </w:rPr>
      </w:pPr>
      <w:r w:rsidRPr="00A9679F">
        <w:rPr>
          <w:rFonts w:ascii="Arial" w:hAnsi="Arial" w:cs="Arial"/>
        </w:rPr>
        <w:t>Cohen, L.E. and Felson, M. (1979) 'Social Change and Crime Rate Trends: A Routine Activity approach,' </w:t>
      </w:r>
      <w:r w:rsidRPr="00A9679F">
        <w:rPr>
          <w:rFonts w:ascii="Arial" w:hAnsi="Arial" w:cs="Arial"/>
          <w:i/>
          <w:iCs/>
        </w:rPr>
        <w:t>American Sociological Review</w:t>
      </w:r>
      <w:r w:rsidRPr="00A9679F">
        <w:rPr>
          <w:rFonts w:ascii="Arial" w:hAnsi="Arial" w:cs="Arial"/>
        </w:rPr>
        <w:t>, 44(4), p. 588. </w:t>
      </w:r>
      <w:hyperlink r:id="rId9" w:history="1">
        <w:r w:rsidRPr="00A9679F">
          <w:rPr>
            <w:rStyle w:val="Hyperlink"/>
            <w:rFonts w:ascii="Arial" w:hAnsi="Arial" w:cs="Arial"/>
          </w:rPr>
          <w:t>https://doi.org/10.2307/2094589</w:t>
        </w:r>
      </w:hyperlink>
      <w:r w:rsidRPr="00A9679F">
        <w:rPr>
          <w:rFonts w:ascii="Arial" w:hAnsi="Arial" w:cs="Arial"/>
        </w:rPr>
        <w:t>.</w:t>
      </w:r>
      <w:r w:rsidRPr="009A6C19">
        <w:rPr>
          <w:rFonts w:ascii="Arial" w:hAnsi="Arial" w:cs="Arial"/>
        </w:rPr>
        <w:t xml:space="preserve"> (Accessed 14 May</w:t>
      </w:r>
      <w:r>
        <w:rPr>
          <w:rFonts w:ascii="Arial" w:hAnsi="Arial" w:cs="Arial"/>
        </w:rPr>
        <w:t xml:space="preserve"> 2025</w:t>
      </w:r>
      <w:r w:rsidRPr="009A6C19">
        <w:rPr>
          <w:rFonts w:ascii="Arial" w:hAnsi="Arial" w:cs="Arial"/>
        </w:rPr>
        <w:t>)</w:t>
      </w:r>
    </w:p>
    <w:p w14:paraId="06678E93" w14:textId="77777777" w:rsidR="009A6C19" w:rsidRPr="009A6C19" w:rsidRDefault="009A6C19" w:rsidP="009A6C19">
      <w:pPr>
        <w:spacing w:line="360" w:lineRule="auto"/>
        <w:rPr>
          <w:rFonts w:ascii="Arial" w:hAnsi="Arial" w:cs="Arial"/>
        </w:rPr>
      </w:pPr>
      <w:r w:rsidRPr="00A976F9">
        <w:rPr>
          <w:rFonts w:ascii="Arial" w:hAnsi="Arial" w:cs="Arial"/>
        </w:rPr>
        <w:t>College of Policing. (2023). </w:t>
      </w:r>
      <w:r w:rsidRPr="00A976F9">
        <w:rPr>
          <w:rFonts w:ascii="Arial" w:hAnsi="Arial" w:cs="Arial"/>
          <w:i/>
          <w:iCs/>
        </w:rPr>
        <w:t>Understanding the process, your role and obligations: Policing Guidance</w:t>
      </w:r>
      <w:r w:rsidRPr="00A976F9">
        <w:rPr>
          <w:rFonts w:ascii="Arial" w:hAnsi="Arial" w:cs="Arial"/>
        </w:rPr>
        <w:t>. Available at: </w:t>
      </w:r>
      <w:hyperlink r:id="rId10" w:anchor="57616f54-0c43-493c-8f00-455d55fb356b" w:history="1">
        <w:r w:rsidRPr="00A976F9">
          <w:rPr>
            <w:rStyle w:val="Hyperlink"/>
            <w:rFonts w:ascii="Arial" w:hAnsi="Arial" w:cs="Arial"/>
          </w:rPr>
          <w:t>https://www.college.police.uk/guidance/conducting-effective-investigations/understanding-process-your-role-and-obligations#57616f54-0c43-493c-8f00-455d55fb356b</w:t>
        </w:r>
      </w:hyperlink>
      <w:r w:rsidRPr="00A976F9">
        <w:rPr>
          <w:rFonts w:ascii="Arial" w:hAnsi="Arial" w:cs="Arial"/>
        </w:rPr>
        <w:t xml:space="preserve"> (Accessed 12 May 2025)</w:t>
      </w:r>
    </w:p>
    <w:p w14:paraId="4DD552D3" w14:textId="77777777" w:rsidR="009A6C19" w:rsidRPr="00A976F9" w:rsidRDefault="009A6C19" w:rsidP="009A6C19">
      <w:pPr>
        <w:spacing w:line="360" w:lineRule="auto"/>
        <w:rPr>
          <w:rFonts w:ascii="Arial" w:hAnsi="Arial" w:cs="Arial"/>
        </w:rPr>
      </w:pPr>
      <w:r w:rsidRPr="00A976F9">
        <w:rPr>
          <w:rFonts w:ascii="Arial" w:hAnsi="Arial" w:cs="Arial"/>
        </w:rPr>
        <w:t xml:space="preserve">Corrigan, P.W., Druss, B.G. and Perlick, D.A. (2014) 'The impact of mental illness stigma on seeking and participating in mental health care,' Psychological Science in the Public Interest, 15(2), pp. 37–70. </w:t>
      </w:r>
      <w:hyperlink r:id="rId11" w:history="1">
        <w:r w:rsidRPr="00A976F9">
          <w:rPr>
            <w:rStyle w:val="Hyperlink"/>
            <w:rFonts w:ascii="Arial" w:hAnsi="Arial" w:cs="Arial"/>
          </w:rPr>
          <w:t>https://doi.org/10.1177/1529100614531398</w:t>
        </w:r>
      </w:hyperlink>
      <w:r w:rsidRPr="00A976F9">
        <w:rPr>
          <w:rFonts w:ascii="Arial" w:hAnsi="Arial" w:cs="Arial"/>
        </w:rPr>
        <w:t>.</w:t>
      </w:r>
      <w:r w:rsidRPr="009A6C19">
        <w:rPr>
          <w:rFonts w:ascii="Arial" w:hAnsi="Arial" w:cs="Arial"/>
        </w:rPr>
        <w:t xml:space="preserve"> (Accessed 16 May 2025)</w:t>
      </w:r>
    </w:p>
    <w:p w14:paraId="0BD7560D" w14:textId="77777777" w:rsidR="009A6C19" w:rsidRPr="009A6C19" w:rsidRDefault="009A6C19" w:rsidP="009A6C19">
      <w:pPr>
        <w:spacing w:line="360" w:lineRule="auto"/>
        <w:rPr>
          <w:rFonts w:ascii="Arial" w:hAnsi="Arial" w:cs="Arial"/>
        </w:rPr>
      </w:pPr>
      <w:r w:rsidRPr="00A976F9">
        <w:rPr>
          <w:rFonts w:ascii="Arial" w:hAnsi="Arial" w:cs="Arial"/>
        </w:rPr>
        <w:t>Cuellar, N.G. (2017) 'Journal of Transcultural Nursing,' </w:t>
      </w:r>
      <w:r w:rsidRPr="00A976F9">
        <w:rPr>
          <w:rFonts w:ascii="Arial" w:hAnsi="Arial" w:cs="Arial"/>
          <w:i/>
          <w:iCs/>
        </w:rPr>
        <w:t xml:space="preserve">Unconscious Bias: What Is </w:t>
      </w:r>
      <w:proofErr w:type="gramStart"/>
      <w:r w:rsidRPr="00A976F9">
        <w:rPr>
          <w:rFonts w:ascii="Arial" w:hAnsi="Arial" w:cs="Arial"/>
          <w:i/>
          <w:iCs/>
        </w:rPr>
        <w:t>Yours?</w:t>
      </w:r>
      <w:r w:rsidRPr="00A976F9">
        <w:rPr>
          <w:rFonts w:ascii="Arial" w:hAnsi="Arial" w:cs="Arial"/>
        </w:rPr>
        <w:t>,</w:t>
      </w:r>
      <w:proofErr w:type="gramEnd"/>
      <w:r w:rsidRPr="00A976F9">
        <w:rPr>
          <w:rFonts w:ascii="Arial" w:hAnsi="Arial" w:cs="Arial"/>
        </w:rPr>
        <w:t xml:space="preserve"> 28(4). </w:t>
      </w:r>
      <w:hyperlink r:id="rId12" w:history="1">
        <w:r w:rsidRPr="00A976F9">
          <w:rPr>
            <w:rStyle w:val="Hyperlink"/>
            <w:rFonts w:ascii="Arial" w:hAnsi="Arial" w:cs="Arial"/>
          </w:rPr>
          <w:t>https://doi.org/10.1177/104365961771356</w:t>
        </w:r>
      </w:hyperlink>
      <w:r w:rsidRPr="00A976F9">
        <w:rPr>
          <w:rFonts w:ascii="Arial" w:hAnsi="Arial" w:cs="Arial"/>
        </w:rPr>
        <w:t xml:space="preserve"> (Accessed 16 May 2025).</w:t>
      </w:r>
    </w:p>
    <w:p w14:paraId="5F0CEBB1" w14:textId="77777777" w:rsidR="009A6C19" w:rsidRPr="00A976F9" w:rsidRDefault="009A6C19" w:rsidP="009A6C19">
      <w:pPr>
        <w:spacing w:line="360" w:lineRule="auto"/>
        <w:rPr>
          <w:rFonts w:ascii="Arial" w:hAnsi="Arial" w:cs="Arial"/>
        </w:rPr>
      </w:pPr>
      <w:r w:rsidRPr="00A9679F">
        <w:rPr>
          <w:rFonts w:ascii="Arial" w:hAnsi="Arial" w:cs="Arial"/>
        </w:rPr>
        <w:t>Drew, J.M. and Williamson, H. (2024) 'Trauma, Critical incidents, Organizational and operational stressors: The relationship between harms and psychological outcomes for police,' </w:t>
      </w:r>
      <w:r w:rsidRPr="00A9679F">
        <w:rPr>
          <w:rFonts w:ascii="Arial" w:hAnsi="Arial" w:cs="Arial"/>
          <w:i/>
          <w:iCs/>
        </w:rPr>
        <w:t>Police Quarterly</w:t>
      </w:r>
      <w:r w:rsidRPr="00A9679F">
        <w:rPr>
          <w:rFonts w:ascii="Arial" w:hAnsi="Arial" w:cs="Arial"/>
        </w:rPr>
        <w:t> [Preprint]. </w:t>
      </w:r>
      <w:hyperlink r:id="rId13" w:history="1">
        <w:r w:rsidRPr="00A9679F">
          <w:rPr>
            <w:rStyle w:val="Hyperlink"/>
            <w:rFonts w:ascii="Arial" w:hAnsi="Arial" w:cs="Arial"/>
          </w:rPr>
          <w:t>https://doi.org/10.1177/10986111241275048</w:t>
        </w:r>
      </w:hyperlink>
      <w:r w:rsidRPr="00A9679F">
        <w:rPr>
          <w:rFonts w:ascii="Arial" w:hAnsi="Arial" w:cs="Arial"/>
        </w:rPr>
        <w:t>.</w:t>
      </w:r>
      <w:r w:rsidRPr="009A6C19">
        <w:rPr>
          <w:rFonts w:ascii="Arial" w:hAnsi="Arial" w:cs="Arial"/>
        </w:rPr>
        <w:t xml:space="preserve"> (Accessed 18 May 2025)</w:t>
      </w:r>
    </w:p>
    <w:p w14:paraId="0DBABD45" w14:textId="09A13E8C" w:rsidR="009A6C19" w:rsidRPr="009A6C19" w:rsidRDefault="009A6C19" w:rsidP="009A6C19">
      <w:pPr>
        <w:spacing w:line="360" w:lineRule="auto"/>
        <w:rPr>
          <w:rFonts w:ascii="Arial" w:hAnsi="Arial" w:cs="Arial"/>
        </w:rPr>
      </w:pPr>
      <w:r w:rsidRPr="00A976F9">
        <w:rPr>
          <w:rFonts w:ascii="Arial" w:hAnsi="Arial" w:cs="Arial"/>
        </w:rPr>
        <w:t>Dror, I.E. and Kukucka, J. (2021) 'Linear Sequential Unmasking–Expanded (LSU-E): A general approach for improving decision making as well as minimizing noise and bias,' </w:t>
      </w:r>
      <w:r w:rsidRPr="00A976F9">
        <w:rPr>
          <w:rFonts w:ascii="Arial" w:hAnsi="Arial" w:cs="Arial"/>
          <w:i/>
          <w:iCs/>
        </w:rPr>
        <w:t>Forensic Science International Synergy</w:t>
      </w:r>
      <w:r w:rsidRPr="00A976F9">
        <w:rPr>
          <w:rFonts w:ascii="Arial" w:hAnsi="Arial" w:cs="Arial"/>
        </w:rPr>
        <w:t>, 3, p. 100161. </w:t>
      </w:r>
      <w:hyperlink r:id="rId14" w:history="1">
        <w:r w:rsidRPr="00A976F9">
          <w:rPr>
            <w:rStyle w:val="Hyperlink"/>
            <w:rFonts w:ascii="Arial" w:hAnsi="Arial" w:cs="Arial"/>
          </w:rPr>
          <w:t>https://doi.org/10.1016/j.fsisyn.2021.100161.</w:t>
        </w:r>
      </w:hyperlink>
      <w:r w:rsidRPr="009A6C19">
        <w:rPr>
          <w:rFonts w:ascii="Arial" w:hAnsi="Arial" w:cs="Arial"/>
        </w:rPr>
        <w:t xml:space="preserve"> </w:t>
      </w:r>
      <w:r>
        <w:rPr>
          <w:rFonts w:ascii="Arial" w:hAnsi="Arial" w:cs="Arial"/>
        </w:rPr>
        <w:t>(Accessed</w:t>
      </w:r>
      <w:r w:rsidRPr="009A6C19">
        <w:rPr>
          <w:rFonts w:ascii="Arial" w:hAnsi="Arial" w:cs="Arial"/>
        </w:rPr>
        <w:t xml:space="preserve"> 10 May 2025)</w:t>
      </w:r>
    </w:p>
    <w:p w14:paraId="4FFBBCFC" w14:textId="77777777" w:rsidR="009A6C19" w:rsidRPr="00A976F9" w:rsidRDefault="009A6C19" w:rsidP="009A6C19">
      <w:pPr>
        <w:spacing w:line="360" w:lineRule="auto"/>
        <w:rPr>
          <w:rFonts w:ascii="Arial" w:hAnsi="Arial" w:cs="Arial"/>
        </w:rPr>
      </w:pPr>
      <w:r w:rsidRPr="00A976F9">
        <w:rPr>
          <w:rFonts w:ascii="Arial" w:hAnsi="Arial" w:cs="Arial"/>
        </w:rPr>
        <w:lastRenderedPageBreak/>
        <w:t>Farrington, D.P. (2000) ‘</w:t>
      </w:r>
      <w:r w:rsidRPr="00A976F9">
        <w:rPr>
          <w:rFonts w:ascii="Arial" w:hAnsi="Arial" w:cs="Arial"/>
          <w:i/>
          <w:iCs/>
        </w:rPr>
        <w:t>Explaining and preventing crime: The globalization of knowledge--The American Society of Criminology 1999 Presidential Address</w:t>
      </w:r>
      <w:r w:rsidRPr="00A976F9">
        <w:rPr>
          <w:rFonts w:ascii="Arial" w:hAnsi="Arial" w:cs="Arial"/>
        </w:rPr>
        <w:t xml:space="preserve">,' Criminology, 38(1), pp. 1–24. </w:t>
      </w:r>
      <w:hyperlink r:id="rId15" w:history="1">
        <w:r w:rsidRPr="00A976F9">
          <w:rPr>
            <w:rStyle w:val="Hyperlink"/>
            <w:rFonts w:ascii="Arial" w:hAnsi="Arial" w:cs="Arial"/>
          </w:rPr>
          <w:t>https://doi.org/10.1111/j.1745-9125.2000.tb00881.x</w:t>
        </w:r>
      </w:hyperlink>
      <w:r w:rsidRPr="00A976F9">
        <w:rPr>
          <w:rFonts w:ascii="Arial" w:hAnsi="Arial" w:cs="Arial"/>
        </w:rPr>
        <w:t xml:space="preserve">. </w:t>
      </w:r>
      <w:r w:rsidRPr="009A6C19">
        <w:rPr>
          <w:rFonts w:ascii="Arial" w:hAnsi="Arial" w:cs="Arial"/>
        </w:rPr>
        <w:t>(Accessed 24 May 2025)</w:t>
      </w:r>
    </w:p>
    <w:p w14:paraId="078DDCE0" w14:textId="77777777" w:rsidR="009A6C19" w:rsidRPr="00A976F9" w:rsidRDefault="009A6C19" w:rsidP="009A6C19">
      <w:pPr>
        <w:spacing w:line="360" w:lineRule="auto"/>
        <w:rPr>
          <w:rFonts w:ascii="Arial" w:hAnsi="Arial" w:cs="Arial"/>
        </w:rPr>
      </w:pPr>
      <w:r w:rsidRPr="00A976F9">
        <w:rPr>
          <w:rFonts w:ascii="Arial" w:hAnsi="Arial" w:cs="Arial"/>
        </w:rPr>
        <w:t>Farrington, D.P. (2006) ‘</w:t>
      </w:r>
      <w:r w:rsidRPr="00A976F9">
        <w:rPr>
          <w:rFonts w:ascii="Arial" w:hAnsi="Arial" w:cs="Arial"/>
          <w:i/>
          <w:iCs/>
        </w:rPr>
        <w:t>Childhood risk factors and risk-focused prevention’</w:t>
      </w:r>
      <w:r w:rsidRPr="00A976F9">
        <w:rPr>
          <w:rFonts w:ascii="Arial" w:hAnsi="Arial" w:cs="Arial"/>
        </w:rPr>
        <w:t xml:space="preserve">. In: M. Maguire, R. Morgan and R. Reiner, eds. The Oxford handbook of criminology. 4th ed. Oxford: Oxford University Press. Available at: </w:t>
      </w:r>
      <w:hyperlink r:id="rId16" w:history="1">
        <w:r w:rsidRPr="00A976F9">
          <w:rPr>
            <w:rStyle w:val="Hyperlink"/>
            <w:rFonts w:ascii="Arial" w:hAnsi="Arial" w:cs="Arial"/>
          </w:rPr>
          <w:t>https://citeseerx.ist.psu.edu/document?repid=rep1&amp;type=pdf&amp;doi=31ca0fa43e14c5de34724705d3285eeeff2b3444</w:t>
        </w:r>
      </w:hyperlink>
      <w:r w:rsidRPr="009A6C19">
        <w:rPr>
          <w:rFonts w:ascii="Arial" w:hAnsi="Arial" w:cs="Arial"/>
        </w:rPr>
        <w:t xml:space="preserve"> (Accessed 18 May 2025)</w:t>
      </w:r>
    </w:p>
    <w:p w14:paraId="685F423B" w14:textId="77777777" w:rsidR="009A6C19" w:rsidRPr="009A6C19" w:rsidRDefault="009A6C19" w:rsidP="009A6C19">
      <w:pPr>
        <w:spacing w:line="360" w:lineRule="auto"/>
        <w:rPr>
          <w:rFonts w:ascii="Arial" w:hAnsi="Arial" w:cs="Arial"/>
        </w:rPr>
      </w:pPr>
      <w:r w:rsidRPr="00A976F9">
        <w:rPr>
          <w:rFonts w:ascii="Arial" w:hAnsi="Arial" w:cs="Arial"/>
        </w:rPr>
        <w:t>Fridell, L.A. (2016) </w:t>
      </w:r>
      <w:r w:rsidRPr="00A976F9">
        <w:rPr>
          <w:rFonts w:ascii="Arial" w:hAnsi="Arial" w:cs="Arial"/>
          <w:i/>
          <w:iCs/>
        </w:rPr>
        <w:t>Producing Bias-Free policing: A Science-Based Approach</w:t>
      </w:r>
      <w:r w:rsidRPr="00A976F9">
        <w:rPr>
          <w:rFonts w:ascii="Arial" w:hAnsi="Arial" w:cs="Arial"/>
        </w:rPr>
        <w:t xml:space="preserve">. Springer. </w:t>
      </w:r>
    </w:p>
    <w:p w14:paraId="297CCEDE" w14:textId="77777777" w:rsidR="009A6C19" w:rsidRPr="009A6C19" w:rsidRDefault="009A6C19" w:rsidP="009A6C19">
      <w:pPr>
        <w:spacing w:line="360" w:lineRule="auto"/>
        <w:rPr>
          <w:rFonts w:ascii="Arial" w:hAnsi="Arial" w:cs="Arial"/>
        </w:rPr>
      </w:pPr>
      <w:r w:rsidRPr="00A976F9">
        <w:rPr>
          <w:rFonts w:ascii="Arial" w:hAnsi="Arial" w:cs="Arial"/>
        </w:rPr>
        <w:t xml:space="preserve">Haines, K. and Case, S. (2008) 'The rhetoric and reality of the ‘Risk Factor Prevention Paradigm’ approach to preventing and reducing youth offending,' Youth Justice, 8(1), pp. 5–20. </w:t>
      </w:r>
      <w:hyperlink r:id="rId17" w:history="1">
        <w:r w:rsidRPr="00A976F9">
          <w:rPr>
            <w:rStyle w:val="Hyperlink"/>
            <w:rFonts w:ascii="Arial" w:hAnsi="Arial" w:cs="Arial"/>
          </w:rPr>
          <w:t>https://doi.org/10.1177/1473225407087039</w:t>
        </w:r>
      </w:hyperlink>
      <w:r w:rsidRPr="00A976F9">
        <w:rPr>
          <w:rFonts w:ascii="Arial" w:hAnsi="Arial" w:cs="Arial"/>
        </w:rPr>
        <w:t xml:space="preserve">. </w:t>
      </w:r>
      <w:r w:rsidRPr="009A6C19">
        <w:rPr>
          <w:rFonts w:ascii="Arial" w:hAnsi="Arial" w:cs="Arial"/>
        </w:rPr>
        <w:t>(Accessed 22 May 2025)</w:t>
      </w:r>
    </w:p>
    <w:p w14:paraId="3418D0AC" w14:textId="77777777" w:rsidR="009A6C19" w:rsidRPr="00A9679F" w:rsidRDefault="009A6C19" w:rsidP="009A6C19">
      <w:pPr>
        <w:spacing w:line="360" w:lineRule="auto"/>
        <w:rPr>
          <w:rFonts w:ascii="Arial" w:hAnsi="Arial" w:cs="Arial"/>
        </w:rPr>
      </w:pPr>
      <w:bookmarkStart w:id="10" w:name="_Hlk199159027"/>
      <w:r w:rsidRPr="00A9679F">
        <w:rPr>
          <w:rFonts w:ascii="Arial" w:hAnsi="Arial" w:cs="Arial"/>
        </w:rPr>
        <w:t>Harding, S. (2020</w:t>
      </w:r>
      <w:bookmarkEnd w:id="10"/>
      <w:r w:rsidRPr="00A9679F">
        <w:rPr>
          <w:rFonts w:ascii="Arial" w:hAnsi="Arial" w:cs="Arial"/>
        </w:rPr>
        <w:t>). </w:t>
      </w:r>
      <w:r w:rsidRPr="00A9679F">
        <w:rPr>
          <w:rFonts w:ascii="Arial" w:hAnsi="Arial" w:cs="Arial"/>
          <w:i/>
          <w:iCs/>
        </w:rPr>
        <w:t>County Lines: Exploitation and Drug Dealing amongst Urban Street Gangs</w:t>
      </w:r>
      <w:r w:rsidRPr="00A9679F">
        <w:rPr>
          <w:rFonts w:ascii="Arial" w:hAnsi="Arial" w:cs="Arial"/>
        </w:rPr>
        <w:t xml:space="preserve"> (1st ed.). Bristol University Press. </w:t>
      </w:r>
      <w:hyperlink r:id="rId18" w:history="1">
        <w:r w:rsidRPr="00A9679F">
          <w:rPr>
            <w:rStyle w:val="Hyperlink"/>
            <w:rFonts w:ascii="Arial" w:hAnsi="Arial" w:cs="Arial"/>
          </w:rPr>
          <w:t>https://doi.org/10.2307/j.ctv114c782</w:t>
        </w:r>
      </w:hyperlink>
      <w:r w:rsidRPr="00A9679F">
        <w:rPr>
          <w:rFonts w:ascii="Arial" w:hAnsi="Arial" w:cs="Arial"/>
        </w:rPr>
        <w:t xml:space="preserve"> </w:t>
      </w:r>
      <w:r w:rsidRPr="009A6C19">
        <w:rPr>
          <w:rFonts w:ascii="Arial" w:hAnsi="Arial" w:cs="Arial"/>
        </w:rPr>
        <w:t>(Accessed 16 May 2025)</w:t>
      </w:r>
    </w:p>
    <w:p w14:paraId="370A2EE7" w14:textId="77777777" w:rsidR="009A6C19" w:rsidRPr="00A976F9" w:rsidRDefault="009A6C19" w:rsidP="009A6C19">
      <w:pPr>
        <w:spacing w:line="360" w:lineRule="auto"/>
        <w:rPr>
          <w:rFonts w:ascii="Arial" w:hAnsi="Arial" w:cs="Arial"/>
        </w:rPr>
      </w:pPr>
      <w:r w:rsidRPr="00A9679F">
        <w:rPr>
          <w:rFonts w:ascii="Arial" w:hAnsi="Arial" w:cs="Arial"/>
        </w:rPr>
        <w:t>Harris, D.B. (1944) 'Review of Juvenile delinquency and urban areas.,' </w:t>
      </w:r>
      <w:r w:rsidRPr="00A9679F">
        <w:rPr>
          <w:rFonts w:ascii="Arial" w:hAnsi="Arial" w:cs="Arial"/>
          <w:i/>
          <w:iCs/>
        </w:rPr>
        <w:t>Psychological Bulletin</w:t>
      </w:r>
      <w:r w:rsidRPr="00A9679F">
        <w:rPr>
          <w:rFonts w:ascii="Arial" w:hAnsi="Arial" w:cs="Arial"/>
        </w:rPr>
        <w:t>, 41(1), pp. 69–71. </w:t>
      </w:r>
      <w:hyperlink r:id="rId19" w:history="1">
        <w:r w:rsidRPr="00A9679F">
          <w:rPr>
            <w:rStyle w:val="Hyperlink"/>
            <w:rFonts w:ascii="Arial" w:hAnsi="Arial" w:cs="Arial"/>
          </w:rPr>
          <w:t>https://doi.org/10.1037/h0052736</w:t>
        </w:r>
      </w:hyperlink>
      <w:r w:rsidRPr="00A9679F">
        <w:rPr>
          <w:rFonts w:ascii="Arial" w:hAnsi="Arial" w:cs="Arial"/>
        </w:rPr>
        <w:t>.</w:t>
      </w:r>
      <w:r w:rsidRPr="009A6C19">
        <w:rPr>
          <w:rFonts w:ascii="Arial" w:hAnsi="Arial" w:cs="Arial"/>
        </w:rPr>
        <w:t xml:space="preserve"> (Accessed 12 May 2025)</w:t>
      </w:r>
    </w:p>
    <w:p w14:paraId="1CB61449" w14:textId="77777777" w:rsidR="009A6C19" w:rsidRPr="009A6C19" w:rsidRDefault="009A6C19" w:rsidP="009A6C19">
      <w:pPr>
        <w:spacing w:line="360" w:lineRule="auto"/>
        <w:rPr>
          <w:rFonts w:ascii="Arial" w:hAnsi="Arial" w:cs="Arial"/>
        </w:rPr>
      </w:pPr>
      <w:r w:rsidRPr="00A976F9">
        <w:rPr>
          <w:rFonts w:ascii="Arial" w:hAnsi="Arial" w:cs="Arial"/>
        </w:rPr>
        <w:t>Hill, C. (2003) 'The Psychology of Interrogations and Confessions: A Handbook Edited by G. H. GUDJONSSON John Wiley (2003), pp. 684, ISBN 0</w:t>
      </w:r>
      <w:r w:rsidRPr="00A976F9">
        <w:rPr>
          <w:rFonts w:ascii="Cambria Math" w:hAnsi="Cambria Math" w:cs="Cambria Math"/>
        </w:rPr>
        <w:t>‐</w:t>
      </w:r>
      <w:r w:rsidRPr="00A976F9">
        <w:rPr>
          <w:rFonts w:ascii="Arial" w:hAnsi="Arial" w:cs="Arial"/>
        </w:rPr>
        <w:t>8039</w:t>
      </w:r>
      <w:r w:rsidRPr="00A976F9">
        <w:rPr>
          <w:rFonts w:ascii="Cambria Math" w:hAnsi="Cambria Math" w:cs="Cambria Math"/>
        </w:rPr>
        <w:t>‐</w:t>
      </w:r>
      <w:r w:rsidRPr="00A976F9">
        <w:rPr>
          <w:rFonts w:ascii="Arial" w:hAnsi="Arial" w:cs="Arial"/>
        </w:rPr>
        <w:t>7725</w:t>
      </w:r>
      <w:r w:rsidRPr="00A976F9">
        <w:rPr>
          <w:rFonts w:ascii="Cambria Math" w:hAnsi="Cambria Math" w:cs="Cambria Math"/>
        </w:rPr>
        <w:t>‐</w:t>
      </w:r>
      <w:r w:rsidRPr="00A976F9">
        <w:rPr>
          <w:rFonts w:ascii="Arial" w:hAnsi="Arial" w:cs="Arial"/>
        </w:rPr>
        <w:t>5,' </w:t>
      </w:r>
      <w:r w:rsidRPr="00A976F9">
        <w:rPr>
          <w:rFonts w:ascii="Arial" w:hAnsi="Arial" w:cs="Arial"/>
          <w:i/>
          <w:iCs/>
        </w:rPr>
        <w:t>Journal of Investigative Psychology and Offender Profiling</w:t>
      </w:r>
      <w:r w:rsidRPr="00A976F9">
        <w:rPr>
          <w:rFonts w:ascii="Arial" w:hAnsi="Arial" w:cs="Arial"/>
        </w:rPr>
        <w:t>, 1(1), pp. 95–97. </w:t>
      </w:r>
      <w:hyperlink r:id="rId20" w:history="1">
        <w:r w:rsidRPr="00A976F9">
          <w:rPr>
            <w:rStyle w:val="Hyperlink"/>
            <w:rFonts w:ascii="Arial" w:hAnsi="Arial" w:cs="Arial"/>
          </w:rPr>
          <w:t>https://doi.org/10.1002/jip.5.</w:t>
        </w:r>
        <w:r w:rsidRPr="009A6C19">
          <w:rPr>
            <w:rStyle w:val="Hyperlink"/>
            <w:rFonts w:ascii="Arial" w:hAnsi="Arial" w:cs="Arial"/>
          </w:rPr>
          <w:t xml:space="preserve"> </w:t>
        </w:r>
      </w:hyperlink>
      <w:r w:rsidRPr="009A6C19">
        <w:rPr>
          <w:rFonts w:ascii="Arial" w:hAnsi="Arial" w:cs="Arial"/>
        </w:rPr>
        <w:t xml:space="preserve"> (Accessed 18 May 2025)</w:t>
      </w:r>
    </w:p>
    <w:p w14:paraId="1034E91F" w14:textId="77777777" w:rsidR="009A6C19" w:rsidRPr="00A976F9" w:rsidRDefault="009A6C19" w:rsidP="009A6C19">
      <w:pPr>
        <w:spacing w:line="360" w:lineRule="auto"/>
        <w:rPr>
          <w:rFonts w:ascii="Arial" w:hAnsi="Arial" w:cs="Arial"/>
        </w:rPr>
      </w:pPr>
      <w:r w:rsidRPr="00A976F9">
        <w:rPr>
          <w:rFonts w:ascii="Arial" w:hAnsi="Arial" w:cs="Arial"/>
        </w:rPr>
        <w:t>Kahneman, D. (2011) </w:t>
      </w:r>
      <w:r w:rsidRPr="00A976F9">
        <w:rPr>
          <w:rFonts w:ascii="Arial" w:hAnsi="Arial" w:cs="Arial"/>
          <w:i/>
          <w:iCs/>
        </w:rPr>
        <w:t>Thinking, fast and slow</w:t>
      </w:r>
      <w:r w:rsidRPr="00A976F9">
        <w:rPr>
          <w:rFonts w:ascii="Arial" w:hAnsi="Arial" w:cs="Arial"/>
        </w:rPr>
        <w:t>. Penguin UK.</w:t>
      </w:r>
    </w:p>
    <w:p w14:paraId="58E0115E" w14:textId="77777777" w:rsidR="009A6C19" w:rsidRPr="009A6C19" w:rsidRDefault="009A6C19" w:rsidP="009A6C19">
      <w:pPr>
        <w:spacing w:line="360" w:lineRule="auto"/>
        <w:rPr>
          <w:rFonts w:ascii="Arial" w:hAnsi="Arial" w:cs="Arial"/>
        </w:rPr>
      </w:pPr>
      <w:r w:rsidRPr="00A976F9">
        <w:rPr>
          <w:rFonts w:ascii="Arial" w:hAnsi="Arial" w:cs="Arial"/>
        </w:rPr>
        <w:t>Kassin, S.M., Dror, I.E. and Kukucka, J. (2013) 'The forensic confirmation bias: Problems, perspectives, and proposed solutions.,' </w:t>
      </w:r>
      <w:r w:rsidRPr="00A976F9">
        <w:rPr>
          <w:rFonts w:ascii="Arial" w:hAnsi="Arial" w:cs="Arial"/>
          <w:i/>
          <w:iCs/>
        </w:rPr>
        <w:t>Journal of Applied Research in Memory and Cognition</w:t>
      </w:r>
      <w:r w:rsidRPr="00A976F9">
        <w:rPr>
          <w:rFonts w:ascii="Arial" w:hAnsi="Arial" w:cs="Arial"/>
        </w:rPr>
        <w:t>, 2(1), pp. 42–52. </w:t>
      </w:r>
      <w:hyperlink r:id="rId21" w:history="1">
        <w:r w:rsidRPr="00A976F9">
          <w:rPr>
            <w:rStyle w:val="Hyperlink"/>
            <w:rFonts w:ascii="Arial" w:hAnsi="Arial" w:cs="Arial"/>
          </w:rPr>
          <w:t>https://doi.org/10.1016/j.jarmac.2013.01.001</w:t>
        </w:r>
      </w:hyperlink>
      <w:r w:rsidRPr="00A976F9">
        <w:rPr>
          <w:rFonts w:ascii="Arial" w:hAnsi="Arial" w:cs="Arial"/>
        </w:rPr>
        <w:t>.</w:t>
      </w:r>
      <w:r w:rsidRPr="009A6C19">
        <w:rPr>
          <w:rFonts w:ascii="Arial" w:hAnsi="Arial" w:cs="Arial"/>
        </w:rPr>
        <w:t xml:space="preserve"> (Accessed 12 May 2025)</w:t>
      </w:r>
    </w:p>
    <w:p w14:paraId="27072B73" w14:textId="77777777" w:rsidR="009A6C19" w:rsidRPr="009A6C19" w:rsidRDefault="009A6C19" w:rsidP="009A6C19">
      <w:pPr>
        <w:spacing w:line="360" w:lineRule="auto"/>
        <w:rPr>
          <w:rFonts w:ascii="Arial" w:hAnsi="Arial" w:cs="Arial"/>
        </w:rPr>
      </w:pPr>
      <w:proofErr w:type="spellStart"/>
      <w:r w:rsidRPr="00A976F9">
        <w:rPr>
          <w:rFonts w:ascii="Arial" w:hAnsi="Arial" w:cs="Arial"/>
        </w:rPr>
        <w:t>Kumpfer</w:t>
      </w:r>
      <w:proofErr w:type="spellEnd"/>
      <w:r w:rsidRPr="00A976F9">
        <w:rPr>
          <w:rFonts w:ascii="Arial" w:hAnsi="Arial" w:cs="Arial"/>
        </w:rPr>
        <w:t xml:space="preserve">, K.L. and Alvarado, R. (2003) 'Family-strengthening approaches for the prevention of youth problem </w:t>
      </w:r>
      <w:proofErr w:type="spellStart"/>
      <w:r w:rsidRPr="00A976F9">
        <w:rPr>
          <w:rFonts w:ascii="Arial" w:hAnsi="Arial" w:cs="Arial"/>
        </w:rPr>
        <w:t>behaviors</w:t>
      </w:r>
      <w:proofErr w:type="spellEnd"/>
      <w:r w:rsidRPr="00A976F9">
        <w:rPr>
          <w:rFonts w:ascii="Arial" w:hAnsi="Arial" w:cs="Arial"/>
        </w:rPr>
        <w:t>.,' </w:t>
      </w:r>
      <w:r w:rsidRPr="00A976F9">
        <w:rPr>
          <w:rFonts w:ascii="Arial" w:hAnsi="Arial" w:cs="Arial"/>
          <w:i/>
          <w:iCs/>
        </w:rPr>
        <w:t>American Psychologist</w:t>
      </w:r>
      <w:r w:rsidRPr="00A976F9">
        <w:rPr>
          <w:rFonts w:ascii="Arial" w:hAnsi="Arial" w:cs="Arial"/>
        </w:rPr>
        <w:t>, 58(6–7), pp. 457–465. </w:t>
      </w:r>
      <w:hyperlink r:id="rId22" w:history="1">
        <w:r w:rsidRPr="00A976F9">
          <w:rPr>
            <w:rStyle w:val="Hyperlink"/>
            <w:rFonts w:ascii="Arial" w:hAnsi="Arial" w:cs="Arial"/>
          </w:rPr>
          <w:t>https://doi.org/10.1037/0003-066x.58.6-7.457</w:t>
        </w:r>
      </w:hyperlink>
      <w:r w:rsidRPr="00A976F9">
        <w:rPr>
          <w:rFonts w:ascii="Arial" w:hAnsi="Arial" w:cs="Arial"/>
        </w:rPr>
        <w:t xml:space="preserve">. </w:t>
      </w:r>
      <w:r w:rsidRPr="009A6C19">
        <w:rPr>
          <w:rFonts w:ascii="Arial" w:hAnsi="Arial" w:cs="Arial"/>
        </w:rPr>
        <w:t>(Accessed 10 May 2025)</w:t>
      </w:r>
    </w:p>
    <w:p w14:paraId="591AAE9F" w14:textId="77777777" w:rsidR="009A6C19" w:rsidRPr="00A976F9" w:rsidRDefault="009A6C19" w:rsidP="009A6C19">
      <w:pPr>
        <w:spacing w:line="360" w:lineRule="auto"/>
        <w:rPr>
          <w:rFonts w:ascii="Arial" w:hAnsi="Arial" w:cs="Arial"/>
        </w:rPr>
      </w:pPr>
      <w:r w:rsidRPr="00A976F9">
        <w:rPr>
          <w:rFonts w:ascii="Arial" w:hAnsi="Arial" w:cs="Arial"/>
        </w:rPr>
        <w:t>Olds, D. </w:t>
      </w:r>
      <w:r w:rsidRPr="00A976F9">
        <w:rPr>
          <w:rFonts w:ascii="Arial" w:hAnsi="Arial" w:cs="Arial"/>
          <w:i/>
          <w:iCs/>
        </w:rPr>
        <w:t>et al.</w:t>
      </w:r>
      <w:r w:rsidRPr="00A976F9">
        <w:rPr>
          <w:rFonts w:ascii="Arial" w:hAnsi="Arial" w:cs="Arial"/>
        </w:rPr>
        <w:t> (1998) 'Reducing risks for antisocial behaviour with a program of prenatal and early childhood home visitation,' </w:t>
      </w:r>
      <w:r w:rsidRPr="00A976F9">
        <w:rPr>
          <w:rFonts w:ascii="Arial" w:hAnsi="Arial" w:cs="Arial"/>
          <w:i/>
          <w:iCs/>
        </w:rPr>
        <w:t>JOURNAL OF COMMUNITY PSYCHOLOGY</w:t>
      </w:r>
      <w:r w:rsidRPr="00A976F9">
        <w:rPr>
          <w:rFonts w:ascii="Arial" w:hAnsi="Arial" w:cs="Arial"/>
        </w:rPr>
        <w:t xml:space="preserve">. Translated by </w:t>
      </w:r>
      <w:r w:rsidRPr="00A976F9">
        <w:rPr>
          <w:rFonts w:ascii="Arial" w:hAnsi="Arial" w:cs="Arial"/>
        </w:rPr>
        <w:lastRenderedPageBreak/>
        <w:t xml:space="preserve">J. Powers, 26(1), pp. 65–83. </w:t>
      </w:r>
      <w:hyperlink r:id="rId23" w:history="1">
        <w:r w:rsidRPr="00A976F9">
          <w:rPr>
            <w:rStyle w:val="Hyperlink"/>
            <w:rFonts w:ascii="Arial" w:hAnsi="Arial" w:cs="Arial"/>
          </w:rPr>
          <w:t>https://doi.org/10.1002/(SICI)1520-6629(199801)26:1&lt;65::AID-JCOP6&gt;3.0.CO;2-0</w:t>
        </w:r>
      </w:hyperlink>
      <w:r w:rsidRPr="009A6C19">
        <w:rPr>
          <w:rFonts w:ascii="Arial" w:hAnsi="Arial" w:cs="Arial"/>
        </w:rPr>
        <w:t xml:space="preserve"> (Accessed 20 May 2025)</w:t>
      </w:r>
    </w:p>
    <w:p w14:paraId="6FA9ED6A" w14:textId="77777777" w:rsidR="009A6C19" w:rsidRPr="00A976F9" w:rsidRDefault="009A6C19" w:rsidP="009A6C19">
      <w:pPr>
        <w:spacing w:line="360" w:lineRule="auto"/>
        <w:rPr>
          <w:rFonts w:ascii="Arial" w:hAnsi="Arial" w:cs="Arial"/>
        </w:rPr>
      </w:pPr>
      <w:r w:rsidRPr="00A976F9">
        <w:rPr>
          <w:rFonts w:ascii="Arial" w:hAnsi="Arial" w:cs="Arial"/>
        </w:rPr>
        <w:t>Paulus, D. </w:t>
      </w:r>
      <w:r w:rsidRPr="00A976F9">
        <w:rPr>
          <w:rFonts w:ascii="Arial" w:hAnsi="Arial" w:cs="Arial"/>
          <w:i/>
          <w:iCs/>
        </w:rPr>
        <w:t>et al.</w:t>
      </w:r>
      <w:r w:rsidRPr="00A976F9">
        <w:rPr>
          <w:rFonts w:ascii="Arial" w:hAnsi="Arial" w:cs="Arial"/>
        </w:rPr>
        <w:t> (2022) 'The influence of cognitive bias on crisis decision-making: Experimental evidence on the comparison of bias effects between crisis decision-maker groups,' </w:t>
      </w:r>
      <w:r w:rsidRPr="00A976F9">
        <w:rPr>
          <w:rFonts w:ascii="Arial" w:hAnsi="Arial" w:cs="Arial"/>
          <w:i/>
          <w:iCs/>
        </w:rPr>
        <w:t>International Journal of Disaster Risk Reduction</w:t>
      </w:r>
      <w:r w:rsidRPr="00A976F9">
        <w:rPr>
          <w:rFonts w:ascii="Arial" w:hAnsi="Arial" w:cs="Arial"/>
        </w:rPr>
        <w:t>, 82, p. 103379. https://doi.org/10.1016/j.ijdrr.2022.103379. (Accessed 8 May 2025).</w:t>
      </w:r>
    </w:p>
    <w:p w14:paraId="6505EBAC" w14:textId="77777777" w:rsidR="009A6C19" w:rsidRPr="009A6C19" w:rsidRDefault="009A6C19" w:rsidP="009A6C19">
      <w:pPr>
        <w:spacing w:line="360" w:lineRule="auto"/>
        <w:rPr>
          <w:rFonts w:ascii="Arial" w:hAnsi="Arial" w:cs="Arial"/>
        </w:rPr>
      </w:pPr>
      <w:r w:rsidRPr="00A976F9">
        <w:rPr>
          <w:rFonts w:ascii="Arial" w:hAnsi="Arial" w:cs="Arial"/>
        </w:rPr>
        <w:t>Paver, A. </w:t>
      </w:r>
      <w:r w:rsidRPr="00A976F9">
        <w:rPr>
          <w:rFonts w:ascii="Arial" w:hAnsi="Arial" w:cs="Arial"/>
          <w:i/>
          <w:iCs/>
        </w:rPr>
        <w:t>et al.</w:t>
      </w:r>
      <w:r w:rsidRPr="00A976F9">
        <w:rPr>
          <w:rFonts w:ascii="Arial" w:hAnsi="Arial" w:cs="Arial"/>
        </w:rPr>
        <w:t> (2025) 'Stereotyped accent judgements in forensic contexts: listener perceptions of social traits and types of behaviour,' </w:t>
      </w:r>
      <w:r w:rsidRPr="00A976F9">
        <w:rPr>
          <w:rFonts w:ascii="Arial" w:hAnsi="Arial" w:cs="Arial"/>
          <w:i/>
          <w:iCs/>
        </w:rPr>
        <w:t>Frontiers in Communication</w:t>
      </w:r>
      <w:r w:rsidRPr="00A976F9">
        <w:rPr>
          <w:rFonts w:ascii="Arial" w:hAnsi="Arial" w:cs="Arial"/>
        </w:rPr>
        <w:t>, 9. </w:t>
      </w:r>
      <w:hyperlink r:id="rId24" w:history="1">
        <w:r w:rsidRPr="00A976F9">
          <w:rPr>
            <w:rStyle w:val="Hyperlink"/>
            <w:rFonts w:ascii="Arial" w:hAnsi="Arial" w:cs="Arial"/>
          </w:rPr>
          <w:t>https://doi.org/10.3389/fcomm.2024.1462013</w:t>
        </w:r>
      </w:hyperlink>
      <w:r w:rsidRPr="00A976F9">
        <w:rPr>
          <w:rFonts w:ascii="Arial" w:hAnsi="Arial" w:cs="Arial"/>
        </w:rPr>
        <w:t xml:space="preserve"> (Accessed 8 May 2025).</w:t>
      </w:r>
    </w:p>
    <w:p w14:paraId="2F2F228B" w14:textId="77777777" w:rsidR="009A6C19" w:rsidRPr="009A6C19" w:rsidRDefault="009A6C19" w:rsidP="009A6C19">
      <w:pPr>
        <w:spacing w:line="360" w:lineRule="auto"/>
        <w:rPr>
          <w:rFonts w:ascii="Arial" w:hAnsi="Arial" w:cs="Arial"/>
        </w:rPr>
      </w:pPr>
      <w:proofErr w:type="spellStart"/>
      <w:r w:rsidRPr="00A976F9">
        <w:rPr>
          <w:rFonts w:ascii="Arial" w:hAnsi="Arial" w:cs="Arial"/>
        </w:rPr>
        <w:t>Machura</w:t>
      </w:r>
      <w:proofErr w:type="spellEnd"/>
      <w:r w:rsidRPr="00A976F9">
        <w:rPr>
          <w:rFonts w:ascii="Arial" w:hAnsi="Arial" w:cs="Arial"/>
        </w:rPr>
        <w:t>, S. </w:t>
      </w:r>
      <w:r w:rsidRPr="00A976F9">
        <w:rPr>
          <w:rFonts w:ascii="Arial" w:hAnsi="Arial" w:cs="Arial"/>
          <w:i/>
          <w:iCs/>
        </w:rPr>
        <w:t>et al.</w:t>
      </w:r>
      <w:r w:rsidRPr="00A976F9">
        <w:rPr>
          <w:rFonts w:ascii="Arial" w:hAnsi="Arial" w:cs="Arial"/>
        </w:rPr>
        <w:t> (2018) 'Recognizing modern slavery,' </w:t>
      </w:r>
      <w:r w:rsidRPr="00A976F9">
        <w:rPr>
          <w:rFonts w:ascii="Arial" w:hAnsi="Arial" w:cs="Arial"/>
          <w:i/>
          <w:iCs/>
        </w:rPr>
        <w:t>Journal of Human Trafficking</w:t>
      </w:r>
      <w:r w:rsidRPr="00A976F9">
        <w:rPr>
          <w:rFonts w:ascii="Arial" w:hAnsi="Arial" w:cs="Arial"/>
        </w:rPr>
        <w:t>, 5(3), pp. 201–219. </w:t>
      </w:r>
      <w:hyperlink r:id="rId25" w:history="1">
        <w:r w:rsidRPr="00A976F9">
          <w:rPr>
            <w:rStyle w:val="Hyperlink"/>
            <w:rFonts w:ascii="Arial" w:hAnsi="Arial" w:cs="Arial"/>
          </w:rPr>
          <w:t>https://doi.org/10.1080/23322705.2018.1471863</w:t>
        </w:r>
      </w:hyperlink>
      <w:r w:rsidRPr="00A976F9">
        <w:rPr>
          <w:rFonts w:ascii="Arial" w:hAnsi="Arial" w:cs="Arial"/>
        </w:rPr>
        <w:t>.</w:t>
      </w:r>
      <w:r w:rsidRPr="009A6C19">
        <w:rPr>
          <w:rFonts w:ascii="Arial" w:hAnsi="Arial" w:cs="Arial"/>
        </w:rPr>
        <w:t xml:space="preserve"> (Accessed 10 May 2025)</w:t>
      </w:r>
    </w:p>
    <w:p w14:paraId="3E4CE80B" w14:textId="77777777" w:rsidR="009A6C19" w:rsidRPr="00A976F9" w:rsidRDefault="009A6C19" w:rsidP="009A6C19">
      <w:pPr>
        <w:spacing w:line="360" w:lineRule="auto"/>
        <w:rPr>
          <w:rFonts w:ascii="Arial" w:hAnsi="Arial" w:cs="Arial"/>
        </w:rPr>
      </w:pPr>
      <w:r w:rsidRPr="00A976F9">
        <w:rPr>
          <w:rFonts w:ascii="Arial" w:hAnsi="Arial" w:cs="Arial"/>
        </w:rPr>
        <w:t>Maslach, C. and Leiter, M.P. (1997) </w:t>
      </w:r>
      <w:r w:rsidRPr="00A976F9">
        <w:rPr>
          <w:rFonts w:ascii="Arial" w:hAnsi="Arial" w:cs="Arial"/>
          <w:i/>
          <w:iCs/>
        </w:rPr>
        <w:t>The Truth about Burnout: How Organizations Cause Personal Stress and What to Do about It</w:t>
      </w:r>
      <w:r w:rsidRPr="00A976F9">
        <w:rPr>
          <w:rFonts w:ascii="Arial" w:hAnsi="Arial" w:cs="Arial"/>
        </w:rPr>
        <w:t>. Jossey-Bass.</w:t>
      </w:r>
      <w:r w:rsidRPr="009A6C19">
        <w:rPr>
          <w:rFonts w:ascii="Arial" w:hAnsi="Arial" w:cs="Arial"/>
        </w:rPr>
        <w:t xml:space="preserve"> </w:t>
      </w:r>
    </w:p>
    <w:p w14:paraId="276EB4A8" w14:textId="77777777" w:rsidR="009A6C19" w:rsidRPr="00A976F9" w:rsidRDefault="009A6C19" w:rsidP="009A6C19">
      <w:pPr>
        <w:spacing w:line="360" w:lineRule="auto"/>
        <w:rPr>
          <w:rFonts w:ascii="Arial" w:hAnsi="Arial" w:cs="Arial"/>
        </w:rPr>
      </w:pPr>
      <w:r w:rsidRPr="00A976F9">
        <w:rPr>
          <w:rFonts w:ascii="Arial" w:hAnsi="Arial" w:cs="Arial"/>
        </w:rPr>
        <w:t xml:space="preserve">Markham, A. (2017) 'A review following systematic principles of multisystemic therapy for antisocial </w:t>
      </w:r>
      <w:proofErr w:type="spellStart"/>
      <w:r w:rsidRPr="00A976F9">
        <w:rPr>
          <w:rFonts w:ascii="Arial" w:hAnsi="Arial" w:cs="Arial"/>
        </w:rPr>
        <w:t>behavior</w:t>
      </w:r>
      <w:proofErr w:type="spellEnd"/>
      <w:r w:rsidRPr="00A976F9">
        <w:rPr>
          <w:rFonts w:ascii="Arial" w:hAnsi="Arial" w:cs="Arial"/>
        </w:rPr>
        <w:t xml:space="preserve"> in adolescents aged 10–17 years,' </w:t>
      </w:r>
      <w:r w:rsidRPr="00A976F9">
        <w:rPr>
          <w:rFonts w:ascii="Arial" w:hAnsi="Arial" w:cs="Arial"/>
          <w:i/>
          <w:iCs/>
        </w:rPr>
        <w:t>Adolescent Research Review</w:t>
      </w:r>
      <w:r w:rsidRPr="00A976F9">
        <w:rPr>
          <w:rFonts w:ascii="Arial" w:hAnsi="Arial" w:cs="Arial"/>
        </w:rPr>
        <w:t>, 3(1), pp. 67–93. </w:t>
      </w:r>
      <w:hyperlink r:id="rId26" w:history="1">
        <w:r w:rsidRPr="00A976F9">
          <w:rPr>
            <w:rStyle w:val="Hyperlink"/>
            <w:rFonts w:ascii="Arial" w:hAnsi="Arial" w:cs="Arial"/>
          </w:rPr>
          <w:t>https://doi.org/10.1007/s40894-017-0072-1</w:t>
        </w:r>
      </w:hyperlink>
      <w:r w:rsidRPr="00A976F9">
        <w:rPr>
          <w:rFonts w:ascii="Arial" w:hAnsi="Arial" w:cs="Arial"/>
        </w:rPr>
        <w:t xml:space="preserve">. </w:t>
      </w:r>
      <w:r w:rsidRPr="009A6C19">
        <w:rPr>
          <w:rFonts w:ascii="Arial" w:hAnsi="Arial" w:cs="Arial"/>
        </w:rPr>
        <w:t>(Accessed 14 May 2025)</w:t>
      </w:r>
    </w:p>
    <w:p w14:paraId="5D154F85" w14:textId="77777777" w:rsidR="009A6C19" w:rsidRPr="009A6C19" w:rsidRDefault="009A6C19" w:rsidP="009A6C19">
      <w:pPr>
        <w:spacing w:line="360" w:lineRule="auto"/>
        <w:rPr>
          <w:rFonts w:ascii="Arial" w:hAnsi="Arial" w:cs="Arial"/>
        </w:rPr>
      </w:pPr>
      <w:r w:rsidRPr="00A976F9">
        <w:rPr>
          <w:rFonts w:ascii="Arial" w:hAnsi="Arial" w:cs="Arial"/>
        </w:rPr>
        <w:t>McAra, L. and McVie, S. (2010) 'Youth crime and justice: Key messages from the Edinburgh Study of Youth Transitions and Crime,' </w:t>
      </w:r>
      <w:r w:rsidRPr="00A976F9">
        <w:rPr>
          <w:rFonts w:ascii="Arial" w:hAnsi="Arial" w:cs="Arial"/>
          <w:i/>
          <w:iCs/>
        </w:rPr>
        <w:t>Criminology &amp; Criminal Justice</w:t>
      </w:r>
      <w:r w:rsidRPr="00A976F9">
        <w:rPr>
          <w:rFonts w:ascii="Arial" w:hAnsi="Arial" w:cs="Arial"/>
        </w:rPr>
        <w:t>, 10(2), pp. 179–209. </w:t>
      </w:r>
      <w:hyperlink r:id="rId27" w:history="1">
        <w:r w:rsidRPr="00A976F9">
          <w:rPr>
            <w:rStyle w:val="Hyperlink"/>
            <w:rFonts w:ascii="Arial" w:hAnsi="Arial" w:cs="Arial"/>
          </w:rPr>
          <w:t>https://doi.org/10.1177/1748895809360971</w:t>
        </w:r>
      </w:hyperlink>
      <w:r w:rsidRPr="00A976F9">
        <w:rPr>
          <w:rFonts w:ascii="Arial" w:hAnsi="Arial" w:cs="Arial"/>
        </w:rPr>
        <w:t xml:space="preserve">. </w:t>
      </w:r>
      <w:r w:rsidRPr="009A6C19">
        <w:rPr>
          <w:rFonts w:ascii="Arial" w:hAnsi="Arial" w:cs="Arial"/>
        </w:rPr>
        <w:t>(Accessed 22 May 2025)</w:t>
      </w:r>
    </w:p>
    <w:p w14:paraId="15988DE4" w14:textId="77777777" w:rsidR="009A6C19" w:rsidRPr="009A6C19" w:rsidRDefault="009A6C19" w:rsidP="009A6C19">
      <w:pPr>
        <w:spacing w:line="360" w:lineRule="auto"/>
        <w:rPr>
          <w:rFonts w:ascii="Arial" w:hAnsi="Arial" w:cs="Arial"/>
        </w:rPr>
      </w:pPr>
      <w:r w:rsidRPr="00A976F9">
        <w:rPr>
          <w:rFonts w:ascii="Arial" w:hAnsi="Arial" w:cs="Arial"/>
        </w:rPr>
        <w:t>McCarty, W.P., Zhao, J. “Solomon” and Garland, B.E. (2007) 'Occupational stress and burnout between male and female police officers,' </w:t>
      </w:r>
      <w:r w:rsidRPr="00A976F9">
        <w:rPr>
          <w:rFonts w:ascii="Arial" w:hAnsi="Arial" w:cs="Arial"/>
          <w:i/>
          <w:iCs/>
        </w:rPr>
        <w:t>Policing an International Journal</w:t>
      </w:r>
      <w:r w:rsidRPr="00A976F9">
        <w:rPr>
          <w:rFonts w:ascii="Arial" w:hAnsi="Arial" w:cs="Arial"/>
        </w:rPr>
        <w:t>, 30(4), pp. 672–691. </w:t>
      </w:r>
      <w:hyperlink r:id="rId28" w:history="1">
        <w:r w:rsidRPr="00A976F9">
          <w:rPr>
            <w:rStyle w:val="Hyperlink"/>
            <w:rFonts w:ascii="Arial" w:hAnsi="Arial" w:cs="Arial"/>
          </w:rPr>
          <w:t>https://doi.org/10.1108/13639510710833938</w:t>
        </w:r>
      </w:hyperlink>
      <w:r w:rsidRPr="00A976F9">
        <w:rPr>
          <w:rFonts w:ascii="Arial" w:hAnsi="Arial" w:cs="Arial"/>
        </w:rPr>
        <w:t>.</w:t>
      </w:r>
      <w:r w:rsidRPr="009A6C19">
        <w:rPr>
          <w:rFonts w:ascii="Arial" w:hAnsi="Arial" w:cs="Arial"/>
        </w:rPr>
        <w:t xml:space="preserve"> (Accessed 24 May 2025)</w:t>
      </w:r>
    </w:p>
    <w:p w14:paraId="18881EE0" w14:textId="77777777" w:rsidR="009A6C19" w:rsidRPr="00A976F9" w:rsidRDefault="009A6C19" w:rsidP="009A6C19">
      <w:pPr>
        <w:spacing w:line="360" w:lineRule="auto"/>
        <w:rPr>
          <w:rFonts w:ascii="Arial" w:hAnsi="Arial" w:cs="Arial"/>
        </w:rPr>
      </w:pPr>
      <w:bookmarkStart w:id="11" w:name="_Hlk199160475"/>
      <w:r w:rsidRPr="00A976F9">
        <w:rPr>
          <w:rFonts w:ascii="Arial" w:hAnsi="Arial" w:cs="Arial"/>
        </w:rPr>
        <w:t>McEwan, D. (2018)</w:t>
      </w:r>
      <w:bookmarkEnd w:id="11"/>
      <w:r w:rsidRPr="00A976F9">
        <w:rPr>
          <w:rFonts w:ascii="Arial" w:hAnsi="Arial" w:cs="Arial"/>
        </w:rPr>
        <w:t> </w:t>
      </w:r>
      <w:r w:rsidRPr="00A976F9">
        <w:rPr>
          <w:rFonts w:ascii="Arial" w:hAnsi="Arial" w:cs="Arial"/>
          <w:i/>
          <w:iCs/>
        </w:rPr>
        <w:t xml:space="preserve">Diverting children and </w:t>
      </w:r>
      <w:proofErr w:type="gramStart"/>
      <w:r w:rsidRPr="00A976F9">
        <w:rPr>
          <w:rFonts w:ascii="Arial" w:hAnsi="Arial" w:cs="Arial"/>
          <w:i/>
          <w:iCs/>
        </w:rPr>
        <w:t>young  people</w:t>
      </w:r>
      <w:proofErr w:type="gramEnd"/>
      <w:r w:rsidRPr="00A976F9">
        <w:rPr>
          <w:rFonts w:ascii="Arial" w:hAnsi="Arial" w:cs="Arial"/>
          <w:i/>
          <w:iCs/>
        </w:rPr>
        <w:t xml:space="preserve"> from Serious </w:t>
      </w:r>
      <w:proofErr w:type="gramStart"/>
      <w:r w:rsidRPr="00A976F9">
        <w:rPr>
          <w:rFonts w:ascii="Arial" w:hAnsi="Arial" w:cs="Arial"/>
          <w:i/>
          <w:iCs/>
        </w:rPr>
        <w:t>and  Organised</w:t>
      </w:r>
      <w:proofErr w:type="gramEnd"/>
      <w:r w:rsidRPr="00A976F9">
        <w:rPr>
          <w:rFonts w:ascii="Arial" w:hAnsi="Arial" w:cs="Arial"/>
          <w:i/>
          <w:iCs/>
        </w:rPr>
        <w:t xml:space="preserve"> Crime (SOC): Guidance for Practice </w:t>
      </w:r>
      <w:proofErr w:type="gramStart"/>
      <w:r w:rsidRPr="00A976F9">
        <w:rPr>
          <w:rFonts w:ascii="Arial" w:hAnsi="Arial" w:cs="Arial"/>
          <w:i/>
          <w:iCs/>
        </w:rPr>
        <w:t>on  Recognising</w:t>
      </w:r>
      <w:proofErr w:type="gramEnd"/>
      <w:r w:rsidRPr="00A976F9">
        <w:rPr>
          <w:rFonts w:ascii="Arial" w:hAnsi="Arial" w:cs="Arial"/>
          <w:i/>
          <w:iCs/>
        </w:rPr>
        <w:t xml:space="preserve"> and Preventing </w:t>
      </w:r>
      <w:proofErr w:type="gramStart"/>
      <w:r w:rsidRPr="00A976F9">
        <w:rPr>
          <w:rFonts w:ascii="Arial" w:hAnsi="Arial" w:cs="Arial"/>
          <w:i/>
          <w:iCs/>
        </w:rPr>
        <w:t>the  Exploitation</w:t>
      </w:r>
      <w:proofErr w:type="gramEnd"/>
      <w:r w:rsidRPr="00A976F9">
        <w:rPr>
          <w:rFonts w:ascii="Arial" w:hAnsi="Arial" w:cs="Arial"/>
          <w:i/>
          <w:iCs/>
        </w:rPr>
        <w:t xml:space="preserve"> of Children by SOC</w:t>
      </w:r>
      <w:r w:rsidRPr="00A976F9">
        <w:rPr>
          <w:rFonts w:ascii="Arial" w:hAnsi="Arial" w:cs="Arial"/>
        </w:rPr>
        <w:t>, </w:t>
      </w:r>
      <w:r w:rsidRPr="00A976F9">
        <w:rPr>
          <w:rFonts w:ascii="Arial" w:hAnsi="Arial" w:cs="Arial"/>
          <w:i/>
          <w:iCs/>
        </w:rPr>
        <w:t>Centre for Youth &amp; Criminal Justice</w:t>
      </w:r>
      <w:r w:rsidRPr="00A976F9">
        <w:rPr>
          <w:rFonts w:ascii="Arial" w:hAnsi="Arial" w:cs="Arial"/>
        </w:rPr>
        <w:t>. </w:t>
      </w:r>
      <w:hyperlink r:id="rId29" w:history="1">
        <w:r w:rsidRPr="00A976F9">
          <w:rPr>
            <w:rStyle w:val="Hyperlink"/>
            <w:rFonts w:ascii="Arial" w:hAnsi="Arial" w:cs="Arial"/>
          </w:rPr>
          <w:t>https://strathprints.strath.ac.uk/68063/1/McEwan_CYCJ2018_diverting_children_and_young_people_from_serious_and_organised_crime.pdf</w:t>
        </w:r>
      </w:hyperlink>
      <w:r w:rsidRPr="00A976F9">
        <w:rPr>
          <w:rFonts w:ascii="Arial" w:hAnsi="Arial" w:cs="Arial"/>
        </w:rPr>
        <w:t>.</w:t>
      </w:r>
      <w:r w:rsidRPr="009A6C19">
        <w:rPr>
          <w:rFonts w:ascii="Arial" w:hAnsi="Arial" w:cs="Arial"/>
        </w:rPr>
        <w:t xml:space="preserve"> (Accessed 24 May 2025)</w:t>
      </w:r>
    </w:p>
    <w:p w14:paraId="39152FF2" w14:textId="77777777" w:rsidR="009A6C19" w:rsidRPr="009A6C19" w:rsidRDefault="009A6C19" w:rsidP="009A6C19">
      <w:pPr>
        <w:spacing w:line="360" w:lineRule="auto"/>
        <w:rPr>
          <w:rFonts w:ascii="Arial" w:hAnsi="Arial" w:cs="Arial"/>
        </w:rPr>
      </w:pPr>
      <w:r w:rsidRPr="00A976F9">
        <w:rPr>
          <w:rFonts w:ascii="Arial" w:hAnsi="Arial" w:cs="Arial"/>
        </w:rPr>
        <w:t>Meissner, C.A. and Brigham, J.C. (2001) 'Thirty years of investigating the own-race bias in memory for faces: A meta-analytic review.,' </w:t>
      </w:r>
      <w:r w:rsidRPr="00A976F9">
        <w:rPr>
          <w:rFonts w:ascii="Arial" w:hAnsi="Arial" w:cs="Arial"/>
          <w:i/>
          <w:iCs/>
        </w:rPr>
        <w:t>Psychology Public Policy and Law</w:t>
      </w:r>
      <w:r w:rsidRPr="00A976F9">
        <w:rPr>
          <w:rFonts w:ascii="Arial" w:hAnsi="Arial" w:cs="Arial"/>
        </w:rPr>
        <w:t>, 7(1), pp. 3–35. </w:t>
      </w:r>
      <w:hyperlink r:id="rId30" w:history="1">
        <w:r w:rsidRPr="00A976F9">
          <w:rPr>
            <w:rStyle w:val="Hyperlink"/>
            <w:rFonts w:ascii="Arial" w:hAnsi="Arial" w:cs="Arial"/>
          </w:rPr>
          <w:t>https://doi.org/10.1037/1076-8971.7.1.3</w:t>
        </w:r>
      </w:hyperlink>
      <w:r w:rsidRPr="00A976F9">
        <w:rPr>
          <w:rFonts w:ascii="Arial" w:hAnsi="Arial" w:cs="Arial"/>
        </w:rPr>
        <w:t>.</w:t>
      </w:r>
      <w:r w:rsidRPr="009A6C19">
        <w:rPr>
          <w:rFonts w:ascii="Arial" w:hAnsi="Arial" w:cs="Arial"/>
        </w:rPr>
        <w:t xml:space="preserve"> (Accessed 18 May 2025)</w:t>
      </w:r>
    </w:p>
    <w:p w14:paraId="7CDD3612" w14:textId="77777777" w:rsidR="009A6C19" w:rsidRPr="00A976F9" w:rsidRDefault="009A6C19" w:rsidP="009A6C19">
      <w:pPr>
        <w:spacing w:line="360" w:lineRule="auto"/>
        <w:rPr>
          <w:rFonts w:ascii="Arial" w:hAnsi="Arial" w:cs="Arial"/>
        </w:rPr>
      </w:pPr>
      <w:r w:rsidRPr="00A976F9">
        <w:rPr>
          <w:rFonts w:ascii="Arial" w:hAnsi="Arial" w:cs="Arial"/>
        </w:rPr>
        <w:t>Melhuish, E. </w:t>
      </w:r>
      <w:r w:rsidRPr="00A976F9">
        <w:rPr>
          <w:rFonts w:ascii="Arial" w:hAnsi="Arial" w:cs="Arial"/>
          <w:i/>
          <w:iCs/>
        </w:rPr>
        <w:t>et al.</w:t>
      </w:r>
      <w:r w:rsidRPr="00A976F9">
        <w:rPr>
          <w:rFonts w:ascii="Arial" w:hAnsi="Arial" w:cs="Arial"/>
        </w:rPr>
        <w:t xml:space="preserve"> (2008) 'Effects of fully-established Sure Start Local Programmes on 3-year-old children and their families living in England: a quasi-experimental observational </w:t>
      </w:r>
      <w:r w:rsidRPr="00A976F9">
        <w:rPr>
          <w:rFonts w:ascii="Arial" w:hAnsi="Arial" w:cs="Arial"/>
        </w:rPr>
        <w:lastRenderedPageBreak/>
        <w:t>study,' </w:t>
      </w:r>
      <w:r w:rsidRPr="00A976F9">
        <w:rPr>
          <w:rFonts w:ascii="Arial" w:hAnsi="Arial" w:cs="Arial"/>
          <w:i/>
          <w:iCs/>
        </w:rPr>
        <w:t>The Lancet</w:t>
      </w:r>
      <w:r w:rsidRPr="00A976F9">
        <w:rPr>
          <w:rFonts w:ascii="Arial" w:hAnsi="Arial" w:cs="Arial"/>
        </w:rPr>
        <w:t>, 372(9650), pp. 1641–1647. </w:t>
      </w:r>
      <w:hyperlink r:id="rId31" w:history="1">
        <w:r w:rsidRPr="00A976F9">
          <w:rPr>
            <w:rStyle w:val="Hyperlink"/>
            <w:rFonts w:ascii="Arial" w:hAnsi="Arial" w:cs="Arial"/>
          </w:rPr>
          <w:t>https://doi.org/10.1016/s0140-6736(08)61687-6</w:t>
        </w:r>
      </w:hyperlink>
      <w:r w:rsidRPr="00A976F9">
        <w:rPr>
          <w:rFonts w:ascii="Arial" w:hAnsi="Arial" w:cs="Arial"/>
        </w:rPr>
        <w:t xml:space="preserve">. </w:t>
      </w:r>
      <w:r w:rsidRPr="009A6C19">
        <w:rPr>
          <w:rFonts w:ascii="Arial" w:hAnsi="Arial" w:cs="Arial"/>
        </w:rPr>
        <w:t>(Accessed 10 May 2025)</w:t>
      </w:r>
    </w:p>
    <w:p w14:paraId="4D70449A" w14:textId="77777777" w:rsidR="009A6C19" w:rsidRPr="00A976F9" w:rsidRDefault="009A6C19" w:rsidP="009A6C19">
      <w:pPr>
        <w:spacing w:line="360" w:lineRule="auto"/>
        <w:rPr>
          <w:rFonts w:ascii="Arial" w:hAnsi="Arial" w:cs="Arial"/>
        </w:rPr>
      </w:pPr>
      <w:r w:rsidRPr="00A976F9">
        <w:rPr>
          <w:rFonts w:ascii="Arial" w:hAnsi="Arial" w:cs="Arial"/>
        </w:rPr>
        <w:t>Metzgar, C. (2013) 'Confirmation Bias: A Ubiquitous Phenomenon in Many Guises,' </w:t>
      </w:r>
      <w:r w:rsidRPr="00A976F9">
        <w:rPr>
          <w:rFonts w:ascii="Arial" w:hAnsi="Arial" w:cs="Arial"/>
          <w:i/>
          <w:iCs/>
        </w:rPr>
        <w:t>Professional safety, </w:t>
      </w:r>
      <w:r w:rsidRPr="00A976F9">
        <w:rPr>
          <w:rFonts w:ascii="Arial" w:hAnsi="Arial" w:cs="Arial"/>
        </w:rPr>
        <w:t xml:space="preserve">58(9), pp. 44-45. Available at: </w:t>
      </w:r>
      <w:hyperlink r:id="rId32" w:history="1">
        <w:r w:rsidRPr="00A976F9">
          <w:rPr>
            <w:rStyle w:val="Hyperlink"/>
            <w:rFonts w:ascii="Arial" w:hAnsi="Arial" w:cs="Arial"/>
          </w:rPr>
          <w:t>https://www.proquest.com/scholarly-journals/confirmation-bias-ubiquitous-phenomenon-many/docview/1490466939/se-2?accountid=130472</w:t>
        </w:r>
      </w:hyperlink>
      <w:r w:rsidRPr="00A976F9">
        <w:rPr>
          <w:rFonts w:ascii="Arial" w:hAnsi="Arial" w:cs="Arial"/>
        </w:rPr>
        <w:t>. (Accessed 12 May 2025).</w:t>
      </w:r>
    </w:p>
    <w:p w14:paraId="6704AFB8" w14:textId="77777777" w:rsidR="009A6C19" w:rsidRPr="009A6C19" w:rsidRDefault="009A6C19" w:rsidP="009A6C19">
      <w:pPr>
        <w:spacing w:line="360" w:lineRule="auto"/>
        <w:rPr>
          <w:rFonts w:ascii="Arial" w:hAnsi="Arial" w:cs="Arial"/>
        </w:rPr>
      </w:pPr>
      <w:r w:rsidRPr="00A976F9">
        <w:rPr>
          <w:rFonts w:ascii="Arial" w:hAnsi="Arial" w:cs="Arial"/>
        </w:rPr>
        <w:t>National Crime Agency (2023) *National Strategic Assessment of Serious and Organised Crime*. Available at: https://www.nationalcrimeagency.gov.uk/nsa-overview-of-soc-2025 (Accessed</w:t>
      </w:r>
      <w:r w:rsidRPr="009A6C19">
        <w:rPr>
          <w:rFonts w:ascii="Arial" w:hAnsi="Arial" w:cs="Arial"/>
        </w:rPr>
        <w:t xml:space="preserve"> </w:t>
      </w:r>
      <w:r w:rsidRPr="00A976F9">
        <w:rPr>
          <w:rFonts w:ascii="Arial" w:hAnsi="Arial" w:cs="Arial"/>
        </w:rPr>
        <w:t>15 May 2025).</w:t>
      </w:r>
    </w:p>
    <w:p w14:paraId="39D615A3" w14:textId="77777777" w:rsidR="009A6C19" w:rsidRPr="00A976F9" w:rsidRDefault="009A6C19" w:rsidP="009A6C19">
      <w:pPr>
        <w:spacing w:line="360" w:lineRule="auto"/>
        <w:rPr>
          <w:rFonts w:ascii="Arial" w:hAnsi="Arial" w:cs="Arial"/>
        </w:rPr>
      </w:pPr>
      <w:proofErr w:type="spellStart"/>
      <w:r w:rsidRPr="00A976F9">
        <w:rPr>
          <w:rFonts w:ascii="Arial" w:hAnsi="Arial" w:cs="Arial"/>
        </w:rPr>
        <w:t>Purba</w:t>
      </w:r>
      <w:proofErr w:type="spellEnd"/>
      <w:r w:rsidRPr="00A976F9">
        <w:rPr>
          <w:rFonts w:ascii="Arial" w:hAnsi="Arial" w:cs="Arial"/>
        </w:rPr>
        <w:t xml:space="preserve">, A. and </w:t>
      </w:r>
      <w:proofErr w:type="spellStart"/>
      <w:r w:rsidRPr="00A976F9">
        <w:rPr>
          <w:rFonts w:ascii="Arial" w:hAnsi="Arial" w:cs="Arial"/>
        </w:rPr>
        <w:t>Demou</w:t>
      </w:r>
      <w:proofErr w:type="spellEnd"/>
      <w:r w:rsidRPr="00A976F9">
        <w:rPr>
          <w:rFonts w:ascii="Arial" w:hAnsi="Arial" w:cs="Arial"/>
        </w:rPr>
        <w:t>, E. (2019) 'The relationship between organisational stressors and mental wellbeing within police officers: a systematic review,' </w:t>
      </w:r>
      <w:r w:rsidRPr="00A976F9">
        <w:rPr>
          <w:rFonts w:ascii="Arial" w:hAnsi="Arial" w:cs="Arial"/>
          <w:i/>
          <w:iCs/>
        </w:rPr>
        <w:t>BMC Public Health</w:t>
      </w:r>
      <w:r w:rsidRPr="00A976F9">
        <w:rPr>
          <w:rFonts w:ascii="Arial" w:hAnsi="Arial" w:cs="Arial"/>
        </w:rPr>
        <w:t>, 19(1). </w:t>
      </w:r>
      <w:hyperlink r:id="rId33" w:history="1">
        <w:r w:rsidRPr="00A976F9">
          <w:rPr>
            <w:rStyle w:val="Hyperlink"/>
            <w:rFonts w:ascii="Arial" w:hAnsi="Arial" w:cs="Arial"/>
          </w:rPr>
          <w:t>https://doi.org/10.1186/s12889-019-7609-0</w:t>
        </w:r>
      </w:hyperlink>
      <w:r w:rsidRPr="00A976F9">
        <w:rPr>
          <w:rFonts w:ascii="Arial" w:hAnsi="Arial" w:cs="Arial"/>
        </w:rPr>
        <w:t>.</w:t>
      </w:r>
      <w:r w:rsidRPr="009A6C19">
        <w:rPr>
          <w:rFonts w:ascii="Arial" w:hAnsi="Arial" w:cs="Arial"/>
        </w:rPr>
        <w:t xml:space="preserve"> (Accessed 12 May 2025)</w:t>
      </w:r>
    </w:p>
    <w:p w14:paraId="6508E85A" w14:textId="77777777" w:rsidR="009A6C19" w:rsidRPr="00A976F9" w:rsidRDefault="009A6C19" w:rsidP="009A6C19">
      <w:pPr>
        <w:spacing w:line="360" w:lineRule="auto"/>
        <w:rPr>
          <w:rFonts w:ascii="Arial" w:hAnsi="Arial" w:cs="Arial"/>
        </w:rPr>
      </w:pPr>
      <w:r w:rsidRPr="00A976F9">
        <w:rPr>
          <w:rFonts w:ascii="Arial" w:hAnsi="Arial" w:cs="Arial"/>
        </w:rPr>
        <w:t xml:space="preserve">Quin, E. (2024) 'Trends in absences owing to psychological illnesses in ‘frontline’ and ‘response’ officers in England and Wales,' Police Practice and Research, pp. 1–9. </w:t>
      </w:r>
      <w:hyperlink r:id="rId34" w:history="1">
        <w:r w:rsidRPr="00A976F9">
          <w:rPr>
            <w:rStyle w:val="Hyperlink"/>
            <w:rFonts w:ascii="Arial" w:hAnsi="Arial" w:cs="Arial"/>
          </w:rPr>
          <w:t>https://doi.org/10.1080/15614263.2024.2375500</w:t>
        </w:r>
      </w:hyperlink>
      <w:r w:rsidRPr="00A976F9">
        <w:rPr>
          <w:rFonts w:ascii="Arial" w:hAnsi="Arial" w:cs="Arial"/>
        </w:rPr>
        <w:t xml:space="preserve">. </w:t>
      </w:r>
      <w:r w:rsidRPr="009A6C19">
        <w:rPr>
          <w:rFonts w:ascii="Arial" w:hAnsi="Arial" w:cs="Arial"/>
        </w:rPr>
        <w:t>(Accessed 10 May 2025)</w:t>
      </w:r>
    </w:p>
    <w:p w14:paraId="21C6B23E" w14:textId="77777777" w:rsidR="009A6C19" w:rsidRPr="009A6C19" w:rsidRDefault="009A6C19" w:rsidP="009A6C19">
      <w:pPr>
        <w:spacing w:line="360" w:lineRule="auto"/>
        <w:rPr>
          <w:rFonts w:ascii="Arial" w:hAnsi="Arial" w:cs="Arial"/>
        </w:rPr>
      </w:pPr>
      <w:proofErr w:type="spellStart"/>
      <w:r w:rsidRPr="00A976F9">
        <w:rPr>
          <w:rFonts w:ascii="Arial" w:hAnsi="Arial" w:cs="Arial"/>
        </w:rPr>
        <w:t>Quinane</w:t>
      </w:r>
      <w:proofErr w:type="spellEnd"/>
      <w:r w:rsidRPr="00A976F9">
        <w:rPr>
          <w:rFonts w:ascii="Arial" w:hAnsi="Arial" w:cs="Arial"/>
        </w:rPr>
        <w:t xml:space="preserve">, E., </w:t>
      </w:r>
      <w:proofErr w:type="spellStart"/>
      <w:r w:rsidRPr="00A976F9">
        <w:rPr>
          <w:rFonts w:ascii="Arial" w:hAnsi="Arial" w:cs="Arial"/>
        </w:rPr>
        <w:t>Bardoel</w:t>
      </w:r>
      <w:proofErr w:type="spellEnd"/>
      <w:r w:rsidRPr="00A976F9">
        <w:rPr>
          <w:rFonts w:ascii="Arial" w:hAnsi="Arial" w:cs="Arial"/>
        </w:rPr>
        <w:t>, E.A. and Pervan, S. (2021) 'CEOs, leaders and managing mental health: a tension-</w:t>
      </w:r>
      <w:proofErr w:type="spellStart"/>
      <w:r w:rsidRPr="00A976F9">
        <w:rPr>
          <w:rFonts w:ascii="Arial" w:hAnsi="Arial" w:cs="Arial"/>
        </w:rPr>
        <w:t>centered</w:t>
      </w:r>
      <w:proofErr w:type="spellEnd"/>
      <w:r w:rsidRPr="00A976F9">
        <w:rPr>
          <w:rFonts w:ascii="Arial" w:hAnsi="Arial" w:cs="Arial"/>
        </w:rPr>
        <w:t xml:space="preserve"> approach,' </w:t>
      </w:r>
      <w:r w:rsidRPr="00A976F9">
        <w:rPr>
          <w:rFonts w:ascii="Arial" w:hAnsi="Arial" w:cs="Arial"/>
          <w:i/>
          <w:iCs/>
        </w:rPr>
        <w:t>The International Journal of Human Resource Management</w:t>
      </w:r>
      <w:r w:rsidRPr="00A976F9">
        <w:rPr>
          <w:rFonts w:ascii="Arial" w:hAnsi="Arial" w:cs="Arial"/>
        </w:rPr>
        <w:t>, 32(15), pp. 3157–3189. </w:t>
      </w:r>
      <w:hyperlink r:id="rId35" w:history="1">
        <w:r w:rsidRPr="00A976F9">
          <w:rPr>
            <w:rStyle w:val="Hyperlink"/>
            <w:rFonts w:ascii="Arial" w:hAnsi="Arial" w:cs="Arial"/>
          </w:rPr>
          <w:t>https://doi.org/10.1080/09585192.2021.1925325</w:t>
        </w:r>
      </w:hyperlink>
      <w:r w:rsidRPr="00A976F9">
        <w:rPr>
          <w:rFonts w:ascii="Arial" w:hAnsi="Arial" w:cs="Arial"/>
        </w:rPr>
        <w:t xml:space="preserve">. </w:t>
      </w:r>
      <w:r w:rsidRPr="009A6C19">
        <w:rPr>
          <w:rFonts w:ascii="Arial" w:hAnsi="Arial" w:cs="Arial"/>
        </w:rPr>
        <w:t>(Accessed 16 May 2025)</w:t>
      </w:r>
    </w:p>
    <w:p w14:paraId="5EB0BD6D" w14:textId="77777777" w:rsidR="009A6C19" w:rsidRPr="00A9679F" w:rsidRDefault="009A6C19" w:rsidP="009A6C19">
      <w:pPr>
        <w:spacing w:line="360" w:lineRule="auto"/>
        <w:rPr>
          <w:rFonts w:ascii="Arial" w:hAnsi="Arial" w:cs="Arial"/>
        </w:rPr>
      </w:pPr>
      <w:r w:rsidRPr="00A9679F">
        <w:rPr>
          <w:rFonts w:ascii="Arial" w:hAnsi="Arial" w:cs="Arial"/>
          <w:i/>
          <w:iCs/>
        </w:rPr>
        <w:t>Serious and Organised Crime Strategy</w:t>
      </w:r>
      <w:r w:rsidRPr="00A9679F">
        <w:rPr>
          <w:rFonts w:ascii="Arial" w:hAnsi="Arial" w:cs="Arial"/>
        </w:rPr>
        <w:t> (2018) </w:t>
      </w:r>
      <w:r w:rsidRPr="00A9679F">
        <w:rPr>
          <w:rFonts w:ascii="Arial" w:hAnsi="Arial" w:cs="Arial"/>
          <w:i/>
          <w:iCs/>
        </w:rPr>
        <w:t>Home Office</w:t>
      </w:r>
      <w:r w:rsidRPr="00A9679F">
        <w:rPr>
          <w:rFonts w:ascii="Arial" w:hAnsi="Arial" w:cs="Arial"/>
        </w:rPr>
        <w:t xml:space="preserve">. HM Government. Available at: </w:t>
      </w:r>
      <w:hyperlink r:id="rId36" w:history="1">
        <w:r w:rsidRPr="00A9679F">
          <w:rPr>
            <w:rStyle w:val="Hyperlink"/>
            <w:rFonts w:ascii="Arial" w:hAnsi="Arial" w:cs="Arial"/>
          </w:rPr>
          <w:t>https://www.gov.uk/government/publications/serious-and-organised-crime-strategy-2018/serious-and-organised-crime-strategy-accessible-version</w:t>
        </w:r>
      </w:hyperlink>
      <w:r w:rsidRPr="00A9679F">
        <w:rPr>
          <w:rFonts w:ascii="Arial" w:hAnsi="Arial" w:cs="Arial"/>
        </w:rPr>
        <w:t>.</w:t>
      </w:r>
      <w:r w:rsidRPr="009A6C19">
        <w:rPr>
          <w:rFonts w:ascii="Arial" w:hAnsi="Arial" w:cs="Arial"/>
        </w:rPr>
        <w:t xml:space="preserve"> (Accessed 18 May 2025)</w:t>
      </w:r>
    </w:p>
    <w:p w14:paraId="3D5FF4AF" w14:textId="77777777" w:rsidR="009A6C19" w:rsidRPr="009A6C19" w:rsidRDefault="009A6C19" w:rsidP="009A6C19">
      <w:pPr>
        <w:spacing w:line="360" w:lineRule="auto"/>
        <w:rPr>
          <w:rFonts w:ascii="Arial" w:hAnsi="Arial" w:cs="Arial"/>
        </w:rPr>
      </w:pPr>
      <w:r w:rsidRPr="00A976F9">
        <w:rPr>
          <w:rFonts w:ascii="Arial" w:hAnsi="Arial" w:cs="Arial"/>
        </w:rPr>
        <w:t>Silverman, R.A., Sampson, R.J. and Laub, J.H. (1994) 'Crime in the Making: Pathways and Turning Points through Life,' </w:t>
      </w:r>
      <w:r w:rsidRPr="00A976F9">
        <w:rPr>
          <w:rFonts w:ascii="Arial" w:hAnsi="Arial" w:cs="Arial"/>
          <w:i/>
          <w:iCs/>
        </w:rPr>
        <w:t>The Canadian Journal of Sociology</w:t>
      </w:r>
      <w:r w:rsidRPr="00A976F9">
        <w:rPr>
          <w:rFonts w:ascii="Arial" w:hAnsi="Arial" w:cs="Arial"/>
        </w:rPr>
        <w:t>, 19(3), p. 430-431. </w:t>
      </w:r>
      <w:hyperlink r:id="rId37" w:history="1">
        <w:r w:rsidRPr="00A976F9">
          <w:rPr>
            <w:rStyle w:val="Hyperlink"/>
            <w:rFonts w:ascii="Arial" w:hAnsi="Arial" w:cs="Arial"/>
          </w:rPr>
          <w:t>https://doi.org/10.2307/3340743</w:t>
        </w:r>
      </w:hyperlink>
      <w:r w:rsidRPr="00A976F9">
        <w:rPr>
          <w:rFonts w:ascii="Arial" w:hAnsi="Arial" w:cs="Arial"/>
        </w:rPr>
        <w:t xml:space="preserve"> </w:t>
      </w:r>
      <w:r w:rsidRPr="009A6C19">
        <w:rPr>
          <w:rFonts w:ascii="Arial" w:hAnsi="Arial" w:cs="Arial"/>
        </w:rPr>
        <w:t>(Accessed 15 May 2025)</w:t>
      </w:r>
    </w:p>
    <w:p w14:paraId="253AC19B" w14:textId="77777777" w:rsidR="009A6C19" w:rsidRPr="009A6C19" w:rsidRDefault="009A6C19" w:rsidP="009A6C19">
      <w:pPr>
        <w:spacing w:line="360" w:lineRule="auto"/>
        <w:rPr>
          <w:rFonts w:ascii="Arial" w:hAnsi="Arial" w:cs="Arial"/>
        </w:rPr>
      </w:pPr>
      <w:r w:rsidRPr="00A976F9">
        <w:rPr>
          <w:rFonts w:ascii="Arial" w:hAnsi="Arial" w:cs="Arial"/>
        </w:rPr>
        <w:t>Stevenson, M. (2021) 'Hidden in plain sight: the bystander effect and the mobilisation of modern slavery whistleblowing,' </w:t>
      </w:r>
      <w:r w:rsidRPr="00A976F9">
        <w:rPr>
          <w:rFonts w:ascii="Arial" w:hAnsi="Arial" w:cs="Arial"/>
          <w:i/>
          <w:iCs/>
        </w:rPr>
        <w:t>Supply Chain Management an International Journal</w:t>
      </w:r>
      <w:r w:rsidRPr="00A976F9">
        <w:rPr>
          <w:rFonts w:ascii="Arial" w:hAnsi="Arial" w:cs="Arial"/>
        </w:rPr>
        <w:t>, 27(1), pp. 128–139. </w:t>
      </w:r>
      <w:hyperlink r:id="rId38" w:history="1">
        <w:r w:rsidRPr="00A976F9">
          <w:rPr>
            <w:rStyle w:val="Hyperlink"/>
            <w:rFonts w:ascii="Arial" w:hAnsi="Arial" w:cs="Arial"/>
          </w:rPr>
          <w:t>https://doi.org/10.1108/scm-08-2020-0373</w:t>
        </w:r>
      </w:hyperlink>
      <w:r w:rsidRPr="00A976F9">
        <w:rPr>
          <w:rFonts w:ascii="Arial" w:hAnsi="Arial" w:cs="Arial"/>
        </w:rPr>
        <w:t>.</w:t>
      </w:r>
      <w:r w:rsidRPr="009A6C19">
        <w:rPr>
          <w:rFonts w:ascii="Arial" w:hAnsi="Arial" w:cs="Arial"/>
        </w:rPr>
        <w:t xml:space="preserve"> (Accessed 16 May 2025)</w:t>
      </w:r>
    </w:p>
    <w:p w14:paraId="5A221D97" w14:textId="77777777" w:rsidR="009A6C19" w:rsidRPr="00A976F9" w:rsidRDefault="009A6C19" w:rsidP="009A6C19">
      <w:pPr>
        <w:spacing w:line="360" w:lineRule="auto"/>
        <w:rPr>
          <w:rFonts w:ascii="Arial" w:hAnsi="Arial" w:cs="Arial"/>
        </w:rPr>
      </w:pPr>
      <w:r w:rsidRPr="00A976F9">
        <w:rPr>
          <w:rFonts w:ascii="Arial" w:hAnsi="Arial" w:cs="Arial"/>
        </w:rPr>
        <w:t>Stuart, H. (2008) 'Fighting the stigma caused by mental disorders: past perspectives, present activities, and future directions,' </w:t>
      </w:r>
      <w:r w:rsidRPr="00A976F9">
        <w:rPr>
          <w:rFonts w:ascii="Arial" w:hAnsi="Arial" w:cs="Arial"/>
          <w:i/>
          <w:iCs/>
        </w:rPr>
        <w:t>World Psychiatry</w:t>
      </w:r>
      <w:r w:rsidRPr="00A976F9">
        <w:rPr>
          <w:rFonts w:ascii="Arial" w:hAnsi="Arial" w:cs="Arial"/>
        </w:rPr>
        <w:t>, 7(3), pp. 185–188. </w:t>
      </w:r>
      <w:hyperlink r:id="rId39" w:history="1">
        <w:r w:rsidRPr="00A976F9">
          <w:rPr>
            <w:rStyle w:val="Hyperlink"/>
            <w:rFonts w:ascii="Arial" w:hAnsi="Arial" w:cs="Arial"/>
          </w:rPr>
          <w:t>https://doi.org/10.1002/j.2051-5545.2008.tb00194.x</w:t>
        </w:r>
      </w:hyperlink>
      <w:r w:rsidRPr="00A976F9">
        <w:rPr>
          <w:rFonts w:ascii="Arial" w:hAnsi="Arial" w:cs="Arial"/>
        </w:rPr>
        <w:t>.</w:t>
      </w:r>
      <w:r w:rsidRPr="009A6C19">
        <w:rPr>
          <w:rFonts w:ascii="Arial" w:hAnsi="Arial" w:cs="Arial"/>
        </w:rPr>
        <w:t xml:space="preserve"> (Accessed 18 May 2025)</w:t>
      </w:r>
    </w:p>
    <w:p w14:paraId="69D6123A" w14:textId="2D510F12" w:rsidR="009A6C19" w:rsidRPr="00A976F9" w:rsidRDefault="009A6C19" w:rsidP="009A6C19">
      <w:pPr>
        <w:spacing w:line="360" w:lineRule="auto"/>
        <w:rPr>
          <w:rFonts w:ascii="Arial" w:hAnsi="Arial" w:cs="Arial"/>
        </w:rPr>
      </w:pPr>
      <w:proofErr w:type="spellStart"/>
      <w:r w:rsidRPr="00A976F9">
        <w:rPr>
          <w:rFonts w:ascii="Arial" w:hAnsi="Arial" w:cs="Arial"/>
        </w:rPr>
        <w:lastRenderedPageBreak/>
        <w:t>TCullen</w:t>
      </w:r>
      <w:proofErr w:type="spellEnd"/>
      <w:r w:rsidRPr="00A976F9">
        <w:rPr>
          <w:rFonts w:ascii="Arial" w:hAnsi="Arial" w:cs="Arial"/>
        </w:rPr>
        <w:t>, F. and Wilcox, P. (2010) 'Merton, Robert K.: Social Structure and Anomie,' </w:t>
      </w:r>
      <w:proofErr w:type="spellStart"/>
      <w:r w:rsidRPr="00A976F9">
        <w:rPr>
          <w:rFonts w:ascii="Arial" w:hAnsi="Arial" w:cs="Arial"/>
          <w:i/>
          <w:iCs/>
        </w:rPr>
        <w:t>Encyclopedia</w:t>
      </w:r>
      <w:proofErr w:type="spellEnd"/>
      <w:r w:rsidRPr="00A976F9">
        <w:rPr>
          <w:rFonts w:ascii="Arial" w:hAnsi="Arial" w:cs="Arial"/>
          <w:i/>
          <w:iCs/>
        </w:rPr>
        <w:t xml:space="preserve"> of Criminological Theory</w:t>
      </w:r>
      <w:r w:rsidRPr="00A976F9">
        <w:rPr>
          <w:rFonts w:ascii="Arial" w:hAnsi="Arial" w:cs="Arial"/>
        </w:rPr>
        <w:t> [Preprint]. </w:t>
      </w:r>
      <w:hyperlink r:id="rId40" w:history="1">
        <w:r w:rsidRPr="00A976F9">
          <w:rPr>
            <w:rStyle w:val="Hyperlink"/>
            <w:rFonts w:ascii="Arial" w:hAnsi="Arial" w:cs="Arial"/>
          </w:rPr>
          <w:t>https://doi.org/10.4135/9781412959193.n171</w:t>
        </w:r>
      </w:hyperlink>
      <w:r w:rsidRPr="00A976F9">
        <w:rPr>
          <w:rFonts w:ascii="Arial" w:hAnsi="Arial" w:cs="Arial"/>
        </w:rPr>
        <w:t>.</w:t>
      </w:r>
      <w:r w:rsidRPr="009A6C19">
        <w:rPr>
          <w:rFonts w:ascii="Arial" w:hAnsi="Arial" w:cs="Arial"/>
        </w:rPr>
        <w:t xml:space="preserve"> </w:t>
      </w:r>
      <w:r>
        <w:rPr>
          <w:rFonts w:ascii="Arial" w:hAnsi="Arial" w:cs="Arial"/>
        </w:rPr>
        <w:t>(Accessed 12 May 2025)</w:t>
      </w:r>
    </w:p>
    <w:p w14:paraId="54863C3F" w14:textId="77777777" w:rsidR="009A6C19" w:rsidRPr="009A6C19" w:rsidRDefault="009A6C19" w:rsidP="009A6C19">
      <w:pPr>
        <w:spacing w:line="360" w:lineRule="auto"/>
        <w:rPr>
          <w:rFonts w:ascii="Arial" w:hAnsi="Arial" w:cs="Arial"/>
        </w:rPr>
      </w:pPr>
      <w:r w:rsidRPr="00A976F9">
        <w:rPr>
          <w:rFonts w:ascii="Arial" w:hAnsi="Arial" w:cs="Arial"/>
        </w:rPr>
        <w:t xml:space="preserve">Turner, A. Belcher, L. and Pona, I. (2019) </w:t>
      </w:r>
      <w:r w:rsidRPr="00A976F9">
        <w:rPr>
          <w:rFonts w:ascii="Arial" w:hAnsi="Arial" w:cs="Arial"/>
          <w:i/>
          <w:iCs/>
        </w:rPr>
        <w:t>Counting lives: responding to children who are criminally exploited</w:t>
      </w:r>
      <w:r w:rsidRPr="00A976F9">
        <w:rPr>
          <w:rFonts w:ascii="Arial" w:hAnsi="Arial" w:cs="Arial"/>
        </w:rPr>
        <w:t>. The Children’s Society. Available at: www.childrenssociety.org.uk/sites/default/files/counting-lives-report.pdf (Accessed</w:t>
      </w:r>
      <w:r w:rsidRPr="009A6C19">
        <w:rPr>
          <w:rFonts w:ascii="Arial" w:hAnsi="Arial" w:cs="Arial"/>
        </w:rPr>
        <w:t xml:space="preserve"> </w:t>
      </w:r>
      <w:r w:rsidRPr="00A976F9">
        <w:rPr>
          <w:rFonts w:ascii="Arial" w:hAnsi="Arial" w:cs="Arial"/>
        </w:rPr>
        <w:t>14 May 2025).</w:t>
      </w:r>
      <w:r w:rsidRPr="009A6C19">
        <w:rPr>
          <w:rFonts w:ascii="Arial" w:hAnsi="Arial" w:cs="Arial"/>
        </w:rPr>
        <w:t xml:space="preserve"> </w:t>
      </w:r>
    </w:p>
    <w:p w14:paraId="3CC21C6C" w14:textId="77777777" w:rsidR="009A6C19" w:rsidRPr="00A976F9" w:rsidRDefault="009A6C19" w:rsidP="009A6C19">
      <w:pPr>
        <w:spacing w:line="360" w:lineRule="auto"/>
        <w:rPr>
          <w:rFonts w:ascii="Arial" w:hAnsi="Arial" w:cs="Arial"/>
        </w:rPr>
      </w:pPr>
      <w:r w:rsidRPr="00A976F9">
        <w:rPr>
          <w:rFonts w:ascii="Arial" w:hAnsi="Arial" w:cs="Arial"/>
        </w:rPr>
        <w:t>Ward, F., St Clair-Thompson, H. and Postlethwaite, A. (2018) 'Mental toughness and perceived stress in police and fire officers,' </w:t>
      </w:r>
      <w:r w:rsidRPr="00A976F9">
        <w:rPr>
          <w:rFonts w:ascii="Arial" w:hAnsi="Arial" w:cs="Arial"/>
          <w:i/>
          <w:iCs/>
        </w:rPr>
        <w:t>Policing an International Journal</w:t>
      </w:r>
      <w:r w:rsidRPr="00A976F9">
        <w:rPr>
          <w:rFonts w:ascii="Arial" w:hAnsi="Arial" w:cs="Arial"/>
        </w:rPr>
        <w:t>, 41(6), pp. 674–686. </w:t>
      </w:r>
      <w:hyperlink r:id="rId41" w:history="1">
        <w:r w:rsidRPr="00A976F9">
          <w:rPr>
            <w:rStyle w:val="Hyperlink"/>
            <w:rFonts w:ascii="Arial" w:hAnsi="Arial" w:cs="Arial"/>
          </w:rPr>
          <w:t>https://doi.org/10.1108/pijpsm-01-2017-0013</w:t>
        </w:r>
      </w:hyperlink>
      <w:r w:rsidRPr="009A6C19">
        <w:rPr>
          <w:rFonts w:ascii="Arial" w:hAnsi="Arial" w:cs="Arial"/>
        </w:rPr>
        <w:t xml:space="preserve"> (Accessed 14 May 2025)</w:t>
      </w:r>
    </w:p>
    <w:p w14:paraId="7DC92569" w14:textId="77777777" w:rsidR="009A6C19" w:rsidRPr="00A976F9" w:rsidRDefault="009A6C19" w:rsidP="009A6C19">
      <w:pPr>
        <w:spacing w:line="360" w:lineRule="auto"/>
        <w:rPr>
          <w:rFonts w:ascii="Arial" w:hAnsi="Arial" w:cs="Arial"/>
        </w:rPr>
      </w:pPr>
      <w:bookmarkStart w:id="12" w:name="_Hlk199091060"/>
      <w:r w:rsidRPr="00A976F9">
        <w:rPr>
          <w:rFonts w:ascii="Arial" w:hAnsi="Arial" w:cs="Arial"/>
        </w:rPr>
        <w:t>Watson, L. and Andrews, L. (2018</w:t>
      </w:r>
      <w:bookmarkEnd w:id="12"/>
      <w:r w:rsidRPr="00A976F9">
        <w:rPr>
          <w:rFonts w:ascii="Arial" w:hAnsi="Arial" w:cs="Arial"/>
        </w:rPr>
        <w:t>) ‘The Effect of a Trauma Risk Management (</w:t>
      </w:r>
      <w:proofErr w:type="spellStart"/>
      <w:r w:rsidRPr="00A976F9">
        <w:rPr>
          <w:rFonts w:ascii="Arial" w:hAnsi="Arial" w:cs="Arial"/>
        </w:rPr>
        <w:t>TRiM</w:t>
      </w:r>
      <w:proofErr w:type="spellEnd"/>
      <w:r w:rsidRPr="00A976F9">
        <w:rPr>
          <w:rFonts w:ascii="Arial" w:hAnsi="Arial" w:cs="Arial"/>
        </w:rPr>
        <w:t>) Program on Stigma and Barriers to Help-Seeking in the Police’, </w:t>
      </w:r>
      <w:r w:rsidRPr="00A976F9">
        <w:rPr>
          <w:rFonts w:ascii="Arial" w:hAnsi="Arial" w:cs="Arial"/>
          <w:i/>
          <w:iCs/>
        </w:rPr>
        <w:t>International journal of stress management</w:t>
      </w:r>
      <w:r w:rsidRPr="00A976F9">
        <w:rPr>
          <w:rFonts w:ascii="Arial" w:hAnsi="Arial" w:cs="Arial"/>
        </w:rPr>
        <w:t xml:space="preserve">, 25(4), pp. 348–356. Available at: </w:t>
      </w:r>
      <w:hyperlink r:id="rId42" w:history="1">
        <w:r w:rsidRPr="00A976F9">
          <w:rPr>
            <w:rStyle w:val="Hyperlink"/>
            <w:rFonts w:ascii="Arial" w:hAnsi="Arial" w:cs="Arial"/>
          </w:rPr>
          <w:t>https://doi.org/10.1037/str0000071</w:t>
        </w:r>
      </w:hyperlink>
      <w:r w:rsidRPr="00A976F9">
        <w:rPr>
          <w:rFonts w:ascii="Arial" w:hAnsi="Arial" w:cs="Arial"/>
        </w:rPr>
        <w:t xml:space="preserve"> </w:t>
      </w:r>
      <w:r w:rsidRPr="009A6C19">
        <w:rPr>
          <w:rFonts w:ascii="Arial" w:hAnsi="Arial" w:cs="Arial"/>
        </w:rPr>
        <w:t>(Accessed 10 May 2025)</w:t>
      </w:r>
    </w:p>
    <w:p w14:paraId="28AD269B" w14:textId="77777777" w:rsidR="009A6C19" w:rsidRPr="00A976F9" w:rsidRDefault="009A6C19" w:rsidP="009A6C19">
      <w:pPr>
        <w:spacing w:line="360" w:lineRule="auto"/>
        <w:rPr>
          <w:rFonts w:ascii="Arial" w:hAnsi="Arial" w:cs="Arial"/>
        </w:rPr>
      </w:pPr>
      <w:r w:rsidRPr="00A976F9">
        <w:rPr>
          <w:rFonts w:ascii="Arial" w:hAnsi="Arial" w:cs="Arial"/>
        </w:rPr>
        <w:t>Windle, J. and Briggs, D. (2015) 'Going solo: the social organisation of drug dealing within a London street gang,' </w:t>
      </w:r>
      <w:r w:rsidRPr="00A976F9">
        <w:rPr>
          <w:rFonts w:ascii="Arial" w:hAnsi="Arial" w:cs="Arial"/>
          <w:i/>
          <w:iCs/>
        </w:rPr>
        <w:t>Journal of Youth Studies</w:t>
      </w:r>
      <w:r w:rsidRPr="00A976F9">
        <w:rPr>
          <w:rFonts w:ascii="Arial" w:hAnsi="Arial" w:cs="Arial"/>
        </w:rPr>
        <w:t>, 18(9), pp. 1170–1185. </w:t>
      </w:r>
      <w:hyperlink r:id="rId43" w:history="1">
        <w:r w:rsidRPr="00A976F9">
          <w:rPr>
            <w:rStyle w:val="Hyperlink"/>
            <w:rFonts w:ascii="Arial" w:hAnsi="Arial" w:cs="Arial"/>
          </w:rPr>
          <w:t>https://doi.org/10.1080/13676261.2015.1020925</w:t>
        </w:r>
      </w:hyperlink>
      <w:r w:rsidRPr="009A6C19">
        <w:rPr>
          <w:rFonts w:ascii="Arial" w:hAnsi="Arial" w:cs="Arial"/>
        </w:rPr>
        <w:t xml:space="preserve"> (Accessed 8 May 2025)</w:t>
      </w:r>
    </w:p>
    <w:p w14:paraId="084DC725" w14:textId="125F52C2" w:rsidR="005F0F84" w:rsidRPr="005F0F84" w:rsidRDefault="005F0F84" w:rsidP="003A35E8">
      <w:pPr>
        <w:spacing w:line="276" w:lineRule="auto"/>
        <w:rPr>
          <w:rFonts w:ascii="Arial" w:hAnsi="Arial" w:cs="Arial"/>
          <w:b/>
          <w:bCs/>
          <w:u w:val="single"/>
        </w:rPr>
      </w:pPr>
    </w:p>
    <w:sectPr w:rsidR="005F0F84" w:rsidRPr="005F0F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72365"/>
    <w:multiLevelType w:val="hybridMultilevel"/>
    <w:tmpl w:val="335E246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16cid:durableId="7787156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332E"/>
    <w:rsid w:val="00082716"/>
    <w:rsid w:val="000A014B"/>
    <w:rsid w:val="00230E68"/>
    <w:rsid w:val="00356E00"/>
    <w:rsid w:val="003A35E8"/>
    <w:rsid w:val="00495FB6"/>
    <w:rsid w:val="00566D2B"/>
    <w:rsid w:val="005E3FF7"/>
    <w:rsid w:val="005F0F84"/>
    <w:rsid w:val="006B332E"/>
    <w:rsid w:val="00770778"/>
    <w:rsid w:val="00783DB9"/>
    <w:rsid w:val="00836507"/>
    <w:rsid w:val="00976923"/>
    <w:rsid w:val="00994871"/>
    <w:rsid w:val="009A6C19"/>
    <w:rsid w:val="00B20437"/>
    <w:rsid w:val="00C405DE"/>
    <w:rsid w:val="00D35509"/>
    <w:rsid w:val="00F43E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BCE75"/>
  <w15:chartTrackingRefBased/>
  <w15:docId w15:val="{01FFD536-3C06-4B50-980D-20146ED7C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33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B33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B332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B332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B332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B33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33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33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33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332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B332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B332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B332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B332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33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33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33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332E"/>
    <w:rPr>
      <w:rFonts w:eastAsiaTheme="majorEastAsia" w:cstheme="majorBidi"/>
      <w:color w:val="272727" w:themeColor="text1" w:themeTint="D8"/>
    </w:rPr>
  </w:style>
  <w:style w:type="paragraph" w:styleId="Title">
    <w:name w:val="Title"/>
    <w:basedOn w:val="Normal"/>
    <w:next w:val="Normal"/>
    <w:link w:val="TitleChar"/>
    <w:uiPriority w:val="10"/>
    <w:qFormat/>
    <w:rsid w:val="006B33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33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33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33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332E"/>
    <w:pPr>
      <w:spacing w:before="160"/>
      <w:jc w:val="center"/>
    </w:pPr>
    <w:rPr>
      <w:i/>
      <w:iCs/>
      <w:color w:val="404040" w:themeColor="text1" w:themeTint="BF"/>
    </w:rPr>
  </w:style>
  <w:style w:type="character" w:customStyle="1" w:styleId="QuoteChar">
    <w:name w:val="Quote Char"/>
    <w:basedOn w:val="DefaultParagraphFont"/>
    <w:link w:val="Quote"/>
    <w:uiPriority w:val="29"/>
    <w:rsid w:val="006B332E"/>
    <w:rPr>
      <w:i/>
      <w:iCs/>
      <w:color w:val="404040" w:themeColor="text1" w:themeTint="BF"/>
    </w:rPr>
  </w:style>
  <w:style w:type="paragraph" w:styleId="ListParagraph">
    <w:name w:val="List Paragraph"/>
    <w:basedOn w:val="Normal"/>
    <w:uiPriority w:val="34"/>
    <w:qFormat/>
    <w:rsid w:val="006B332E"/>
    <w:pPr>
      <w:ind w:left="720"/>
      <w:contextualSpacing/>
    </w:pPr>
  </w:style>
  <w:style w:type="character" w:styleId="IntenseEmphasis">
    <w:name w:val="Intense Emphasis"/>
    <w:basedOn w:val="DefaultParagraphFont"/>
    <w:uiPriority w:val="21"/>
    <w:qFormat/>
    <w:rsid w:val="006B332E"/>
    <w:rPr>
      <w:i/>
      <w:iCs/>
      <w:color w:val="0F4761" w:themeColor="accent1" w:themeShade="BF"/>
    </w:rPr>
  </w:style>
  <w:style w:type="paragraph" w:styleId="IntenseQuote">
    <w:name w:val="Intense Quote"/>
    <w:basedOn w:val="Normal"/>
    <w:next w:val="Normal"/>
    <w:link w:val="IntenseQuoteChar"/>
    <w:uiPriority w:val="30"/>
    <w:qFormat/>
    <w:rsid w:val="006B33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B332E"/>
    <w:rPr>
      <w:i/>
      <w:iCs/>
      <w:color w:val="0F4761" w:themeColor="accent1" w:themeShade="BF"/>
    </w:rPr>
  </w:style>
  <w:style w:type="character" w:styleId="IntenseReference">
    <w:name w:val="Intense Reference"/>
    <w:basedOn w:val="DefaultParagraphFont"/>
    <w:uiPriority w:val="32"/>
    <w:qFormat/>
    <w:rsid w:val="006B332E"/>
    <w:rPr>
      <w:b/>
      <w:bCs/>
      <w:smallCaps/>
      <w:color w:val="0F4761" w:themeColor="accent1" w:themeShade="BF"/>
      <w:spacing w:val="5"/>
    </w:rPr>
  </w:style>
  <w:style w:type="character" w:styleId="Hyperlink">
    <w:name w:val="Hyperlink"/>
    <w:basedOn w:val="DefaultParagraphFont"/>
    <w:uiPriority w:val="99"/>
    <w:unhideWhenUsed/>
    <w:rsid w:val="009A6C19"/>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77/10986111241275048" TargetMode="External"/><Relationship Id="rId18" Type="http://schemas.openxmlformats.org/officeDocument/2006/relationships/hyperlink" Target="https://doi.org/10.2307/j.ctv114c782" TargetMode="External"/><Relationship Id="rId26" Type="http://schemas.openxmlformats.org/officeDocument/2006/relationships/hyperlink" Target="https://doi.org/10.1007/s40894-017-0072-1" TargetMode="External"/><Relationship Id="rId39" Type="http://schemas.openxmlformats.org/officeDocument/2006/relationships/hyperlink" Target="https://doi.org/10.1002/j.2051-5545.2008.tb00194.x" TargetMode="External"/><Relationship Id="rId21" Type="http://schemas.openxmlformats.org/officeDocument/2006/relationships/hyperlink" Target="https://doi.org/10.1016/j.jarmac.2013.01.001" TargetMode="External"/><Relationship Id="rId34" Type="http://schemas.openxmlformats.org/officeDocument/2006/relationships/hyperlink" Target="https://doi.org/10.1080/15614263.2024.2375500" TargetMode="External"/><Relationship Id="rId42" Type="http://schemas.openxmlformats.org/officeDocument/2006/relationships/hyperlink" Target="https://doi.org/10.1037/str0000071" TargetMode="External"/><Relationship Id="rId7" Type="http://schemas.openxmlformats.org/officeDocument/2006/relationships/hyperlink" Target="https://www.asecib.ase.ro/mps/Bandura_SocialLearningTheory.pdf" TargetMode="External"/><Relationship Id="rId2" Type="http://schemas.openxmlformats.org/officeDocument/2006/relationships/styles" Target="styles.xml"/><Relationship Id="rId16" Type="http://schemas.openxmlformats.org/officeDocument/2006/relationships/hyperlink" Target="https://citeseerx.ist.psu.edu/document?repid=rep1&amp;type=pdf&amp;doi=31ca0fa43e14c5de34724705d3285eeeff2b3444" TargetMode="External"/><Relationship Id="rId29" Type="http://schemas.openxmlformats.org/officeDocument/2006/relationships/hyperlink" Target="https://strathprints.strath.ac.uk/68063/1/McEwan_CYCJ2018_diverting_children_and_young_people_from_serious_and_organised_crime.pdf" TargetMode="External"/><Relationship Id="rId1" Type="http://schemas.openxmlformats.org/officeDocument/2006/relationships/numbering" Target="numbering.xml"/><Relationship Id="rId6" Type="http://schemas.openxmlformats.org/officeDocument/2006/relationships/hyperlink" Target="https://doi.org/10.1108/02683940710733115" TargetMode="External"/><Relationship Id="rId11" Type="http://schemas.openxmlformats.org/officeDocument/2006/relationships/hyperlink" Target="https://doi.org/10.1177/1529100614531398" TargetMode="External"/><Relationship Id="rId24" Type="http://schemas.openxmlformats.org/officeDocument/2006/relationships/hyperlink" Target="https://doi.org/10.3389/fcomm.2024.1462013" TargetMode="External"/><Relationship Id="rId32" Type="http://schemas.openxmlformats.org/officeDocument/2006/relationships/hyperlink" Target="https://www.proquest.com/scholarly-journals/confirmation-bias-ubiquitous-phenomenon-many/docview/1490466939/se-2?accountid=130472" TargetMode="External"/><Relationship Id="rId37" Type="http://schemas.openxmlformats.org/officeDocument/2006/relationships/hyperlink" Target="https://doi.org/10.2307/3340743" TargetMode="External"/><Relationship Id="rId40" Type="http://schemas.openxmlformats.org/officeDocument/2006/relationships/hyperlink" Target="https://doi.org/10.4135/9781412959193.n171" TargetMode="External"/><Relationship Id="rId45" Type="http://schemas.openxmlformats.org/officeDocument/2006/relationships/theme" Target="theme/theme1.xml"/><Relationship Id="rId5" Type="http://schemas.openxmlformats.org/officeDocument/2006/relationships/hyperlink" Target="https://doi.org/10.1186/s13643-020-01367-w" TargetMode="External"/><Relationship Id="rId15" Type="http://schemas.openxmlformats.org/officeDocument/2006/relationships/hyperlink" Target="https://doi.org/10.1111/j.1745-9125.2000.tb00881.x" TargetMode="External"/><Relationship Id="rId23" Type="http://schemas.openxmlformats.org/officeDocument/2006/relationships/hyperlink" Target="https://doi.org/10.1002/(SICI)1520-6629(199801)26:1%3c65::AID-JCOP6%3e3.0.CO;2-0" TargetMode="External"/><Relationship Id="rId28" Type="http://schemas.openxmlformats.org/officeDocument/2006/relationships/hyperlink" Target="https://doi.org/10.1108/13639510710833938" TargetMode="External"/><Relationship Id="rId36" Type="http://schemas.openxmlformats.org/officeDocument/2006/relationships/hyperlink" Target="https://www.gov.uk/government/publications/serious-and-organised-crime-strategy-2018/serious-and-organised-crime-strategy-accessible-version" TargetMode="External"/><Relationship Id="rId10" Type="http://schemas.openxmlformats.org/officeDocument/2006/relationships/hyperlink" Target="https://www.college.police.uk/guidance/conducting-effective-investigations/understanding-process-your-role-and-obligations" TargetMode="External"/><Relationship Id="rId19" Type="http://schemas.openxmlformats.org/officeDocument/2006/relationships/hyperlink" Target="https://doi.org/10.1037/h0052736" TargetMode="External"/><Relationship Id="rId31" Type="http://schemas.openxmlformats.org/officeDocument/2006/relationships/hyperlink" Target="https://doi.org/10.1016/s0140-6736(08)61687-6"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2307/2094589" TargetMode="External"/><Relationship Id="rId14" Type="http://schemas.openxmlformats.org/officeDocument/2006/relationships/hyperlink" Target="https://doi.org/10.1016/j.fsisyn.2021.100161.(Accessed" TargetMode="External"/><Relationship Id="rId22" Type="http://schemas.openxmlformats.org/officeDocument/2006/relationships/hyperlink" Target="https://doi.org/10.1037/0003-066x.58.6-7.457" TargetMode="External"/><Relationship Id="rId27" Type="http://schemas.openxmlformats.org/officeDocument/2006/relationships/hyperlink" Target="https://doi.org/10.1177/1748895809360971" TargetMode="External"/><Relationship Id="rId30" Type="http://schemas.openxmlformats.org/officeDocument/2006/relationships/hyperlink" Target="https://doi.org/10.1037/1076-8971.7.1.3" TargetMode="External"/><Relationship Id="rId35" Type="http://schemas.openxmlformats.org/officeDocument/2006/relationships/hyperlink" Target="https://doi.org/10.1080/09585192.2021.1925325" TargetMode="External"/><Relationship Id="rId43" Type="http://schemas.openxmlformats.org/officeDocument/2006/relationships/hyperlink" Target="https://doi.org/10.1080/13676261.2015.1020925" TargetMode="External"/><Relationship Id="rId8" Type="http://schemas.openxmlformats.org/officeDocument/2006/relationships/hyperlink" Target="https://doi.org/10.1108/pijpsm-10-2013-0105" TargetMode="External"/><Relationship Id="rId3" Type="http://schemas.openxmlformats.org/officeDocument/2006/relationships/settings" Target="settings.xml"/><Relationship Id="rId12" Type="http://schemas.openxmlformats.org/officeDocument/2006/relationships/hyperlink" Target="https://doi.org/10.1177/104365961771356" TargetMode="External"/><Relationship Id="rId17" Type="http://schemas.openxmlformats.org/officeDocument/2006/relationships/hyperlink" Target="https://doi.org/10.1177/1473225407087039" TargetMode="External"/><Relationship Id="rId25" Type="http://schemas.openxmlformats.org/officeDocument/2006/relationships/hyperlink" Target="https://doi.org/10.1080/23322705.2018.1471863" TargetMode="External"/><Relationship Id="rId33" Type="http://schemas.openxmlformats.org/officeDocument/2006/relationships/hyperlink" Target="https://doi.org/10.1186/s12889-019-7609-0" TargetMode="External"/><Relationship Id="rId38" Type="http://schemas.openxmlformats.org/officeDocument/2006/relationships/hyperlink" Target="https://doi.org/10.1108/scm-08-2020-0373" TargetMode="External"/><Relationship Id="rId20" Type="http://schemas.openxmlformats.org/officeDocument/2006/relationships/hyperlink" Target="https://doi.org/10.1002/jip.5.%20(Accessed" TargetMode="External"/><Relationship Id="rId41" Type="http://schemas.openxmlformats.org/officeDocument/2006/relationships/hyperlink" Target="https://doi.org/10.1108/pijpsm-01-2017-00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17</Pages>
  <Words>6333</Words>
  <Characters>36104</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42353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Johnson,Sophie swp8789</dc:creator>
  <cp:keywords/>
  <dc:description/>
  <cp:lastModifiedBy>Sophie Johnson</cp:lastModifiedBy>
  <cp:revision>9</cp:revision>
  <dcterms:created xsi:type="dcterms:W3CDTF">2025-05-25T18:33:00Z</dcterms:created>
  <dcterms:modified xsi:type="dcterms:W3CDTF">2025-05-26T22:34:00Z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2025-05-25T18:50:58Z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3b3098e4-7f04-4574-8f7f-9b4c343181c2</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