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7B3614" w14:textId="77777777" w:rsidR="00852CDE" w:rsidRDefault="00000000">
      <w:pPr>
        <w:jc w:val="center"/>
        <w:rPr>
          <w:b/>
          <w:sz w:val="32"/>
          <w:szCs w:val="32"/>
        </w:rPr>
      </w:pPr>
      <w:r>
        <w:rPr>
          <w:noProof/>
        </w:rPr>
        <w:drawing>
          <wp:inline distT="114300" distB="114300" distL="114300" distR="114300" wp14:anchorId="064B57DC" wp14:editId="137634F1">
            <wp:extent cx="2676525" cy="120967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
                    <a:srcRect/>
                    <a:stretch>
                      <a:fillRect/>
                    </a:stretch>
                  </pic:blipFill>
                  <pic:spPr>
                    <a:xfrm>
                      <a:off x="0" y="0"/>
                      <a:ext cx="2676525" cy="1209675"/>
                    </a:xfrm>
                    <a:prstGeom prst="rect">
                      <a:avLst/>
                    </a:prstGeom>
                    <a:ln/>
                  </pic:spPr>
                </pic:pic>
              </a:graphicData>
            </a:graphic>
          </wp:inline>
        </w:drawing>
      </w:r>
    </w:p>
    <w:p w14:paraId="25D6656C" w14:textId="77777777" w:rsidR="00852CDE" w:rsidRDefault="00852CDE">
      <w:pPr>
        <w:jc w:val="center"/>
        <w:rPr>
          <w:b/>
          <w:sz w:val="32"/>
          <w:szCs w:val="32"/>
        </w:rPr>
      </w:pPr>
    </w:p>
    <w:p w14:paraId="2CFDB701" w14:textId="77777777" w:rsidR="00852CDE" w:rsidRDefault="00000000">
      <w:pPr>
        <w:jc w:val="center"/>
        <w:rPr>
          <w:b/>
          <w:sz w:val="32"/>
          <w:szCs w:val="32"/>
        </w:rPr>
      </w:pPr>
      <w:r>
        <w:rPr>
          <w:b/>
          <w:sz w:val="32"/>
          <w:szCs w:val="32"/>
        </w:rPr>
        <w:t>Programme: Master of Business Administration</w:t>
      </w:r>
    </w:p>
    <w:p w14:paraId="1C6261E1" w14:textId="77777777" w:rsidR="00852CDE" w:rsidRDefault="00000000">
      <w:pPr>
        <w:jc w:val="center"/>
        <w:rPr>
          <w:b/>
          <w:sz w:val="32"/>
          <w:szCs w:val="32"/>
        </w:rPr>
      </w:pPr>
      <w:r>
        <w:rPr>
          <w:b/>
          <w:sz w:val="32"/>
          <w:szCs w:val="32"/>
        </w:rPr>
        <w:t>Module: International Business Concepts</w:t>
      </w:r>
    </w:p>
    <w:p w14:paraId="0551B747" w14:textId="77777777" w:rsidR="00852CDE" w:rsidRDefault="00000000">
      <w:pPr>
        <w:jc w:val="center"/>
        <w:rPr>
          <w:b/>
          <w:sz w:val="32"/>
          <w:szCs w:val="32"/>
        </w:rPr>
      </w:pPr>
      <w:r>
        <w:rPr>
          <w:b/>
          <w:sz w:val="32"/>
          <w:szCs w:val="32"/>
        </w:rPr>
        <w:t>Module code: LCMB7034</w:t>
      </w:r>
    </w:p>
    <w:p w14:paraId="2AF0DDA9" w14:textId="77777777" w:rsidR="00852CDE" w:rsidRDefault="00852CDE">
      <w:pPr>
        <w:jc w:val="center"/>
      </w:pPr>
    </w:p>
    <w:p w14:paraId="75745F14" w14:textId="77777777" w:rsidR="00852CDE" w:rsidRDefault="00852CDE"/>
    <w:p w14:paraId="0C70756F" w14:textId="77777777" w:rsidR="00852CDE" w:rsidRDefault="00000000">
      <w:pPr>
        <w:jc w:val="center"/>
        <w:rPr>
          <w:b/>
          <w:sz w:val="32"/>
          <w:szCs w:val="32"/>
        </w:rPr>
      </w:pPr>
      <w:r>
        <w:rPr>
          <w:b/>
          <w:sz w:val="32"/>
          <w:szCs w:val="32"/>
        </w:rPr>
        <w:t>EXPANSION OF PRET A MANGER IN BRAZIL</w:t>
      </w:r>
    </w:p>
    <w:p w14:paraId="5155DDD8" w14:textId="77777777" w:rsidR="00852CDE" w:rsidRDefault="00852CDE">
      <w:pPr>
        <w:jc w:val="center"/>
      </w:pPr>
    </w:p>
    <w:p w14:paraId="662C7BFC" w14:textId="77777777" w:rsidR="00852CDE" w:rsidRDefault="00852CDE"/>
    <w:p w14:paraId="539D6E8D" w14:textId="77777777" w:rsidR="00852CDE" w:rsidRPr="009F0733" w:rsidRDefault="00000000">
      <w:pPr>
        <w:jc w:val="center"/>
        <w:rPr>
          <w:b/>
          <w:sz w:val="32"/>
          <w:szCs w:val="32"/>
        </w:rPr>
      </w:pPr>
      <w:r w:rsidRPr="009F0733">
        <w:rPr>
          <w:b/>
          <w:sz w:val="32"/>
          <w:szCs w:val="32"/>
        </w:rPr>
        <w:t xml:space="preserve">Student Name: Sonal Arjan Khistariya </w:t>
      </w:r>
    </w:p>
    <w:p w14:paraId="59A708AA" w14:textId="77777777" w:rsidR="00852CDE" w:rsidRPr="009F0733" w:rsidRDefault="00000000">
      <w:pPr>
        <w:jc w:val="center"/>
        <w:rPr>
          <w:b/>
          <w:sz w:val="32"/>
          <w:szCs w:val="32"/>
        </w:rPr>
      </w:pPr>
      <w:r w:rsidRPr="009F0733">
        <w:rPr>
          <w:b/>
          <w:sz w:val="32"/>
          <w:szCs w:val="32"/>
        </w:rPr>
        <w:t>Student’s ID:252247</w:t>
      </w:r>
    </w:p>
    <w:p w14:paraId="78043BBE" w14:textId="77777777" w:rsidR="00852CDE" w:rsidRPr="009F0733" w:rsidRDefault="00000000">
      <w:pPr>
        <w:jc w:val="center"/>
        <w:rPr>
          <w:b/>
          <w:sz w:val="32"/>
          <w:szCs w:val="32"/>
        </w:rPr>
      </w:pPr>
      <w:r w:rsidRPr="009F0733">
        <w:rPr>
          <w:b/>
          <w:sz w:val="32"/>
          <w:szCs w:val="32"/>
        </w:rPr>
        <w:t xml:space="preserve">Lecturers name:  Gladius Kulothungan </w:t>
      </w:r>
    </w:p>
    <w:p w14:paraId="5574EDFF" w14:textId="77777777" w:rsidR="00852CDE" w:rsidRPr="009F0733" w:rsidRDefault="00000000">
      <w:pPr>
        <w:jc w:val="center"/>
        <w:rPr>
          <w:b/>
          <w:sz w:val="32"/>
          <w:szCs w:val="32"/>
        </w:rPr>
      </w:pPr>
      <w:r w:rsidRPr="009F0733">
        <w:rPr>
          <w:b/>
          <w:sz w:val="32"/>
          <w:szCs w:val="32"/>
        </w:rPr>
        <w:t>Word Count: 5276</w:t>
      </w:r>
    </w:p>
    <w:p w14:paraId="01DB20CA" w14:textId="77777777" w:rsidR="00852CDE" w:rsidRDefault="00000000">
      <w:r>
        <w:br w:type="page"/>
      </w:r>
    </w:p>
    <w:p w14:paraId="4E858DFE" w14:textId="77777777" w:rsidR="00852CDE" w:rsidRDefault="00000000">
      <w:pPr>
        <w:keepNext/>
        <w:keepLines/>
        <w:pBdr>
          <w:top w:val="nil"/>
          <w:left w:val="nil"/>
          <w:bottom w:val="nil"/>
          <w:right w:val="nil"/>
          <w:between w:val="nil"/>
        </w:pBdr>
        <w:spacing w:before="0" w:after="0"/>
        <w:jc w:val="center"/>
        <w:rPr>
          <w:b/>
          <w:sz w:val="28"/>
          <w:szCs w:val="28"/>
        </w:rPr>
      </w:pPr>
      <w:bookmarkStart w:id="0" w:name="_gjdgxs" w:colFirst="0" w:colLast="0"/>
      <w:bookmarkEnd w:id="0"/>
      <w:r>
        <w:rPr>
          <w:b/>
          <w:sz w:val="28"/>
          <w:szCs w:val="28"/>
        </w:rPr>
        <w:lastRenderedPageBreak/>
        <w:t>Table of Contents</w:t>
      </w:r>
    </w:p>
    <w:sdt>
      <w:sdtPr>
        <w:id w:val="-1521539767"/>
        <w:docPartObj>
          <w:docPartGallery w:val="Table of Contents"/>
          <w:docPartUnique/>
        </w:docPartObj>
      </w:sdtPr>
      <w:sdtContent>
        <w:p w14:paraId="74A53458" w14:textId="77777777" w:rsidR="00852CDE"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r>
            <w:fldChar w:fldCharType="begin"/>
          </w:r>
          <w:r>
            <w:instrText xml:space="preserve"> TOC \h \u \z \t "Heading 1,1,Heading 2,2,Heading 3,3,"</w:instrText>
          </w:r>
          <w:r>
            <w:fldChar w:fldCharType="separate"/>
          </w:r>
          <w:hyperlink w:anchor="_30j0zll">
            <w:r>
              <w:rPr>
                <w:color w:val="000000"/>
              </w:rPr>
              <w:t>Section 1</w:t>
            </w:r>
            <w:r>
              <w:rPr>
                <w:color w:val="000000"/>
              </w:rPr>
              <w:tab/>
              <w:t>2</w:t>
            </w:r>
          </w:hyperlink>
        </w:p>
        <w:p w14:paraId="00D61A78" w14:textId="77777777" w:rsidR="00852CDE"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1fob9te">
            <w:r>
              <w:rPr>
                <w:color w:val="000000"/>
              </w:rPr>
              <w:t>Introduction</w:t>
            </w:r>
            <w:r>
              <w:rPr>
                <w:color w:val="000000"/>
              </w:rPr>
              <w:tab/>
              <w:t>2</w:t>
            </w:r>
          </w:hyperlink>
        </w:p>
        <w:p w14:paraId="30C222DE" w14:textId="77777777" w:rsidR="00852CDE"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3znysh7">
            <w:r>
              <w:rPr>
                <w:color w:val="000000"/>
              </w:rPr>
              <w:t>1. Organisational Classification and Global Strategy</w:t>
            </w:r>
            <w:r>
              <w:rPr>
                <w:color w:val="000000"/>
              </w:rPr>
              <w:tab/>
              <w:t>2</w:t>
            </w:r>
          </w:hyperlink>
        </w:p>
        <w:p w14:paraId="22C07E1C" w14:textId="77777777" w:rsidR="00852CDE"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2et92p0">
            <w:r>
              <w:rPr>
                <w:color w:val="000000"/>
              </w:rPr>
              <w:t>1.1 Company Overview</w:t>
            </w:r>
            <w:r>
              <w:rPr>
                <w:color w:val="000000"/>
              </w:rPr>
              <w:tab/>
              <w:t>2</w:t>
            </w:r>
          </w:hyperlink>
        </w:p>
        <w:p w14:paraId="4DB2C6E2" w14:textId="77777777" w:rsidR="00852CDE"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tyjcwt">
            <w:r>
              <w:rPr>
                <w:color w:val="000000"/>
              </w:rPr>
              <w:t>1.2 Organisational Classification</w:t>
            </w:r>
            <w:r>
              <w:rPr>
                <w:color w:val="000000"/>
              </w:rPr>
              <w:tab/>
              <w:t>2</w:t>
            </w:r>
          </w:hyperlink>
        </w:p>
        <w:p w14:paraId="5E84B1F7" w14:textId="77777777" w:rsidR="00852CDE"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3dy6vkm">
            <w:r>
              <w:rPr>
                <w:color w:val="000000"/>
              </w:rPr>
              <w:t>1.3 Bartlett &amp; Ghoshal's International Strategy Model</w:t>
            </w:r>
            <w:r>
              <w:rPr>
                <w:color w:val="000000"/>
              </w:rPr>
              <w:tab/>
              <w:t>3</w:t>
            </w:r>
          </w:hyperlink>
        </w:p>
        <w:p w14:paraId="23AC3B6E" w14:textId="77777777" w:rsidR="00852CDE"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1t3h5sf">
            <w:r>
              <w:rPr>
                <w:color w:val="000000"/>
              </w:rPr>
              <w:t>1.4 Global Configuration</w:t>
            </w:r>
            <w:r>
              <w:rPr>
                <w:color w:val="000000"/>
              </w:rPr>
              <w:tab/>
              <w:t>4</w:t>
            </w:r>
          </w:hyperlink>
        </w:p>
        <w:p w14:paraId="2170B79D" w14:textId="77777777" w:rsidR="00852CDE"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4d34og8">
            <w:r>
              <w:rPr>
                <w:color w:val="000000"/>
              </w:rPr>
              <w:t>2. Macro-Environmental Appraisal and Market Attractiveness</w:t>
            </w:r>
            <w:r>
              <w:rPr>
                <w:color w:val="000000"/>
              </w:rPr>
              <w:tab/>
              <w:t>4</w:t>
            </w:r>
          </w:hyperlink>
        </w:p>
        <w:p w14:paraId="7C40D4E7" w14:textId="77777777" w:rsidR="00852CDE"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2s8eyo1">
            <w:r>
              <w:rPr>
                <w:color w:val="000000"/>
              </w:rPr>
              <w:t>2.1. Analysis of host country</w:t>
            </w:r>
            <w:r>
              <w:rPr>
                <w:color w:val="000000"/>
              </w:rPr>
              <w:tab/>
              <w:t>4</w:t>
            </w:r>
          </w:hyperlink>
        </w:p>
        <w:p w14:paraId="5E349E13" w14:textId="77777777" w:rsidR="00852CDE"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17dp8vu">
            <w:r>
              <w:rPr>
                <w:color w:val="000000"/>
              </w:rPr>
              <w:t>2.2. Market entry: Dunning’s OLI framework</w:t>
            </w:r>
            <w:r>
              <w:rPr>
                <w:color w:val="000000"/>
              </w:rPr>
              <w:tab/>
              <w:t>13</w:t>
            </w:r>
          </w:hyperlink>
        </w:p>
        <w:p w14:paraId="23A117FE" w14:textId="77777777" w:rsidR="00852CDE"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3rdcrjn">
            <w:r>
              <w:rPr>
                <w:color w:val="000000"/>
              </w:rPr>
              <w:t>3. Entry Mode Strategy and Strategic Synthesis</w:t>
            </w:r>
            <w:r>
              <w:rPr>
                <w:color w:val="000000"/>
              </w:rPr>
              <w:tab/>
              <w:t>15</w:t>
            </w:r>
          </w:hyperlink>
        </w:p>
        <w:p w14:paraId="762243FC" w14:textId="77777777" w:rsidR="00852CDE"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26in1rg">
            <w:r>
              <w:rPr>
                <w:color w:val="000000"/>
              </w:rPr>
              <w:t>3.1 Historical Entry Modes</w:t>
            </w:r>
            <w:r>
              <w:rPr>
                <w:color w:val="000000"/>
              </w:rPr>
              <w:tab/>
              <w:t>15</w:t>
            </w:r>
          </w:hyperlink>
        </w:p>
        <w:p w14:paraId="1B971D26" w14:textId="77777777" w:rsidR="00852CDE"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lnxbz9">
            <w:r>
              <w:rPr>
                <w:color w:val="000000"/>
              </w:rPr>
              <w:t>3.2 Evaluation of Historical Strategy</w:t>
            </w:r>
            <w:r>
              <w:rPr>
                <w:color w:val="000000"/>
              </w:rPr>
              <w:tab/>
              <w:t>16</w:t>
            </w:r>
          </w:hyperlink>
        </w:p>
        <w:p w14:paraId="0F46055D" w14:textId="77777777" w:rsidR="00852CDE"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35nkun2">
            <w:r>
              <w:rPr>
                <w:color w:val="000000"/>
              </w:rPr>
              <w:t>3.3 Recommended Entry Mode for Brazil</w:t>
            </w:r>
            <w:r>
              <w:rPr>
                <w:color w:val="000000"/>
              </w:rPr>
              <w:tab/>
              <w:t>16</w:t>
            </w:r>
          </w:hyperlink>
        </w:p>
        <w:p w14:paraId="0C486A00" w14:textId="77777777" w:rsidR="00852CDE"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1ksv4uv">
            <w:r>
              <w:rPr>
                <w:color w:val="000000"/>
              </w:rPr>
              <w:t>3.4 Strategic Fit</w:t>
            </w:r>
            <w:r>
              <w:rPr>
                <w:color w:val="000000"/>
              </w:rPr>
              <w:tab/>
              <w:t>17</w:t>
            </w:r>
          </w:hyperlink>
        </w:p>
        <w:p w14:paraId="511731BB" w14:textId="77777777" w:rsidR="00852CDE"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44sinio">
            <w:r>
              <w:rPr>
                <w:color w:val="000000"/>
              </w:rPr>
              <w:t>4. Conclusion</w:t>
            </w:r>
            <w:r>
              <w:rPr>
                <w:color w:val="000000"/>
              </w:rPr>
              <w:tab/>
              <w:t>19</w:t>
            </w:r>
          </w:hyperlink>
        </w:p>
        <w:p w14:paraId="01DBA176" w14:textId="77777777" w:rsidR="00852CDE"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2jxsxqh">
            <w:r>
              <w:rPr>
                <w:color w:val="000000"/>
              </w:rPr>
              <w:t>Section 2: Reflective account</w:t>
            </w:r>
            <w:r>
              <w:rPr>
                <w:color w:val="000000"/>
              </w:rPr>
              <w:tab/>
              <w:t>20</w:t>
            </w:r>
          </w:hyperlink>
        </w:p>
        <w:p w14:paraId="61CDED21" w14:textId="77777777" w:rsidR="00852CDE"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z337ya">
            <w:r>
              <w:rPr>
                <w:color w:val="000000"/>
              </w:rPr>
              <w:t>Reference List</w:t>
            </w:r>
            <w:r>
              <w:rPr>
                <w:color w:val="000000"/>
              </w:rPr>
              <w:tab/>
              <w:t>24</w:t>
            </w:r>
          </w:hyperlink>
        </w:p>
        <w:p w14:paraId="340EECD9" w14:textId="77777777" w:rsidR="00852CDE" w:rsidRDefault="00000000">
          <w:pPr>
            <w:spacing w:before="0"/>
          </w:pPr>
          <w:r>
            <w:fldChar w:fldCharType="end"/>
          </w:r>
        </w:p>
      </w:sdtContent>
    </w:sdt>
    <w:p w14:paraId="3BA113DA" w14:textId="77777777" w:rsidR="00852CDE" w:rsidRDefault="00000000">
      <w:pPr>
        <w:rPr>
          <w:b/>
          <w:sz w:val="28"/>
          <w:szCs w:val="28"/>
        </w:rPr>
      </w:pPr>
      <w:r>
        <w:br w:type="page"/>
      </w:r>
    </w:p>
    <w:p w14:paraId="2D8375ED" w14:textId="77777777" w:rsidR="00852CDE" w:rsidRDefault="00000000">
      <w:pPr>
        <w:pStyle w:val="Heading1"/>
      </w:pPr>
      <w:bookmarkStart w:id="1" w:name="_30j0zll" w:colFirst="0" w:colLast="0"/>
      <w:bookmarkEnd w:id="1"/>
      <w:r>
        <w:lastRenderedPageBreak/>
        <w:t xml:space="preserve">Section 1 </w:t>
      </w:r>
    </w:p>
    <w:p w14:paraId="274FD5DF" w14:textId="77777777" w:rsidR="00852CDE" w:rsidRDefault="00000000">
      <w:pPr>
        <w:pStyle w:val="Heading1"/>
      </w:pPr>
      <w:bookmarkStart w:id="2" w:name="_1fob9te" w:colFirst="0" w:colLast="0"/>
      <w:bookmarkEnd w:id="2"/>
      <w:r>
        <w:t xml:space="preserve">Introduction </w:t>
      </w:r>
    </w:p>
    <w:p w14:paraId="3CCC9E82" w14:textId="77777777" w:rsidR="00852CDE" w:rsidRDefault="00000000">
      <w:r>
        <w:t>This report assesses the feasibility of Pret A Manger expanding into the Brazilian market due to the country being a coffee lover. It is explained by examining their overall corporate strategy, organisational structure and external business environment. The report identifies how attractive the market is to enter, along with the best way to enter and the risks that come with it.</w:t>
      </w:r>
    </w:p>
    <w:p w14:paraId="10E9BA8B" w14:textId="77777777" w:rsidR="00852CDE" w:rsidRDefault="00000000">
      <w:pPr>
        <w:pStyle w:val="Heading1"/>
      </w:pPr>
      <w:bookmarkStart w:id="3" w:name="_3znysh7" w:colFirst="0" w:colLast="0"/>
      <w:bookmarkEnd w:id="3"/>
      <w:r>
        <w:t>1. Organisational Classification and Global Strategy</w:t>
      </w:r>
    </w:p>
    <w:p w14:paraId="71A62DC0" w14:textId="77777777" w:rsidR="00852CDE" w:rsidRDefault="00000000">
      <w:pPr>
        <w:pStyle w:val="Heading2"/>
        <w:spacing w:before="0"/>
      </w:pPr>
      <w:bookmarkStart w:id="4" w:name="_2et92p0" w:colFirst="0" w:colLast="0"/>
      <w:bookmarkEnd w:id="4"/>
      <w:r>
        <w:t>1.1 Company Overview</w:t>
      </w:r>
    </w:p>
    <w:p w14:paraId="0F3614FD" w14:textId="77777777" w:rsidR="00852CDE" w:rsidRDefault="00000000">
      <w:pPr>
        <w:spacing w:before="240" w:after="240"/>
      </w:pPr>
      <w:r>
        <w:t>The Pret A Manger Company is an international fast-food chain, and its first shop was in 1986 in the UK (Pret A Manger, 2025). Today, the company has more than 650 branches in 18 countries around the globe, such as the UK, the US, and Europe (Millat Group, 2024). More than 13,000 people work for Pret A Manger worldwide. Moreover, the company serves millions of clients each week (BBC, 2020). The Pret Foundation reintroduced the grant-giving programme in FY 2024 by donating £100,000 to 50 grassroots charities (Annualreport.com, 2026). Pret A Manger specialises in fresh, organic, and ready-to-eat food, paying attention to the company’s sustainability and ethics of food provision. Recently, the company has been expanding due to franchise agreements and innovations in the digital sphere, such as a subscription coffee service.</w:t>
      </w:r>
    </w:p>
    <w:p w14:paraId="28CFF9AA" w14:textId="77777777" w:rsidR="00852CDE" w:rsidRDefault="00000000">
      <w:pPr>
        <w:pStyle w:val="Heading2"/>
        <w:spacing w:before="0"/>
      </w:pPr>
      <w:bookmarkStart w:id="5" w:name="_tyjcwt" w:colFirst="0" w:colLast="0"/>
      <w:bookmarkEnd w:id="5"/>
      <w:r>
        <w:rPr>
          <w:sz w:val="24"/>
          <w:szCs w:val="24"/>
        </w:rPr>
        <w:t xml:space="preserve"> </w:t>
      </w:r>
      <w:r>
        <w:t>1.2 Organisational Classification</w:t>
      </w:r>
    </w:p>
    <w:p w14:paraId="4DA9BABC" w14:textId="77777777" w:rsidR="00852CDE" w:rsidRDefault="00000000">
      <w:pPr>
        <w:spacing w:before="240" w:after="240"/>
      </w:pPr>
      <w:r>
        <w:t xml:space="preserve">The classification of Pret A Manger as an MNC can be justified based on its international diversification and geographic dispersion. More than 650 outlets are operating in 18 countries, such as the UK, the US, France, Hong Kong, and the UAE, indicating that the company has a strong geographic dispersion (World Coffee Portal News, 2024). The expansion in 18 countries ensures it as a multinational company. It contributes a certain amount of revenue. </w:t>
      </w:r>
    </w:p>
    <w:p w14:paraId="036D9F2F" w14:textId="77777777" w:rsidR="00852CDE" w:rsidRDefault="00000000">
      <w:pPr>
        <w:spacing w:before="240" w:after="240"/>
      </w:pPr>
      <w:r>
        <w:lastRenderedPageBreak/>
        <w:t xml:space="preserve">Moreover, sales increased by 2.8% in 2024 LFL and Pret continues its development and now operates 717 outlets all around the world with 11% net shop growth. Pret sales also increased by 10% and reached the level of £1.2bn in 2024 (PRET.co.uk, 2024). Company operations are provided with the help of company owned stores and franchises, and this allows the company to efficiently penetrate international markets. </w:t>
      </w:r>
    </w:p>
    <w:p w14:paraId="1F807C3B" w14:textId="77777777" w:rsidR="00852CDE" w:rsidRDefault="00000000">
      <w:pPr>
        <w:pStyle w:val="Heading2"/>
        <w:spacing w:before="0"/>
      </w:pPr>
      <w:bookmarkStart w:id="6" w:name="_3dy6vkm" w:colFirst="0" w:colLast="0"/>
      <w:bookmarkEnd w:id="6"/>
      <w:r>
        <w:rPr>
          <w:sz w:val="24"/>
          <w:szCs w:val="24"/>
        </w:rPr>
        <w:t xml:space="preserve"> </w:t>
      </w:r>
      <w:r>
        <w:t>1.3 Bartlett &amp; Ghoshal's International Strategy Model</w:t>
      </w:r>
    </w:p>
    <w:p w14:paraId="1F2AB914" w14:textId="77777777" w:rsidR="00852CDE" w:rsidRDefault="00000000">
      <w:pPr>
        <w:spacing w:before="240" w:after="240"/>
        <w:jc w:val="center"/>
      </w:pPr>
      <w:bookmarkStart w:id="7" w:name="_3j2qqm3" w:colFirst="0" w:colLast="0"/>
      <w:bookmarkEnd w:id="7"/>
      <w:r>
        <w:rPr>
          <w:noProof/>
        </w:rPr>
        <w:drawing>
          <wp:inline distT="114300" distB="114300" distL="114300" distR="114300" wp14:anchorId="38D9C6DC" wp14:editId="15AEC070">
            <wp:extent cx="5617709" cy="5128092"/>
            <wp:effectExtent l="12700" t="12700" r="12700" b="127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a:stretch>
                      <a:fillRect/>
                    </a:stretch>
                  </pic:blipFill>
                  <pic:spPr>
                    <a:xfrm>
                      <a:off x="0" y="0"/>
                      <a:ext cx="5617709" cy="5128092"/>
                    </a:xfrm>
                    <a:prstGeom prst="rect">
                      <a:avLst/>
                    </a:prstGeom>
                    <a:ln w="12700">
                      <a:solidFill>
                        <a:srgbClr val="000000"/>
                      </a:solidFill>
                      <a:prstDash val="solid"/>
                    </a:ln>
                  </pic:spPr>
                </pic:pic>
              </a:graphicData>
            </a:graphic>
          </wp:inline>
        </w:drawing>
      </w:r>
    </w:p>
    <w:p w14:paraId="450AFF58" w14:textId="77777777" w:rsidR="00852CDE" w:rsidRDefault="00000000">
      <w:pPr>
        <w:spacing w:before="240" w:after="240"/>
        <w:jc w:val="center"/>
        <w:rPr>
          <w:b/>
        </w:rPr>
      </w:pPr>
      <w:r>
        <w:rPr>
          <w:b/>
        </w:rPr>
        <w:t>Figure 1: Bartlett &amp; Ghoshal's International Strategy Model</w:t>
      </w:r>
    </w:p>
    <w:p w14:paraId="51F2ACF5" w14:textId="77777777" w:rsidR="00852CDE" w:rsidRDefault="00000000">
      <w:pPr>
        <w:spacing w:before="240" w:after="240"/>
        <w:jc w:val="center"/>
      </w:pPr>
      <w:r>
        <w:t>(Source: AQA.org.uk, 2020)</w:t>
      </w:r>
    </w:p>
    <w:p w14:paraId="65E2129C" w14:textId="77777777" w:rsidR="00852CDE" w:rsidRDefault="00000000">
      <w:pPr>
        <w:spacing w:before="240" w:after="240"/>
      </w:pPr>
      <w:r>
        <w:t xml:space="preserve">"Pret A Manger" internationalises mainly using transnational strategies according to the Bartlett and Ghoshal’s International Strategy Model. "Pret A Manger" uses both </w:t>
      </w:r>
      <w:r>
        <w:lastRenderedPageBreak/>
        <w:t>global efficiency and local responsiveness as it sustains its brand identity, operational practices and fresh food culture in all markets but adjusts its menu in line with local consumer demands. For instance, "Pret A Manger" creates culturally relevant menu items for each region for example; Millat Global loved the brand in South Africa (Millat Global, 2025). This way, the company can reap economies of scale in purchasing, marketing and operations, while still being adaptable to different situations in various markets. Importantly, the use of transnational strategies ensures international expansion and competitiveness of the company, though at increased complexity and costs of management operations.</w:t>
      </w:r>
    </w:p>
    <w:p w14:paraId="2CF0E22F" w14:textId="77777777" w:rsidR="00852CDE" w:rsidRDefault="00000000">
      <w:pPr>
        <w:pStyle w:val="Heading2"/>
        <w:spacing w:before="0"/>
      </w:pPr>
      <w:bookmarkStart w:id="8" w:name="_1t3h5sf" w:colFirst="0" w:colLast="0"/>
      <w:bookmarkEnd w:id="8"/>
      <w:r>
        <w:t>1.4 Global Configuration</w:t>
      </w:r>
    </w:p>
    <w:p w14:paraId="3021F40D" w14:textId="77777777" w:rsidR="00852CDE" w:rsidRDefault="00000000">
      <w:pPr>
        <w:spacing w:before="240" w:after="240"/>
      </w:pPr>
      <w:r>
        <w:t>The foreign operations of Pret A Manger are instrumental in ensuring that Pret maintains a competitive advantage and creates value. As per Pret, one in every four pounds earned by the company in its outlets is from outside the United Kingdom, reflecting how much of a difference the international operations make to Pret’s performance. In 2023, Pret had an all-time high of 81 outlets, with over half of the total number located in other countries like Canada, India, Greece, and Spain (Lawson, 2024). The company has been able to expand in other parts of the world using franchising methods to increase market penetration without having to bear too many financial risks. With the servicing of over 300,000 customers every day, Pret can benefit greatly from economies of scale and efficiency (Pret UAE, 2026). In addition to this, global operations enable Pret to benefit from its strengths, which include supply chain management, fresh food, and luxury branding.</w:t>
      </w:r>
    </w:p>
    <w:p w14:paraId="219C5B6F" w14:textId="77777777" w:rsidR="00852CDE" w:rsidRDefault="00000000">
      <w:pPr>
        <w:pStyle w:val="Heading1"/>
      </w:pPr>
      <w:bookmarkStart w:id="9" w:name="_4d34og8" w:colFirst="0" w:colLast="0"/>
      <w:bookmarkEnd w:id="9"/>
      <w:r>
        <w:t xml:space="preserve">2. Macro-Environmental Appraisal and Market Attractiveness </w:t>
      </w:r>
    </w:p>
    <w:p w14:paraId="066C7A75" w14:textId="77777777" w:rsidR="00852CDE" w:rsidRDefault="00000000">
      <w:pPr>
        <w:pStyle w:val="Heading2"/>
      </w:pPr>
      <w:bookmarkStart w:id="10" w:name="_2s8eyo1" w:colFirst="0" w:colLast="0"/>
      <w:bookmarkEnd w:id="10"/>
      <w:r>
        <w:t xml:space="preserve">2.1. Analysis of host country </w:t>
      </w:r>
    </w:p>
    <w:p w14:paraId="0AA298C6" w14:textId="77777777" w:rsidR="00852CDE" w:rsidRDefault="00000000">
      <w:pPr>
        <w:rPr>
          <w:b/>
        </w:rPr>
      </w:pPr>
      <w:r>
        <w:rPr>
          <w:b/>
        </w:rPr>
        <w:t>Political</w:t>
      </w:r>
    </w:p>
    <w:p w14:paraId="1ACB953C" w14:textId="77777777" w:rsidR="00852CDE" w:rsidRDefault="00000000">
      <w:r>
        <w:t xml:space="preserve">Brazil induces a complex political environment for Pret a Manger as the country is the largest economy in Latin America. The data from the World Bank explains that Brazil ensures proper resilience, which is supported by private consumption, different </w:t>
      </w:r>
      <w:r>
        <w:lastRenderedPageBreak/>
        <w:t>categories of employment structure and services. The economic growth remains slow as the interest rates are high.</w:t>
      </w:r>
    </w:p>
    <w:p w14:paraId="0F28E635" w14:textId="77777777" w:rsidR="00852CDE" w:rsidRDefault="00000000">
      <w:r>
        <w:rPr>
          <w:b/>
          <w:i/>
        </w:rPr>
        <w:t xml:space="preserve">Political stability: </w:t>
      </w:r>
      <w:r>
        <w:t xml:space="preserve">The business is likely to be accompanied by tax policy, different categories of labour regulation, food safety standards, urban licensing, as well as the orientation of consumer regulation and macroeconomic policy. The democratic institutions in Brazil are able to provide an established environment in case of foreign investment; however, in the FY 2026 electoral cycle, it creates uncertainty over the future fiscal issues, tax and economic policies. Pret-a-Manger needs to focus towards avoiding the current policy environment, which may remain unchanged owing to the proposition of long-term investment. The democratic institutions in Brazil are projected to provide an established environment which is identical for foreign investment, but the electoral cycle in FY 2026 introduces some uncertainty over the future fiscal, tax observation and economic policies. Impact is moderate. </w:t>
      </w:r>
    </w:p>
    <w:p w14:paraId="2F1436B4" w14:textId="77777777" w:rsidR="00852CDE" w:rsidRDefault="00000000">
      <w:pPr>
        <w:jc w:val="center"/>
        <w:rPr>
          <w:b/>
        </w:rPr>
      </w:pPr>
      <w:r>
        <w:rPr>
          <w:b/>
          <w:noProof/>
        </w:rPr>
        <w:drawing>
          <wp:inline distT="114300" distB="114300" distL="114300" distR="114300" wp14:anchorId="6C194C58" wp14:editId="2192CCFF">
            <wp:extent cx="6251891" cy="2861691"/>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6251891" cy="2861691"/>
                    </a:xfrm>
                    <a:prstGeom prst="rect">
                      <a:avLst/>
                    </a:prstGeom>
                    <a:ln w="12700">
                      <a:solidFill>
                        <a:srgbClr val="000000"/>
                      </a:solidFill>
                      <a:prstDash val="solid"/>
                    </a:ln>
                  </pic:spPr>
                </pic:pic>
              </a:graphicData>
            </a:graphic>
          </wp:inline>
        </w:drawing>
      </w:r>
    </w:p>
    <w:p w14:paraId="35835AC1" w14:textId="77777777" w:rsidR="00852CDE" w:rsidRDefault="00000000">
      <w:pPr>
        <w:jc w:val="center"/>
        <w:rPr>
          <w:b/>
        </w:rPr>
      </w:pPr>
      <w:r>
        <w:rPr>
          <w:b/>
        </w:rPr>
        <w:t>Figure 2: Political stability of Brazil in last five years</w:t>
      </w:r>
    </w:p>
    <w:p w14:paraId="0B3D5CE8" w14:textId="77777777" w:rsidR="00852CDE" w:rsidRDefault="00000000">
      <w:pPr>
        <w:jc w:val="center"/>
      </w:pPr>
      <w:r>
        <w:t xml:space="preserve">(Source: TradingEconomics.com, 2026) </w:t>
      </w:r>
    </w:p>
    <w:p w14:paraId="4C21EC00" w14:textId="77777777" w:rsidR="00852CDE" w:rsidRDefault="00000000">
      <w:pPr>
        <w:jc w:val="left"/>
      </w:pPr>
      <w:r>
        <w:t xml:space="preserve">The above figure indicates the growth in political stability in Brazil in the last five years. </w:t>
      </w:r>
    </w:p>
    <w:p w14:paraId="4C678CEC" w14:textId="77777777" w:rsidR="00852CDE" w:rsidRDefault="00000000">
      <w:r>
        <w:rPr>
          <w:b/>
          <w:i/>
        </w:rPr>
        <w:t>Wage structure:</w:t>
      </w:r>
      <w:r>
        <w:t xml:space="preserve"> The political factors that provide food-to-go industry are the minimum wage legislation. The national minimum wage of Brazil is R$1621 per month. The workers are entitled towards 13th instalments of their monthly instalment paid each year (Wageindicator.org, 2024). The wages are accessed through periodical adjustment to manage purchasing power. The wage structure provides a positive impact towards the expansion of Pret-a-Manger in Brazil. </w:t>
      </w:r>
    </w:p>
    <w:p w14:paraId="3B961A2B" w14:textId="77777777" w:rsidR="00852CDE" w:rsidRDefault="00000000">
      <w:r>
        <w:rPr>
          <w:b/>
          <w:i/>
        </w:rPr>
        <w:t>Food Safety parameters:</w:t>
      </w:r>
      <w:r>
        <w:t xml:space="preserve"> The food safety mandates in Brazil are regulated through the Brazilian Health Regulatory Agency named Anvisa, along with the Ministry of Agriculture, and they are implementing risk-based frameworks like RDC No. 843/2024 and RDC No. 216/2004 in terms of accessing the food services. Brazil’s “Health Surveillance Agency” is determined to maintain proper food safety for the maximum satisfaction of the customers (De Freitas Saccol </w:t>
      </w:r>
      <w:r>
        <w:rPr>
          <w:i/>
        </w:rPr>
        <w:t>et al.</w:t>
      </w:r>
      <w:r>
        <w:t xml:space="preserve">, 2023). The new business, like Pret a Manger, may face an indecent number of challenges in terms of expanding their operations in Brazil. </w:t>
      </w:r>
    </w:p>
    <w:p w14:paraId="0876B4B2" w14:textId="77777777" w:rsidR="00852CDE" w:rsidRDefault="00000000">
      <w:r>
        <w:t xml:space="preserve">The political risk in Brazil is considered to be moderate. It is confirmed that Pret a Manger needs to adopt a staged entry, focus on avoiding excessive fixed investment in the initial stage and make use of local expertise to monitor taxes, focus on employment and manage municipal regulatory changes. </w:t>
      </w:r>
    </w:p>
    <w:p w14:paraId="4CFED8AB" w14:textId="77777777" w:rsidR="00852CDE" w:rsidRDefault="00000000">
      <w:pPr>
        <w:rPr>
          <w:b/>
        </w:rPr>
      </w:pPr>
      <w:r>
        <w:rPr>
          <w:b/>
        </w:rPr>
        <w:t>Economic</w:t>
      </w:r>
    </w:p>
    <w:p w14:paraId="67CB0750" w14:textId="77777777" w:rsidR="00852CDE" w:rsidRDefault="00000000">
      <w:r>
        <w:rPr>
          <w:b/>
          <w:i/>
        </w:rPr>
        <w:t>GDP rate:</w:t>
      </w:r>
      <w:r>
        <w:t xml:space="preserve"> The economic condition of Brazil supports the expansion of Pret a Manger in the form of a franchise business model. The nominal GDP of Brazil is 2279.92 billion in FY 2025, and they are considered the 10th largest economy in the world (TRADING ECONOMICS, 2025). It represented around 1.93% of the global economy. </w:t>
      </w:r>
    </w:p>
    <w:p w14:paraId="72E4772E" w14:textId="77777777" w:rsidR="00852CDE" w:rsidRDefault="00000000">
      <w:pPr>
        <w:jc w:val="center"/>
        <w:rPr>
          <w:b/>
        </w:rPr>
      </w:pPr>
      <w:r>
        <w:rPr>
          <w:b/>
          <w:noProof/>
        </w:rPr>
        <w:drawing>
          <wp:inline distT="114300" distB="114300" distL="114300" distR="114300" wp14:anchorId="17CF2463" wp14:editId="00B3A3F7">
            <wp:extent cx="6349397" cy="3400083"/>
            <wp:effectExtent l="12700" t="12700" r="12700" b="1270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6349397" cy="3400083"/>
                    </a:xfrm>
                    <a:prstGeom prst="rect">
                      <a:avLst/>
                    </a:prstGeom>
                    <a:ln w="12700">
                      <a:solidFill>
                        <a:srgbClr val="000000"/>
                      </a:solidFill>
                      <a:prstDash val="solid"/>
                    </a:ln>
                  </pic:spPr>
                </pic:pic>
              </a:graphicData>
            </a:graphic>
          </wp:inline>
        </w:drawing>
      </w:r>
    </w:p>
    <w:p w14:paraId="41BD07DD" w14:textId="77777777" w:rsidR="00852CDE" w:rsidRDefault="00000000">
      <w:pPr>
        <w:jc w:val="center"/>
        <w:rPr>
          <w:b/>
        </w:rPr>
      </w:pPr>
      <w:r>
        <w:rPr>
          <w:b/>
        </w:rPr>
        <w:t xml:space="preserve">Figure 3: Determining the GDP of Brazil </w:t>
      </w:r>
    </w:p>
    <w:p w14:paraId="0BE36F59" w14:textId="77777777" w:rsidR="00852CDE" w:rsidRDefault="00000000">
      <w:pPr>
        <w:jc w:val="center"/>
      </w:pPr>
      <w:r>
        <w:t xml:space="preserve">(Source: TRADING ECONOMICS, 2025)  </w:t>
      </w:r>
    </w:p>
    <w:p w14:paraId="2F335671" w14:textId="77777777" w:rsidR="00852CDE" w:rsidRDefault="00000000">
      <w:r>
        <w:t xml:space="preserve">The above figure indicates the growth in the GDP of the country. The GDP rate provides a positive impact towards the expansion of Pret-a-Manger in Brazil. On the other hand, the inflation rate in Brazil is 4.64% (Moya, 2025). </w:t>
      </w:r>
    </w:p>
    <w:p w14:paraId="5F87EDDD" w14:textId="77777777" w:rsidR="00852CDE" w:rsidRDefault="00000000">
      <w:r>
        <w:rPr>
          <w:b/>
        </w:rPr>
        <w:t>Coffee market of Brazil:</w:t>
      </w:r>
      <w:r>
        <w:t xml:space="preserve"> The country is considered the largest coffee producer and exporter in the world. It generates more than $18 billion in market revenue and supplies 37% of the coffee demand in the international arena (Sera </w:t>
      </w:r>
      <w:r>
        <w:rPr>
          <w:i/>
        </w:rPr>
        <w:t>et al.</w:t>
      </w:r>
      <w:r>
        <w:t xml:space="preserve">, 2025). </w:t>
      </w:r>
    </w:p>
    <w:p w14:paraId="7CBD15B1" w14:textId="77777777" w:rsidR="00852CDE" w:rsidRDefault="00000000">
      <w:r>
        <w:t xml:space="preserve">The coffee market in Brazil is growing rapidly, and it contributes to the GDP of the country. </w:t>
      </w:r>
    </w:p>
    <w:p w14:paraId="7CF62268" w14:textId="77777777" w:rsidR="00852CDE" w:rsidRDefault="00000000">
      <w:pPr>
        <w:jc w:val="center"/>
        <w:rPr>
          <w:b/>
        </w:rPr>
      </w:pPr>
      <w:r>
        <w:rPr>
          <w:b/>
          <w:noProof/>
        </w:rPr>
        <w:drawing>
          <wp:inline distT="114300" distB="114300" distL="114300" distR="114300" wp14:anchorId="06A5DE7A" wp14:editId="24549416">
            <wp:extent cx="6233486" cy="3477358"/>
            <wp:effectExtent l="12700" t="12700" r="12700" b="1270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6233486" cy="3477358"/>
                    </a:xfrm>
                    <a:prstGeom prst="rect">
                      <a:avLst/>
                    </a:prstGeom>
                    <a:ln w="12700">
                      <a:solidFill>
                        <a:srgbClr val="000000"/>
                      </a:solidFill>
                      <a:prstDash val="solid"/>
                    </a:ln>
                  </pic:spPr>
                </pic:pic>
              </a:graphicData>
            </a:graphic>
          </wp:inline>
        </w:drawing>
      </w:r>
    </w:p>
    <w:p w14:paraId="0992DA68" w14:textId="77777777" w:rsidR="00852CDE" w:rsidRDefault="00000000">
      <w:pPr>
        <w:jc w:val="center"/>
        <w:rPr>
          <w:b/>
        </w:rPr>
      </w:pPr>
      <w:r>
        <w:rPr>
          <w:b/>
        </w:rPr>
        <w:t>Figure 4: Analysing the coffee market of Brazil</w:t>
      </w:r>
    </w:p>
    <w:p w14:paraId="61D18D8A" w14:textId="77777777" w:rsidR="00852CDE" w:rsidRDefault="00000000">
      <w:pPr>
        <w:jc w:val="center"/>
      </w:pPr>
      <w:r>
        <w:t xml:space="preserve">(Source: Market Research.com, 2023) </w:t>
      </w:r>
    </w:p>
    <w:p w14:paraId="3F2FC518" w14:textId="77777777" w:rsidR="00852CDE" w:rsidRDefault="00000000">
      <w:r>
        <w:t>The above figure shows that the coffee market in FY 2023 is USD 43126.87 million, and it is projected to reach 96537.93 million in FY 2030. The CAGR is projected to be 12.2%. It is expected that the rise in coffee prices can make consumers reduce their consumption level or may switch to cheaper alternatives. The strategy of Pret a Manger may exploit Brazil through sourcing some of the high-quality Brazilian beans in the local arena. It may reduce the input costs of imports, as it creates a strong local identity and may further support supply chain resilience.</w:t>
      </w:r>
    </w:p>
    <w:p w14:paraId="26A8FB05" w14:textId="77777777" w:rsidR="00852CDE" w:rsidRDefault="00000000">
      <w:r>
        <w:t xml:space="preserve">Further, Brazil is considered to be economically attractive owing to the larger market scale, demand made by the urban consumer, franchising maturity and also access through different categories of coffee culture. However, the strategy of the company needs to be value-based. </w:t>
      </w:r>
    </w:p>
    <w:p w14:paraId="3BB2A55D" w14:textId="77777777" w:rsidR="00852CDE" w:rsidRDefault="00000000">
      <w:r>
        <w:rPr>
          <w:b/>
          <w:i/>
        </w:rPr>
        <w:t xml:space="preserve">Franchise business model of Brazil: </w:t>
      </w:r>
      <w:r>
        <w:t xml:space="preserve">The country is accustomed to a massive and highly regulated market which is governed by Federal law. The growth is massive, and it ensures a huge amount of customer demand (Kumar, 2026). It helps in generating around R$273.1 billion in revenue, and there is scope for expansion of 198,000 franchise units. The approach creates a scope for the growth of the franchising network in Brazilian cities (Bitti, Dermonde and Fischer, 2025). These aspects are considered to be crucial. Pret a Manger is focused on preferring the international growth model, which can be aligned with the already mature franchising ecosystem of Brazil. It enhances the growth of the coffee business. The Central Bank policy assesses the exchange rate volatility in Brazil. </w:t>
      </w:r>
    </w:p>
    <w:p w14:paraId="4F7EC39D" w14:textId="77777777" w:rsidR="00852CDE" w:rsidRDefault="00000000">
      <w:r>
        <w:rPr>
          <w:b/>
          <w:i/>
        </w:rPr>
        <w:t>Buying behaviour of the customers:</w:t>
      </w:r>
      <w:r>
        <w:t xml:space="preserve"> There are certain challenges in the purchasing pattern. It is expected that the rise in coffee prices may lead consumers to reduce consumption or switch to cheaper formats. The consumption of coffee in Brazil is growing rapidly (Portela </w:t>
      </w:r>
      <w:r>
        <w:rPr>
          <w:i/>
        </w:rPr>
        <w:t>et al.</w:t>
      </w:r>
      <w:r>
        <w:t xml:space="preserve">, 2025). It is found that Pret a Manger's coffee strategy needs to exploit Brazil's local supply advantage by sourcing high-quality Brazilian beans from the local market. It may reduce imported input costs and can create a strong local identity as it supports supply-chain resilience. Impact is moderate. </w:t>
      </w:r>
    </w:p>
    <w:p w14:paraId="4D234E47" w14:textId="77777777" w:rsidR="00852CDE" w:rsidRDefault="00000000">
      <w:r>
        <w:t xml:space="preserve">It can be confirmed that Brazil is considered to be economically attractive owing to its large market scale, and also through the enhancement of urban consumer demand, prospects of franchising business model and coffee culture. But the strategy needs to be value-conscious. The country is facing challenges owing to higher interest rates, inflation and currency volatility, which can make a capital-intensive company-owned rollout less attractive than the franchising model. </w:t>
      </w:r>
    </w:p>
    <w:p w14:paraId="5E7ED760" w14:textId="77777777" w:rsidR="00852CDE" w:rsidRDefault="00000000">
      <w:pPr>
        <w:rPr>
          <w:b/>
        </w:rPr>
      </w:pPr>
      <w:r>
        <w:rPr>
          <w:b/>
        </w:rPr>
        <w:t xml:space="preserve">Legal </w:t>
      </w:r>
    </w:p>
    <w:p w14:paraId="4319790F" w14:textId="77777777" w:rsidR="00852CDE" w:rsidRDefault="00000000">
      <w:r>
        <w:t xml:space="preserve">The legal considerations are considered important barriers for Pret a Manger to enter the market of Brazil. The company provides a broadly open investment environment; however, business compliance is considered to be complex. The foreign company is required to establish a formal branch or subsidiary, which needs to follow Brazilian corporate registration and access through the authorisation requirements. </w:t>
      </w:r>
    </w:p>
    <w:p w14:paraId="4345FF9A" w14:textId="77777777" w:rsidR="00852CDE" w:rsidRDefault="00000000">
      <w:r>
        <w:rPr>
          <w:b/>
          <w:i/>
        </w:rPr>
        <w:t>Enhancement of brand reputation:</w:t>
      </w:r>
      <w:r>
        <w:t xml:space="preserve"> The brand reputation for Pret a Manger depends on trust in terms of maintaining freshness and best food quality. The existing experience of the customer with the ingredient is considered to become an ownership advantage; however, it is examined that the Brazilian requirements need to be embedded in local operating procedures. The company needs to ensure proper compliance in food preparation, focus on managing storage, and maintain transportation, temperature control, and hygiene control. </w:t>
      </w:r>
    </w:p>
    <w:p w14:paraId="6F6B97E6" w14:textId="77777777" w:rsidR="00852CDE" w:rsidRDefault="00000000">
      <w:r>
        <w:rPr>
          <w:b/>
          <w:i/>
        </w:rPr>
        <w:t xml:space="preserve">Employment law: </w:t>
      </w:r>
      <w:r>
        <w:t xml:space="preserve">The employment law in Brazil is governed through the 1943 </w:t>
      </w:r>
      <w:r>
        <w:rPr>
          <w:i/>
        </w:rPr>
        <w:t>Consolidação das Leis do Trabalho</w:t>
      </w:r>
      <w:r>
        <w:t xml:space="preserve">, which provides a statutory framework for individual and collective labour relations (Iclg.com, 2026). The legal parameter in the coffee business is projected to provide challenges to the company. During the expansion, the existing management may fail to comply properly with the legal aspects, creating issues. It increases risk. </w:t>
      </w:r>
    </w:p>
    <w:p w14:paraId="0DAF5469" w14:textId="77777777" w:rsidR="00852CDE" w:rsidRDefault="00000000">
      <w:r>
        <w:rPr>
          <w:b/>
          <w:i/>
        </w:rPr>
        <w:t>Attractiveness of franchise business model:</w:t>
      </w:r>
      <w:r>
        <w:t xml:space="preserve"> The “Collegiate Board Resolutions” or RDC No. 843/2024, as well as the Normative Instruction No 281/2024, introduce some improvements in the pre-market control of food, which is based towards the risk factor (Kasznarleonardos.com, 2024). The expansion requires the franchisor to provide a “Franchise Offering Circular” in Portuguese, and it contains some of the detailed disclosure requirements. In case of an international franchising agreement where it is projected to involve payments, focus on registration with the “National Institute of Industrial Property” or INPI of Brazil, and it is necessary to provide some validity against third parties. The “Franchise Offering Circular” needs to be supplied for at least ten days before an individual signs the agreement. It creates a positive impact regarding business expansion. It increases the cost. </w:t>
      </w:r>
    </w:p>
    <w:p w14:paraId="1A45EB61" w14:textId="77777777" w:rsidR="00852CDE" w:rsidRDefault="00000000">
      <w:r>
        <w:rPr>
          <w:b/>
          <w:i/>
        </w:rPr>
        <w:t>Assessment of data privacy law:</w:t>
      </w:r>
      <w:r>
        <w:t xml:space="preserve"> It is examined that Pret a Manger can comply with the Lei Geral de Proteção de Dados or LGPD. The law regulates the collection, handling and storage of personal data, where it assists citizens in terms of ensuring controls over the information and sets strict rules for businesses (Eci.com, 2020). The law is projected to apply to personal data processing through private-sector organisations and may cover certain activities like collection, maintaining, storage, focusing on processing, managing transmission and deleting some of the personal information. It helps Pret a Manger to use loyalty-based subscriptions, assessment of digital ordering and enrolment towards the customer data. The Brazilian digital platform can be designed around the LGPD requirements from inception. The entry is affected. </w:t>
      </w:r>
    </w:p>
    <w:p w14:paraId="0763BAAA" w14:textId="77777777" w:rsidR="00852CDE" w:rsidRDefault="00000000">
      <w:r>
        <w:t xml:space="preserve">The legal environment in Brazil indicates that it supports local partnerships and professional compliance rather than focusing on operating from the UK. It creates a moderate impact towards the business operations. </w:t>
      </w:r>
    </w:p>
    <w:p w14:paraId="17FCB7BE" w14:textId="77777777" w:rsidR="00852CDE" w:rsidRDefault="00000000">
      <w:pPr>
        <w:rPr>
          <w:b/>
        </w:rPr>
      </w:pPr>
      <w:r>
        <w:rPr>
          <w:b/>
        </w:rPr>
        <w:t xml:space="preserve">Cultural </w:t>
      </w:r>
    </w:p>
    <w:p w14:paraId="5521BF66" w14:textId="77777777" w:rsidR="00852CDE" w:rsidRDefault="00000000">
      <w:r>
        <w:t xml:space="preserve">The cultural aspects in Brazil are determined to have an impact on the management of Pret A Manger for expansion. </w:t>
      </w:r>
    </w:p>
    <w:p w14:paraId="0AB8A1EC" w14:textId="77777777" w:rsidR="00852CDE" w:rsidRDefault="00000000">
      <w:pPr>
        <w:jc w:val="center"/>
        <w:rPr>
          <w:b/>
        </w:rPr>
      </w:pPr>
      <w:r>
        <w:rPr>
          <w:b/>
          <w:noProof/>
        </w:rPr>
        <w:drawing>
          <wp:inline distT="114300" distB="114300" distL="114300" distR="114300" wp14:anchorId="5BC1E3F1" wp14:editId="38528E33">
            <wp:extent cx="6117573" cy="3103863"/>
            <wp:effectExtent l="3175" t="3175" r="3175" b="3175"/>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6117573" cy="3103863"/>
                    </a:xfrm>
                    <a:prstGeom prst="rect">
                      <a:avLst/>
                    </a:prstGeom>
                    <a:ln w="3175">
                      <a:solidFill>
                        <a:srgbClr val="0C0C0C"/>
                      </a:solidFill>
                      <a:prstDash val="solid"/>
                    </a:ln>
                  </pic:spPr>
                </pic:pic>
              </a:graphicData>
            </a:graphic>
          </wp:inline>
        </w:drawing>
      </w:r>
    </w:p>
    <w:p w14:paraId="6828837E" w14:textId="77777777" w:rsidR="00852CDE" w:rsidRDefault="00000000">
      <w:pPr>
        <w:jc w:val="center"/>
        <w:rPr>
          <w:b/>
        </w:rPr>
      </w:pPr>
      <w:r>
        <w:rPr>
          <w:b/>
        </w:rPr>
        <w:t xml:space="preserve">Figure 5: Comparison between UK and Brazil through Hofstede cultural model </w:t>
      </w:r>
    </w:p>
    <w:p w14:paraId="754971C8" w14:textId="77777777" w:rsidR="00852CDE" w:rsidRDefault="00000000">
      <w:pPr>
        <w:jc w:val="center"/>
      </w:pPr>
      <w:r>
        <w:t xml:space="preserve">(The Culture Factor Group, 2025) </w:t>
      </w:r>
    </w:p>
    <w:p w14:paraId="1D9EECE9" w14:textId="77777777" w:rsidR="00852CDE" w:rsidRDefault="00000000">
      <w:pPr>
        <w:jc w:val="left"/>
      </w:pPr>
      <w:r>
        <w:t xml:space="preserve">The above figure shows that people in the UK are motivated by other’s achievements and work as individuals for the long term. People from Brazil believe in a power game and avoid uncertainty in a better manner. </w:t>
      </w:r>
    </w:p>
    <w:p w14:paraId="74F365CE" w14:textId="77777777" w:rsidR="00852CDE" w:rsidRDefault="00000000">
      <w:r>
        <w:rPr>
          <w:b/>
          <w:i/>
        </w:rPr>
        <w:t>Difference between the coffee culture in Brazil and the UK:</w:t>
      </w:r>
      <w:r>
        <w:t xml:space="preserve"> Customers in Brazil are highly familiar with coffee, but it is not identical to the coffee shop culture of the UK. The coffee culture in Brazil is accompanied by different flavours and a wide range of varieties (Barrionuevo, 2025). The coffee shop culture is popular in places like Sao Paulo and Curitiba, but in other places there are huge gaps, creating issues. The evolution of coffee culture in Brazil is focused on balancing mass commercial output through the expanding speciality and domestic gourmet sector. Coffee is said to have historical significance in Brazilian culture, as political, historical and economical events have boosted the production as well as consumption levels of customers (Teles and Behrens, 2020). The cafe culture in Brazil can involve ensuring social interaction and building towards shared consumption. It suggests that the company Pret A Manger needs to avoid designing every store for speed. Further, flagship locations like São Paulo, one of the most popular places in Brazil, may incorporate seating arrangements, provide Wi-Fi, and transport hubs may be able to retain a compact as well as grab-and-go format. </w:t>
      </w:r>
    </w:p>
    <w:p w14:paraId="389594C2" w14:textId="77777777" w:rsidR="00852CDE" w:rsidRDefault="00000000">
      <w:r>
        <w:rPr>
          <w:b/>
          <w:i/>
        </w:rPr>
        <w:t>Coffee consumption in Brazil:</w:t>
      </w:r>
      <w:r>
        <w:t xml:space="preserve"> The Robusta coffee production in Brazil is driven by climate resilience and global demand. The Robusta output of Brazil can reach 24.7 billion bags in FY 2025. </w:t>
      </w:r>
    </w:p>
    <w:p w14:paraId="5D78B94E" w14:textId="77777777" w:rsidR="00852CDE" w:rsidRDefault="00000000">
      <w:pPr>
        <w:jc w:val="center"/>
        <w:rPr>
          <w:b/>
        </w:rPr>
      </w:pPr>
      <w:r>
        <w:rPr>
          <w:b/>
          <w:noProof/>
        </w:rPr>
        <w:drawing>
          <wp:inline distT="114300" distB="114300" distL="114300" distR="114300" wp14:anchorId="5225FD10" wp14:editId="166A340B">
            <wp:extent cx="5731200" cy="33528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3352800"/>
                    </a:xfrm>
                    <a:prstGeom prst="rect">
                      <a:avLst/>
                    </a:prstGeom>
                    <a:ln w="12700">
                      <a:solidFill>
                        <a:srgbClr val="000000"/>
                      </a:solidFill>
                      <a:prstDash val="solid"/>
                    </a:ln>
                  </pic:spPr>
                </pic:pic>
              </a:graphicData>
            </a:graphic>
          </wp:inline>
        </w:drawing>
      </w:r>
    </w:p>
    <w:p w14:paraId="7B69D593" w14:textId="77777777" w:rsidR="00852CDE" w:rsidRDefault="00000000">
      <w:pPr>
        <w:jc w:val="center"/>
        <w:rPr>
          <w:b/>
        </w:rPr>
      </w:pPr>
      <w:r>
        <w:rPr>
          <w:b/>
        </w:rPr>
        <w:t xml:space="preserve">Figure 6: Production of different types of coffee in the last six years </w:t>
      </w:r>
    </w:p>
    <w:p w14:paraId="26336C5A" w14:textId="77777777" w:rsidR="00852CDE" w:rsidRDefault="00000000">
      <w:pPr>
        <w:jc w:val="center"/>
      </w:pPr>
      <w:r>
        <w:t xml:space="preserve">(Source: Teixeira, 2025) </w:t>
      </w:r>
    </w:p>
    <w:p w14:paraId="1DD08D97" w14:textId="77777777" w:rsidR="00852CDE" w:rsidRDefault="00000000">
      <w:pPr>
        <w:jc w:val="left"/>
      </w:pPr>
      <w:r>
        <w:t xml:space="preserve">The coffee production of Arabica and Robusta is high in Brazil, and it is projected to attract the maximum number of customers. It also ensures the association of Pret a Manger through the franchise business model. The growth level ensures a positive impact regarding the expansion of business. </w:t>
      </w:r>
    </w:p>
    <w:p w14:paraId="64D4ABFA" w14:textId="77777777" w:rsidR="00852CDE" w:rsidRDefault="00000000">
      <w:pPr>
        <w:jc w:val="left"/>
      </w:pPr>
      <w:r>
        <w:rPr>
          <w:b/>
          <w:i/>
        </w:rPr>
        <w:t>Meal culture in Brazil:</w:t>
      </w:r>
      <w:r>
        <w:t xml:space="preserve"> The urban food behaviour in Brazil and the meal culture is projected to provide challenges in the expansion of the business. Lunch is considered the primary meal, which comprises salads, meat and farofa. The adults are focused on consuming one whole meal rather than staple food products (Rovari </w:t>
      </w:r>
      <w:r>
        <w:rPr>
          <w:i/>
        </w:rPr>
        <w:t>et al.</w:t>
      </w:r>
      <w:r>
        <w:t xml:space="preserve">, 2025). Due to this, cafe culture may be hampered. Pret a Manger has the option to offer smaller meals as they can ensure providing salads, bowls, warm foods and access towards the locally relevant options for lunch. These parameters have a negative impact on the business expansion of Pret a Manger. The classification of menus can provide better value as it indicates that attention can be gained through the help of Brazilian-inspired sandwiches, different categories of tropical beverages and the use of appropriate lunch products which can be introduced along with the selected Pret a Manger classics. </w:t>
      </w:r>
    </w:p>
    <w:p w14:paraId="4DD672A8" w14:textId="77777777" w:rsidR="00852CDE" w:rsidRDefault="00000000">
      <w:pPr>
        <w:jc w:val="left"/>
      </w:pPr>
      <w:r>
        <w:t xml:space="preserve">It can be suggested that the most appropriate cultural strategy is controlled adaptation, where Pret a Manger can retain their British accent as the differentiating feature but may be able to localise the food, communication process, incorporate store atmosphere and also focus on managing pricing. </w:t>
      </w:r>
    </w:p>
    <w:p w14:paraId="36F972E5" w14:textId="77777777" w:rsidR="00852CDE" w:rsidRDefault="00000000">
      <w:pPr>
        <w:pStyle w:val="Heading2"/>
      </w:pPr>
      <w:bookmarkStart w:id="11" w:name="_17dp8vu" w:colFirst="0" w:colLast="0"/>
      <w:bookmarkEnd w:id="11"/>
      <w:r>
        <w:t xml:space="preserve">2.2. Market entry: Dunning’s OLI framework </w:t>
      </w:r>
    </w:p>
    <w:p w14:paraId="1AB98932" w14:textId="77777777" w:rsidR="00852CDE" w:rsidRDefault="00000000">
      <w:r>
        <w:t>Entry of Pret A Manger into the Brazilian market can be critically analysed through Dunning’s Eclectic Paradigm, an approach that considers Ownership, Location, and Internalisation advantages. It allows for an evaluation of strategic fit, risk exposure, and long-term profitability in the context of complex international business environments.</w:t>
      </w:r>
    </w:p>
    <w:p w14:paraId="5AD0FA03" w14:textId="77777777" w:rsidR="00852CDE" w:rsidRDefault="00000000">
      <w:pPr>
        <w:jc w:val="center"/>
      </w:pPr>
      <w:r>
        <w:rPr>
          <w:noProof/>
        </w:rPr>
        <w:drawing>
          <wp:inline distT="114300" distB="114300" distL="114300" distR="114300" wp14:anchorId="035B4CB0" wp14:editId="6099A260">
            <wp:extent cx="6084316" cy="2874582"/>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6084316" cy="2874582"/>
                    </a:xfrm>
                    <a:prstGeom prst="rect">
                      <a:avLst/>
                    </a:prstGeom>
                    <a:ln w="12700">
                      <a:solidFill>
                        <a:srgbClr val="000000"/>
                      </a:solidFill>
                      <a:prstDash val="solid"/>
                    </a:ln>
                  </pic:spPr>
                </pic:pic>
              </a:graphicData>
            </a:graphic>
          </wp:inline>
        </w:drawing>
      </w:r>
    </w:p>
    <w:p w14:paraId="1E141D6F" w14:textId="77777777" w:rsidR="00852CDE" w:rsidRDefault="00000000">
      <w:pPr>
        <w:jc w:val="center"/>
        <w:rPr>
          <w:b/>
        </w:rPr>
      </w:pPr>
      <w:r>
        <w:rPr>
          <w:b/>
        </w:rPr>
        <w:t>Figure 7: ECI Framework</w:t>
      </w:r>
    </w:p>
    <w:p w14:paraId="04B9E4B9" w14:textId="77777777" w:rsidR="00852CDE" w:rsidRDefault="00000000">
      <w:pPr>
        <w:jc w:val="center"/>
      </w:pPr>
      <w:r>
        <w:t xml:space="preserve">(Source: CFI, 2022) </w:t>
      </w:r>
    </w:p>
    <w:p w14:paraId="6A8845ED" w14:textId="77777777" w:rsidR="00852CDE" w:rsidRDefault="00000000">
      <w:pPr>
        <w:spacing w:before="0" w:after="0"/>
      </w:pPr>
      <w:r>
        <w:t>Ownership advantages include firm-specific assets that grant competitive strength in foreign markets. Pret enjoys considerable brand equity, has a premium fast-casual offering, and an operational approach centred on offering fresh, ready-to-eat food. Vertical integration and sustainability are also important factors in maintaining competitive advantage. The research work of Meddings (2024) explains that being able to generate revenues from international operations, estimated at over $1.32 billion annually upon full operations. Pret will be able to leverage these unique characteristics to effectively compete with local Brazilian coffee shops. Still, the use of the premium pricing model may limit Pret's access in a price-sensitive emerging economy, limiting the ownership advantage.</w:t>
      </w:r>
    </w:p>
    <w:p w14:paraId="08EF8232" w14:textId="77777777" w:rsidR="00852CDE" w:rsidRDefault="00000000">
      <w:pPr>
        <w:spacing w:before="0" w:after="0"/>
      </w:pPr>
      <w:r>
        <w:t>Location advantages include the attractiveness of Brazil as the host country. Brazil, with a GDP of over 2279.92 billion US dollars in 2025 and GDP value representing 1.93% of the world economy, provides attractive market opportunities due to the rapid growth of the middle class and urbanisation (Trading Economics, 2022). Moreover, being the largest coffee producer in the world, Brazil provides a source of quality raw materials at relatively low costs. Additionally, the development of the café culture and increasing demands for convenient foods present favourable market conditions for Pret. Still, there are risks in operating in a bureaucratic country with high tax rates and strict food safety regulations.</w:t>
      </w:r>
    </w:p>
    <w:p w14:paraId="67627D9F" w14:textId="77777777" w:rsidR="00852CDE" w:rsidRDefault="00000000">
      <w:pPr>
        <w:spacing w:before="240" w:after="240"/>
      </w:pPr>
      <w:r>
        <w:t>Finally, the advantages of internalisation help understand why firms would want to control their operations and not outsource them. As far as Pret is concerned, the firm’s need for quality control, brand standardisation and customer satisfaction requires a lot of internalisations. Through control over its supply chain management, store operations and service delivery, the company ensures that it has consistent quality across the world (Foster and Gardner, 2025). However, complete ownership may result in financial risks due to uncertainties regarding Brazilian regulation. Thus, using a combination of control and franchising/joint venture may help achieve optimal results.</w:t>
      </w:r>
    </w:p>
    <w:p w14:paraId="487A2536" w14:textId="77777777" w:rsidR="00852CDE" w:rsidRDefault="00000000">
      <w:pPr>
        <w:spacing w:before="240" w:after="240"/>
      </w:pPr>
      <w:r>
        <w:t>In conclusion, while the firm has several advantages regarding both ownership and internalisation, and Brazil offers great location advantages, market entry success depends greatly on balancing premium positioning with affordability, dealing with regulation and using an optimal market entry strategy.</w:t>
      </w:r>
    </w:p>
    <w:p w14:paraId="10F26A67" w14:textId="77777777" w:rsidR="00852CDE" w:rsidRDefault="00000000">
      <w:pPr>
        <w:pStyle w:val="Heading1"/>
      </w:pPr>
      <w:bookmarkStart w:id="12" w:name="_3rdcrjn" w:colFirst="0" w:colLast="0"/>
      <w:bookmarkEnd w:id="12"/>
      <w:r>
        <w:t xml:space="preserve">3. Entry Mode Strategy and Strategic Synthesis </w:t>
      </w:r>
    </w:p>
    <w:p w14:paraId="3EE8A678" w14:textId="77777777" w:rsidR="00852CDE" w:rsidRDefault="00000000">
      <w:pPr>
        <w:pStyle w:val="Heading2"/>
        <w:spacing w:before="0"/>
      </w:pPr>
      <w:bookmarkStart w:id="13" w:name="_26in1rg" w:colFirst="0" w:colLast="0"/>
      <w:bookmarkEnd w:id="13"/>
      <w:r>
        <w:t>3.1 Historical Entry Modes</w:t>
      </w:r>
    </w:p>
    <w:p w14:paraId="7E471425" w14:textId="77777777" w:rsidR="00852CDE" w:rsidRDefault="00000000">
      <w:pPr>
        <w:spacing w:before="240" w:after="240"/>
      </w:pPr>
      <w:r>
        <w:t xml:space="preserve">International expansion of Pret A Manger is characterised by a progression in entry modes from wholly owned stores to franchising and partnerships. At the start, the company grew within the UK and further into Europe in countries such as France and Germany (Pret A Manger, 2025). As the company continued to grow internationally, it moved to adopt the use of franchise agreements and joint ventures. In Middle Eastern markets such as the United Arab Emirates, franchise agreements helped Pret to utilise local knowledge of the market (Ralph, 2022). Entry in the Indian market shows the use of joint ventures. The latter helps the company to align itself with consumers' needs and preferences while lowering the operational risks. The company changes strategy while expanding towards foreign markets. </w:t>
      </w:r>
    </w:p>
    <w:p w14:paraId="07DCC562" w14:textId="77777777" w:rsidR="00852CDE" w:rsidRDefault="00000000">
      <w:pPr>
        <w:spacing w:before="240" w:after="240"/>
      </w:pPr>
      <w:r>
        <w:t>All the above show that Pret A Manger has employed transnational entry modes in order to balance between standardisation and localisation. Franchise agreements enabled the company to expand faster, penetrate the market quickly and grow in scale (Siebert, 2024). On the other hand, selective ownership allows for maintaining brand identity in key markets.</w:t>
      </w:r>
    </w:p>
    <w:p w14:paraId="3B8CF07B" w14:textId="77777777" w:rsidR="00852CDE" w:rsidRDefault="00000000">
      <w:pPr>
        <w:pStyle w:val="Heading2"/>
        <w:spacing w:before="0"/>
      </w:pPr>
      <w:bookmarkStart w:id="14" w:name="_lnxbz9" w:colFirst="0" w:colLast="0"/>
      <w:bookmarkEnd w:id="14"/>
      <w:r>
        <w:t>3.2 Evaluation of Historical Strategy</w:t>
      </w:r>
    </w:p>
    <w:p w14:paraId="28F27B26" w14:textId="77777777" w:rsidR="00852CDE" w:rsidRDefault="00000000">
      <w:pPr>
        <w:spacing w:before="240" w:after="240"/>
      </w:pPr>
      <w:r>
        <w:t>In the historical internationalisation strategy employed by Pret A Manger, there is evidence of an effectively timed change from entry modes that entail high control to those that are risk-adjusted. At first, the use of wholly owned subsidiaries in key markets, such as strategic shifts of skyscrapers, gave the company full control, product consistency and alignment with its premium positioning strategy (Jefferson, 2022). The company faced high risks due to the nature of the strategy.</w:t>
      </w:r>
    </w:p>
    <w:p w14:paraId="796B19D2" w14:textId="77777777" w:rsidR="00852CDE" w:rsidRDefault="00000000">
      <w:pPr>
        <w:spacing w:before="240" w:after="240"/>
      </w:pPr>
      <w:r>
        <w:t>In the next stage of its internationalisation process, Pret A Manger employed franchise and joint venture strategies in new and emerging markets such as India and the Middle East. This move allowed the company to exploit knowledge of the market by local partners and increase the rate of market entry and maintain its brand standards (Pret.co.uk, 2025). Significantly, this strategy is congruent with a transnational strategy in that it balances global integration and local responsiveness.</w:t>
      </w:r>
    </w:p>
    <w:p w14:paraId="1CCA9643" w14:textId="77777777" w:rsidR="00852CDE" w:rsidRDefault="00000000">
      <w:pPr>
        <w:spacing w:before="240" w:after="240"/>
      </w:pPr>
      <w:r>
        <w:t>Risks of reduced control of the quality of services offered and brand standards by the partners employed in these strategies cannot be ignored. Overall, the historical strategy is very effective since it maximises growth, minimises risk exposure and improves scalability.</w:t>
      </w:r>
    </w:p>
    <w:p w14:paraId="22F33D51" w14:textId="77777777" w:rsidR="00852CDE" w:rsidRDefault="00000000">
      <w:pPr>
        <w:pStyle w:val="Heading2"/>
        <w:spacing w:before="0"/>
      </w:pPr>
      <w:bookmarkStart w:id="15" w:name="_35nkun2" w:colFirst="0" w:colLast="0"/>
      <w:bookmarkEnd w:id="15"/>
      <w:r>
        <w:t>3.3 Recommended Entry Mode for Brazil</w:t>
      </w:r>
    </w:p>
    <w:p w14:paraId="68841002" w14:textId="77777777" w:rsidR="00852CDE" w:rsidRDefault="00000000">
      <w:pPr>
        <w:spacing w:before="240" w:after="240"/>
      </w:pPr>
      <w:r>
        <w:t xml:space="preserve">Pret A Manger should follow a hybrid entry mode for Brazil that would combine joint venture and franchising as market entry modes. A hybrid entry mode provides an opportunity to obtain market-specific information and grow fast without making huge investments. Joint venture will allow Pret to cooperate with a well-experienced local partner who will provide information about the consumers' needs, regulations, logistics, and food safety norms in Brazil (Laheri </w:t>
      </w:r>
      <w:r>
        <w:rPr>
          <w:i/>
        </w:rPr>
        <w:t>et al</w:t>
      </w:r>
      <w:r>
        <w:t xml:space="preserve">., 2025). On the other hand, Kaur (2025) said that franchising will provide opportunities to expand fast without high expenses </w:t>
      </w:r>
    </w:p>
    <w:p w14:paraId="2D6716C9" w14:textId="77777777" w:rsidR="00852CDE" w:rsidRDefault="00000000">
      <w:pPr>
        <w:spacing w:before="240" w:after="240"/>
      </w:pPr>
      <w:r>
        <w:t>It is a good choice for Brazil because it provides a good balance between control, risks, and growth. Although pure franchising is very fast, it does not provide enough control over the process. However, a wholly-owned subsidiary will give much control, but will need more money and will expose the company to economic risks such as inflation and currency change. This suggestion is justified by the international expansion strategy of Pret that allows it to achieve success through cooperation with local companies in other countries such as India and the Middle East.</w:t>
      </w:r>
    </w:p>
    <w:p w14:paraId="66E1F2BC" w14:textId="77777777" w:rsidR="00852CDE" w:rsidRDefault="00000000">
      <w:pPr>
        <w:pStyle w:val="Heading2"/>
        <w:spacing w:before="0"/>
      </w:pPr>
      <w:bookmarkStart w:id="16" w:name="_1ksv4uv" w:colFirst="0" w:colLast="0"/>
      <w:bookmarkEnd w:id="16"/>
      <w:r>
        <w:t>3.4 Strategic Fit</w:t>
      </w:r>
    </w:p>
    <w:p w14:paraId="052A0EB6" w14:textId="77777777" w:rsidR="00852CDE" w:rsidRDefault="00000000">
      <w:r>
        <w:t>Pret A Manger, having a historical dependence on franchising, could only be supported by entering into strategic partnerships, which is highly suitable for the market of Brazil as it not only balances operational control and resource commitment but also risk management as well. The medium level of complexity in the regulatory system of Brazil, which is defined by its rigorous regulations regarding food safety, labour laws, and taxation, makes it a high-control and medium-risk strategy. Kasznar Administrador (2024) stated that Brazil has implemented a regulatory framework in governing quality and food safety in Brazil. Franchising with local but reputable partners could be effective for the company in not only reducing the risk of financial exposure by providing valuable knowledge about the market but also facilitating regulatory compliance. In the long term, a strategy of hybrid franchising could be effective for the company towards scalable expansion across major cities of Brazil while also preserving capital to make investments in the future. Hence, it is important for Pret to maintain the strongest strategic fit for the achievement of sustainable growth in the markets of Brazil.</w:t>
      </w:r>
    </w:p>
    <w:p w14:paraId="39830B9F" w14:textId="77777777" w:rsidR="00852CDE" w:rsidRDefault="00000000">
      <w:pPr>
        <w:rPr>
          <w:b/>
        </w:rPr>
      </w:pPr>
      <w:r>
        <w:rPr>
          <w:b/>
        </w:rPr>
        <w:t>Risk Assessment of entry mode in Brazil</w:t>
      </w:r>
    </w:p>
    <w:tbl>
      <w:tblPr>
        <w:tblStyle w:val="a"/>
        <w:tblW w:w="9981" w:type="dxa"/>
        <w:tblInd w:w="-200" w:type="dxa"/>
        <w:tblBorders>
          <w:top w:val="nil"/>
          <w:left w:val="nil"/>
          <w:bottom w:val="nil"/>
          <w:right w:val="nil"/>
          <w:insideH w:val="nil"/>
          <w:insideV w:val="nil"/>
        </w:tblBorders>
        <w:tblLayout w:type="fixed"/>
        <w:tblLook w:val="0600" w:firstRow="0" w:lastRow="0" w:firstColumn="0" w:lastColumn="0" w:noHBand="1" w:noVBand="1"/>
      </w:tblPr>
      <w:tblGrid>
        <w:gridCol w:w="1434"/>
        <w:gridCol w:w="2976"/>
        <w:gridCol w:w="851"/>
        <w:gridCol w:w="851"/>
        <w:gridCol w:w="851"/>
        <w:gridCol w:w="3018"/>
      </w:tblGrid>
      <w:tr w:rsidR="00852CDE" w14:paraId="1D446FD3" w14:textId="77777777">
        <w:trPr>
          <w:trHeight w:val="885"/>
        </w:trPr>
        <w:tc>
          <w:tcPr>
            <w:tcW w:w="1434"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7361B2BE" w14:textId="77777777" w:rsidR="00852CDE" w:rsidRDefault="00000000">
            <w:pPr>
              <w:spacing w:before="0" w:after="0"/>
              <w:jc w:val="center"/>
              <w:rPr>
                <w:b/>
                <w:i/>
              </w:rPr>
            </w:pPr>
            <w:r>
              <w:rPr>
                <w:b/>
                <w:i/>
              </w:rPr>
              <w:t>Categorisation of risks</w:t>
            </w:r>
          </w:p>
        </w:tc>
        <w:tc>
          <w:tcPr>
            <w:tcW w:w="2976"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06131704" w14:textId="77777777" w:rsidR="00852CDE" w:rsidRDefault="00000000">
            <w:pPr>
              <w:spacing w:before="0" w:after="0"/>
              <w:jc w:val="center"/>
              <w:rPr>
                <w:b/>
                <w:i/>
              </w:rPr>
            </w:pPr>
            <w:r>
              <w:rPr>
                <w:b/>
                <w:i/>
              </w:rPr>
              <w:t>Potential Influence on Pret A Manger</w:t>
            </w:r>
          </w:p>
        </w:tc>
        <w:tc>
          <w:tcPr>
            <w:tcW w:w="85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2566AED3" w14:textId="77777777" w:rsidR="00852CDE" w:rsidRDefault="00000000">
            <w:pPr>
              <w:spacing w:before="0" w:after="0"/>
              <w:jc w:val="center"/>
              <w:rPr>
                <w:b/>
                <w:i/>
              </w:rPr>
            </w:pPr>
            <w:r>
              <w:rPr>
                <w:b/>
                <w:i/>
              </w:rPr>
              <w:t>Likelihood</w:t>
            </w:r>
          </w:p>
        </w:tc>
        <w:tc>
          <w:tcPr>
            <w:tcW w:w="85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6F4D9B3B" w14:textId="77777777" w:rsidR="00852CDE" w:rsidRDefault="00000000">
            <w:pPr>
              <w:spacing w:before="0" w:after="0"/>
              <w:jc w:val="center"/>
              <w:rPr>
                <w:b/>
                <w:i/>
              </w:rPr>
            </w:pPr>
            <w:r>
              <w:rPr>
                <w:b/>
                <w:i/>
              </w:rPr>
              <w:t>Impact</w:t>
            </w:r>
          </w:p>
        </w:tc>
        <w:tc>
          <w:tcPr>
            <w:tcW w:w="85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0F492AAF" w14:textId="77777777" w:rsidR="00852CDE" w:rsidRDefault="00000000">
            <w:pPr>
              <w:spacing w:before="0" w:after="0"/>
              <w:jc w:val="center"/>
              <w:rPr>
                <w:b/>
                <w:i/>
              </w:rPr>
            </w:pPr>
            <w:r>
              <w:rPr>
                <w:b/>
                <w:i/>
              </w:rPr>
              <w:t>Level of risks</w:t>
            </w:r>
          </w:p>
        </w:tc>
        <w:tc>
          <w:tcPr>
            <w:tcW w:w="3018"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04F745FB" w14:textId="77777777" w:rsidR="00852CDE" w:rsidRDefault="00000000">
            <w:pPr>
              <w:spacing w:before="0" w:after="0"/>
              <w:jc w:val="center"/>
              <w:rPr>
                <w:b/>
                <w:i/>
              </w:rPr>
            </w:pPr>
            <w:r>
              <w:rPr>
                <w:b/>
                <w:i/>
              </w:rPr>
              <w:t>Mitigation solutions</w:t>
            </w:r>
          </w:p>
        </w:tc>
      </w:tr>
      <w:tr w:rsidR="00852CDE" w14:paraId="2AC201BD" w14:textId="77777777">
        <w:trPr>
          <w:trHeight w:val="3045"/>
        </w:trPr>
        <w:tc>
          <w:tcPr>
            <w:tcW w:w="143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582A99F" w14:textId="77777777" w:rsidR="00852CDE" w:rsidRDefault="00000000">
            <w:pPr>
              <w:spacing w:before="0" w:after="0"/>
              <w:rPr>
                <w:b/>
              </w:rPr>
            </w:pPr>
            <w:r>
              <w:rPr>
                <w:b/>
              </w:rPr>
              <w:t>Fluctuation of Exchange Rate (Political)</w:t>
            </w:r>
          </w:p>
        </w:tc>
        <w:tc>
          <w:tcPr>
            <w:tcW w:w="2976" w:type="dxa"/>
            <w:tcBorders>
              <w:top w:val="nil"/>
              <w:left w:val="nil"/>
              <w:bottom w:val="single" w:sz="5" w:space="0" w:color="000000"/>
              <w:right w:val="single" w:sz="5" w:space="0" w:color="000000"/>
            </w:tcBorders>
            <w:tcMar>
              <w:top w:w="0" w:type="dxa"/>
              <w:left w:w="100" w:type="dxa"/>
              <w:bottom w:w="0" w:type="dxa"/>
              <w:right w:w="100" w:type="dxa"/>
            </w:tcMar>
          </w:tcPr>
          <w:p w14:paraId="60B22CE6" w14:textId="77777777" w:rsidR="00852CDE" w:rsidRDefault="00000000">
            <w:pPr>
              <w:spacing w:before="0" w:after="0"/>
            </w:pPr>
            <w:r>
              <w:t xml:space="preserve">Volatility between the British Pound and Brazilian Real might increase import costs followed by reduction of profit margin followed by creating uncertainties in financial planning and there is currency depreciation which could affect the royalty payments. </w:t>
            </w:r>
          </w:p>
        </w:tc>
        <w:tc>
          <w:tcPr>
            <w:tcW w:w="851" w:type="dxa"/>
            <w:tcBorders>
              <w:top w:val="nil"/>
              <w:left w:val="nil"/>
              <w:bottom w:val="single" w:sz="5" w:space="0" w:color="000000"/>
              <w:right w:val="single" w:sz="5" w:space="0" w:color="000000"/>
            </w:tcBorders>
            <w:shd w:val="clear" w:color="auto" w:fill="FF0000"/>
            <w:tcMar>
              <w:top w:w="0" w:type="dxa"/>
              <w:left w:w="100" w:type="dxa"/>
              <w:bottom w:w="0" w:type="dxa"/>
              <w:right w:w="100" w:type="dxa"/>
            </w:tcMar>
          </w:tcPr>
          <w:p w14:paraId="2E71623A" w14:textId="77777777" w:rsidR="00852CDE" w:rsidRDefault="00000000">
            <w:pPr>
              <w:spacing w:before="0" w:after="0"/>
              <w:jc w:val="center"/>
            </w:pPr>
            <w:r>
              <w:t>High</w:t>
            </w:r>
          </w:p>
        </w:tc>
        <w:tc>
          <w:tcPr>
            <w:tcW w:w="851" w:type="dxa"/>
            <w:tcBorders>
              <w:top w:val="nil"/>
              <w:left w:val="nil"/>
              <w:bottom w:val="single" w:sz="5" w:space="0" w:color="000000"/>
              <w:right w:val="single" w:sz="5" w:space="0" w:color="000000"/>
            </w:tcBorders>
            <w:shd w:val="clear" w:color="auto" w:fill="FF0000"/>
            <w:tcMar>
              <w:top w:w="0" w:type="dxa"/>
              <w:left w:w="100" w:type="dxa"/>
              <w:bottom w:w="0" w:type="dxa"/>
              <w:right w:w="100" w:type="dxa"/>
            </w:tcMar>
          </w:tcPr>
          <w:p w14:paraId="4ED20969" w14:textId="77777777" w:rsidR="00852CDE" w:rsidRDefault="00000000">
            <w:pPr>
              <w:spacing w:before="0" w:after="0"/>
              <w:jc w:val="center"/>
            </w:pPr>
            <w:r>
              <w:t>High</w:t>
            </w:r>
          </w:p>
        </w:tc>
        <w:tc>
          <w:tcPr>
            <w:tcW w:w="851" w:type="dxa"/>
            <w:tcBorders>
              <w:top w:val="nil"/>
              <w:left w:val="nil"/>
              <w:bottom w:val="single" w:sz="5" w:space="0" w:color="000000"/>
              <w:right w:val="single" w:sz="5" w:space="0" w:color="000000"/>
            </w:tcBorders>
            <w:shd w:val="clear" w:color="auto" w:fill="FF0000"/>
            <w:tcMar>
              <w:top w:w="0" w:type="dxa"/>
              <w:left w:w="100" w:type="dxa"/>
              <w:bottom w:w="0" w:type="dxa"/>
              <w:right w:w="100" w:type="dxa"/>
            </w:tcMar>
          </w:tcPr>
          <w:p w14:paraId="6ABFDFC7" w14:textId="77777777" w:rsidR="00852CDE" w:rsidRDefault="00000000">
            <w:pPr>
              <w:spacing w:before="0" w:after="0"/>
              <w:jc w:val="center"/>
            </w:pPr>
            <w:r>
              <w:t>High</w:t>
            </w:r>
          </w:p>
        </w:tc>
        <w:tc>
          <w:tcPr>
            <w:tcW w:w="3018" w:type="dxa"/>
            <w:tcBorders>
              <w:top w:val="nil"/>
              <w:left w:val="nil"/>
              <w:bottom w:val="single" w:sz="5" w:space="0" w:color="000000"/>
              <w:right w:val="single" w:sz="5" w:space="0" w:color="000000"/>
            </w:tcBorders>
            <w:tcMar>
              <w:top w:w="0" w:type="dxa"/>
              <w:left w:w="100" w:type="dxa"/>
              <w:bottom w:w="0" w:type="dxa"/>
              <w:right w:w="100" w:type="dxa"/>
            </w:tcMar>
          </w:tcPr>
          <w:p w14:paraId="5DF8BEF1" w14:textId="77777777" w:rsidR="00852CDE" w:rsidRDefault="00000000">
            <w:pPr>
              <w:spacing w:before="0" w:after="0"/>
            </w:pPr>
            <w:r>
              <w:t>Sourcing of ingredients wherever possible, foreign exchange exposure.</w:t>
            </w:r>
          </w:p>
        </w:tc>
      </w:tr>
      <w:tr w:rsidR="00852CDE" w14:paraId="7AAC4FD0" w14:textId="77777777">
        <w:trPr>
          <w:trHeight w:val="3405"/>
        </w:trPr>
        <w:tc>
          <w:tcPr>
            <w:tcW w:w="143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FC96F7F" w14:textId="77777777" w:rsidR="00852CDE" w:rsidRDefault="00000000">
            <w:pPr>
              <w:spacing w:before="0" w:after="0"/>
              <w:rPr>
                <w:b/>
              </w:rPr>
            </w:pPr>
            <w:r>
              <w:rPr>
                <w:b/>
              </w:rPr>
              <w:t>Inflation (Political)</w:t>
            </w:r>
          </w:p>
        </w:tc>
        <w:tc>
          <w:tcPr>
            <w:tcW w:w="2976" w:type="dxa"/>
            <w:tcBorders>
              <w:top w:val="nil"/>
              <w:left w:val="nil"/>
              <w:bottom w:val="single" w:sz="5" w:space="0" w:color="000000"/>
              <w:right w:val="single" w:sz="5" w:space="0" w:color="000000"/>
            </w:tcBorders>
            <w:tcMar>
              <w:top w:w="0" w:type="dxa"/>
              <w:left w:w="100" w:type="dxa"/>
              <w:bottom w:w="0" w:type="dxa"/>
              <w:right w:w="100" w:type="dxa"/>
            </w:tcMar>
          </w:tcPr>
          <w:p w14:paraId="1DC7520D" w14:textId="77777777" w:rsidR="00852CDE" w:rsidRDefault="00000000">
            <w:pPr>
              <w:spacing w:before="0" w:after="0"/>
            </w:pPr>
            <w:r>
              <w:t>Brazil has experienced high inflation, increase of raw material, utility, rental and labour costs. It might reduce the purchase power of the consumers.</w:t>
            </w:r>
          </w:p>
        </w:tc>
        <w:tc>
          <w:tcPr>
            <w:tcW w:w="851" w:type="dxa"/>
            <w:tcBorders>
              <w:top w:val="nil"/>
              <w:left w:val="nil"/>
              <w:bottom w:val="single" w:sz="5" w:space="0" w:color="000000"/>
              <w:right w:val="single" w:sz="5" w:space="0" w:color="000000"/>
            </w:tcBorders>
            <w:shd w:val="clear" w:color="auto" w:fill="FF0000"/>
            <w:tcMar>
              <w:top w:w="0" w:type="dxa"/>
              <w:left w:w="100" w:type="dxa"/>
              <w:bottom w:w="0" w:type="dxa"/>
              <w:right w:w="100" w:type="dxa"/>
            </w:tcMar>
          </w:tcPr>
          <w:p w14:paraId="02A37A65" w14:textId="77777777" w:rsidR="00852CDE" w:rsidRDefault="00000000">
            <w:pPr>
              <w:spacing w:before="0" w:after="0"/>
              <w:jc w:val="center"/>
            </w:pPr>
            <w:r>
              <w:t>High</w:t>
            </w:r>
          </w:p>
        </w:tc>
        <w:tc>
          <w:tcPr>
            <w:tcW w:w="851" w:type="dxa"/>
            <w:tcBorders>
              <w:top w:val="nil"/>
              <w:left w:val="nil"/>
              <w:bottom w:val="single" w:sz="5" w:space="0" w:color="000000"/>
              <w:right w:val="single" w:sz="5" w:space="0" w:color="000000"/>
            </w:tcBorders>
            <w:shd w:val="clear" w:color="auto" w:fill="FF0000"/>
            <w:tcMar>
              <w:top w:w="0" w:type="dxa"/>
              <w:left w:w="100" w:type="dxa"/>
              <w:bottom w:w="0" w:type="dxa"/>
              <w:right w:w="100" w:type="dxa"/>
            </w:tcMar>
          </w:tcPr>
          <w:p w14:paraId="549B149C" w14:textId="77777777" w:rsidR="00852CDE" w:rsidRDefault="00000000">
            <w:pPr>
              <w:spacing w:before="0" w:after="0"/>
              <w:jc w:val="center"/>
            </w:pPr>
            <w:r>
              <w:t>High</w:t>
            </w:r>
          </w:p>
        </w:tc>
        <w:tc>
          <w:tcPr>
            <w:tcW w:w="851" w:type="dxa"/>
            <w:tcBorders>
              <w:top w:val="nil"/>
              <w:left w:val="nil"/>
              <w:bottom w:val="single" w:sz="5" w:space="0" w:color="000000"/>
              <w:right w:val="single" w:sz="5" w:space="0" w:color="000000"/>
            </w:tcBorders>
            <w:shd w:val="clear" w:color="auto" w:fill="FF0000"/>
            <w:tcMar>
              <w:top w:w="0" w:type="dxa"/>
              <w:left w:w="100" w:type="dxa"/>
              <w:bottom w:w="0" w:type="dxa"/>
              <w:right w:w="100" w:type="dxa"/>
            </w:tcMar>
          </w:tcPr>
          <w:p w14:paraId="5C728D0C" w14:textId="77777777" w:rsidR="00852CDE" w:rsidRDefault="00000000">
            <w:pPr>
              <w:spacing w:before="0" w:after="0"/>
              <w:jc w:val="center"/>
            </w:pPr>
            <w:r>
              <w:t>High</w:t>
            </w:r>
          </w:p>
        </w:tc>
        <w:tc>
          <w:tcPr>
            <w:tcW w:w="3018" w:type="dxa"/>
            <w:tcBorders>
              <w:top w:val="nil"/>
              <w:left w:val="nil"/>
              <w:bottom w:val="single" w:sz="5" w:space="0" w:color="000000"/>
              <w:right w:val="single" w:sz="5" w:space="0" w:color="000000"/>
            </w:tcBorders>
            <w:tcMar>
              <w:top w:w="0" w:type="dxa"/>
              <w:left w:w="100" w:type="dxa"/>
              <w:bottom w:w="0" w:type="dxa"/>
              <w:right w:w="100" w:type="dxa"/>
            </w:tcMar>
          </w:tcPr>
          <w:p w14:paraId="3199F72D" w14:textId="77777777" w:rsidR="00852CDE" w:rsidRDefault="00000000">
            <w:pPr>
              <w:spacing w:before="0" w:after="0"/>
            </w:pPr>
            <w:r>
              <w:t>Implementation of  flexible pricing strategies with the optimisation of   operational efficiency, and utilisation of  franchising models for the reduction of capital exposure.</w:t>
            </w:r>
          </w:p>
        </w:tc>
      </w:tr>
      <w:tr w:rsidR="00852CDE" w14:paraId="7663ADC8" w14:textId="77777777">
        <w:trPr>
          <w:trHeight w:val="3045"/>
        </w:trPr>
        <w:tc>
          <w:tcPr>
            <w:tcW w:w="143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F7ECFEE" w14:textId="77777777" w:rsidR="00852CDE" w:rsidRDefault="00000000">
            <w:pPr>
              <w:spacing w:before="0" w:after="0"/>
              <w:rPr>
                <w:b/>
              </w:rPr>
            </w:pPr>
            <w:r>
              <w:rPr>
                <w:b/>
              </w:rPr>
              <w:t>Cultural Adaptation (operational)</w:t>
            </w:r>
          </w:p>
        </w:tc>
        <w:tc>
          <w:tcPr>
            <w:tcW w:w="2976" w:type="dxa"/>
            <w:tcBorders>
              <w:top w:val="nil"/>
              <w:left w:val="nil"/>
              <w:bottom w:val="single" w:sz="5" w:space="0" w:color="000000"/>
              <w:right w:val="single" w:sz="5" w:space="0" w:color="000000"/>
            </w:tcBorders>
            <w:tcMar>
              <w:top w:w="0" w:type="dxa"/>
              <w:left w:w="100" w:type="dxa"/>
              <w:bottom w:w="0" w:type="dxa"/>
              <w:right w:w="100" w:type="dxa"/>
            </w:tcMar>
          </w:tcPr>
          <w:p w14:paraId="7EFBB08E" w14:textId="77777777" w:rsidR="00852CDE" w:rsidRDefault="00000000">
            <w:pPr>
              <w:spacing w:before="0" w:after="0"/>
            </w:pPr>
            <w:r>
              <w:t xml:space="preserve">Brazilian consumers have variation in preferences and consumption habits specifically in the area of café culture and lunch meals. Failure of localising the menu could reduce the acceptance of the customers affecting brand competitiveness. </w:t>
            </w:r>
          </w:p>
        </w:tc>
        <w:tc>
          <w:tcPr>
            <w:tcW w:w="851" w:type="dxa"/>
            <w:tcBorders>
              <w:top w:val="nil"/>
              <w:left w:val="nil"/>
              <w:bottom w:val="single" w:sz="5" w:space="0" w:color="000000"/>
              <w:right w:val="single" w:sz="5" w:space="0" w:color="000000"/>
            </w:tcBorders>
            <w:shd w:val="clear" w:color="auto" w:fill="FFFF00"/>
            <w:tcMar>
              <w:top w:w="0" w:type="dxa"/>
              <w:left w:w="100" w:type="dxa"/>
              <w:bottom w:w="0" w:type="dxa"/>
              <w:right w:w="100" w:type="dxa"/>
            </w:tcMar>
          </w:tcPr>
          <w:p w14:paraId="18B12249" w14:textId="77777777" w:rsidR="00852CDE" w:rsidRDefault="00000000">
            <w:pPr>
              <w:spacing w:before="0" w:after="0"/>
              <w:jc w:val="center"/>
            </w:pPr>
            <w:r>
              <w:t>Medium</w:t>
            </w:r>
          </w:p>
        </w:tc>
        <w:tc>
          <w:tcPr>
            <w:tcW w:w="851" w:type="dxa"/>
            <w:tcBorders>
              <w:top w:val="nil"/>
              <w:left w:val="nil"/>
              <w:bottom w:val="single" w:sz="5" w:space="0" w:color="000000"/>
              <w:right w:val="single" w:sz="5" w:space="0" w:color="000000"/>
            </w:tcBorders>
            <w:shd w:val="clear" w:color="auto" w:fill="FF0000"/>
            <w:tcMar>
              <w:top w:w="0" w:type="dxa"/>
              <w:left w:w="100" w:type="dxa"/>
              <w:bottom w:w="0" w:type="dxa"/>
              <w:right w:w="100" w:type="dxa"/>
            </w:tcMar>
          </w:tcPr>
          <w:p w14:paraId="5E7D172B" w14:textId="77777777" w:rsidR="00852CDE" w:rsidRDefault="00000000">
            <w:pPr>
              <w:spacing w:before="0" w:after="0"/>
              <w:jc w:val="center"/>
            </w:pPr>
            <w:r>
              <w:t>High</w:t>
            </w:r>
          </w:p>
        </w:tc>
        <w:tc>
          <w:tcPr>
            <w:tcW w:w="851" w:type="dxa"/>
            <w:tcBorders>
              <w:top w:val="nil"/>
              <w:left w:val="nil"/>
              <w:bottom w:val="single" w:sz="5" w:space="0" w:color="000000"/>
              <w:right w:val="single" w:sz="5" w:space="0" w:color="000000"/>
            </w:tcBorders>
            <w:shd w:val="clear" w:color="auto" w:fill="FFFF00"/>
            <w:tcMar>
              <w:top w:w="0" w:type="dxa"/>
              <w:left w:w="100" w:type="dxa"/>
              <w:bottom w:w="0" w:type="dxa"/>
              <w:right w:w="100" w:type="dxa"/>
            </w:tcMar>
          </w:tcPr>
          <w:p w14:paraId="7FEEC5DA" w14:textId="77777777" w:rsidR="00852CDE" w:rsidRDefault="00000000">
            <w:pPr>
              <w:spacing w:before="0" w:after="0"/>
              <w:jc w:val="center"/>
            </w:pPr>
            <w:r>
              <w:t>Medium</w:t>
            </w:r>
          </w:p>
        </w:tc>
        <w:tc>
          <w:tcPr>
            <w:tcW w:w="3018" w:type="dxa"/>
            <w:tcBorders>
              <w:top w:val="nil"/>
              <w:left w:val="nil"/>
              <w:bottom w:val="single" w:sz="5" w:space="0" w:color="000000"/>
              <w:right w:val="single" w:sz="5" w:space="0" w:color="000000"/>
            </w:tcBorders>
            <w:tcMar>
              <w:top w:w="0" w:type="dxa"/>
              <w:left w:w="100" w:type="dxa"/>
              <w:bottom w:w="0" w:type="dxa"/>
              <w:right w:w="100" w:type="dxa"/>
            </w:tcMar>
          </w:tcPr>
          <w:p w14:paraId="0629385B" w14:textId="77777777" w:rsidR="00852CDE" w:rsidRDefault="00000000">
            <w:pPr>
              <w:spacing w:before="0" w:after="0"/>
            </w:pPr>
            <w:r>
              <w:t>Localisation of the menu by incorporating Brazilian flavours and conducting market research with the maintenance of core brand identity.</w:t>
            </w:r>
          </w:p>
        </w:tc>
      </w:tr>
      <w:tr w:rsidR="00852CDE" w14:paraId="2075A4D2" w14:textId="77777777">
        <w:trPr>
          <w:trHeight w:val="3405"/>
        </w:trPr>
        <w:tc>
          <w:tcPr>
            <w:tcW w:w="143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90ED0BC" w14:textId="77777777" w:rsidR="00852CDE" w:rsidRDefault="00000000">
            <w:pPr>
              <w:spacing w:before="0" w:after="0"/>
              <w:rPr>
                <w:b/>
              </w:rPr>
            </w:pPr>
            <w:r>
              <w:rPr>
                <w:b/>
              </w:rPr>
              <w:t>Food Supply Chain (Operational)</w:t>
            </w:r>
          </w:p>
        </w:tc>
        <w:tc>
          <w:tcPr>
            <w:tcW w:w="2976" w:type="dxa"/>
            <w:tcBorders>
              <w:top w:val="nil"/>
              <w:left w:val="nil"/>
              <w:bottom w:val="single" w:sz="5" w:space="0" w:color="000000"/>
              <w:right w:val="single" w:sz="5" w:space="0" w:color="000000"/>
            </w:tcBorders>
            <w:tcMar>
              <w:top w:w="0" w:type="dxa"/>
              <w:left w:w="100" w:type="dxa"/>
              <w:bottom w:w="0" w:type="dxa"/>
              <w:right w:w="100" w:type="dxa"/>
            </w:tcMar>
          </w:tcPr>
          <w:p w14:paraId="786A9888" w14:textId="77777777" w:rsidR="00852CDE" w:rsidRDefault="00000000">
            <w:pPr>
              <w:spacing w:before="0" w:after="0"/>
            </w:pPr>
            <w:r>
              <w:t xml:space="preserve">Maintaining the proposition of fresh food by Pret could be challenging due to the variations in cold-chain management, logistics and quality variations. In addition to this, product consistency could be affected by supply chain disruption. </w:t>
            </w:r>
          </w:p>
        </w:tc>
        <w:tc>
          <w:tcPr>
            <w:tcW w:w="851"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14:paraId="2C6A8A40" w14:textId="77777777" w:rsidR="00852CDE" w:rsidRDefault="00000000">
            <w:pPr>
              <w:spacing w:before="0" w:after="0"/>
              <w:jc w:val="center"/>
            </w:pPr>
            <w:r>
              <w:t>Low</w:t>
            </w:r>
          </w:p>
        </w:tc>
        <w:tc>
          <w:tcPr>
            <w:tcW w:w="851" w:type="dxa"/>
            <w:tcBorders>
              <w:top w:val="nil"/>
              <w:left w:val="nil"/>
              <w:bottom w:val="single" w:sz="5" w:space="0" w:color="000000"/>
              <w:right w:val="single" w:sz="5" w:space="0" w:color="000000"/>
            </w:tcBorders>
            <w:shd w:val="clear" w:color="auto" w:fill="FFFF00"/>
            <w:tcMar>
              <w:top w:w="0" w:type="dxa"/>
              <w:left w:w="100" w:type="dxa"/>
              <w:bottom w:w="0" w:type="dxa"/>
              <w:right w:w="100" w:type="dxa"/>
            </w:tcMar>
          </w:tcPr>
          <w:p w14:paraId="0E468202" w14:textId="77777777" w:rsidR="00852CDE" w:rsidRDefault="00000000">
            <w:pPr>
              <w:spacing w:before="0" w:after="0"/>
              <w:jc w:val="center"/>
            </w:pPr>
            <w:r>
              <w:t>Medium</w:t>
            </w:r>
          </w:p>
        </w:tc>
        <w:tc>
          <w:tcPr>
            <w:tcW w:w="851" w:type="dxa"/>
            <w:tcBorders>
              <w:top w:val="nil"/>
              <w:left w:val="nil"/>
              <w:bottom w:val="single" w:sz="5" w:space="0" w:color="000000"/>
              <w:right w:val="single" w:sz="5" w:space="0" w:color="000000"/>
            </w:tcBorders>
            <w:shd w:val="clear" w:color="auto" w:fill="FFFF00"/>
            <w:tcMar>
              <w:top w:w="0" w:type="dxa"/>
              <w:left w:w="100" w:type="dxa"/>
              <w:bottom w:w="0" w:type="dxa"/>
              <w:right w:w="100" w:type="dxa"/>
            </w:tcMar>
          </w:tcPr>
          <w:p w14:paraId="41F64884" w14:textId="77777777" w:rsidR="00852CDE" w:rsidRDefault="00000000">
            <w:pPr>
              <w:spacing w:before="0" w:after="0"/>
              <w:jc w:val="center"/>
            </w:pPr>
            <w:r>
              <w:t>Medium</w:t>
            </w:r>
          </w:p>
        </w:tc>
        <w:tc>
          <w:tcPr>
            <w:tcW w:w="3018" w:type="dxa"/>
            <w:tcBorders>
              <w:top w:val="nil"/>
              <w:left w:val="nil"/>
              <w:bottom w:val="single" w:sz="5" w:space="0" w:color="000000"/>
              <w:right w:val="single" w:sz="5" w:space="0" w:color="000000"/>
            </w:tcBorders>
            <w:tcMar>
              <w:top w:w="0" w:type="dxa"/>
              <w:left w:w="100" w:type="dxa"/>
              <w:bottom w:w="0" w:type="dxa"/>
              <w:right w:w="100" w:type="dxa"/>
            </w:tcMar>
          </w:tcPr>
          <w:p w14:paraId="2048B5DD" w14:textId="77777777" w:rsidR="00852CDE" w:rsidRDefault="00000000">
            <w:pPr>
              <w:spacing w:before="0" w:after="0"/>
            </w:pPr>
            <w:r>
              <w:t>Developing partnerships with certified and localised suppliers, establishment of rigorous quality control, along with diversification of the supplier’s network.</w:t>
            </w:r>
          </w:p>
        </w:tc>
      </w:tr>
      <w:tr w:rsidR="00852CDE" w14:paraId="12212EDF" w14:textId="77777777">
        <w:trPr>
          <w:trHeight w:val="2325"/>
        </w:trPr>
        <w:tc>
          <w:tcPr>
            <w:tcW w:w="143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C40D558" w14:textId="77777777" w:rsidR="00852CDE" w:rsidRDefault="00000000">
            <w:pPr>
              <w:spacing w:before="0" w:after="0"/>
              <w:rPr>
                <w:b/>
              </w:rPr>
            </w:pPr>
            <w:r>
              <w:rPr>
                <w:b/>
              </w:rPr>
              <w:t>Regulatory complications (legal)</w:t>
            </w:r>
          </w:p>
        </w:tc>
        <w:tc>
          <w:tcPr>
            <w:tcW w:w="2976" w:type="dxa"/>
            <w:tcBorders>
              <w:top w:val="nil"/>
              <w:left w:val="nil"/>
              <w:bottom w:val="single" w:sz="5" w:space="0" w:color="000000"/>
              <w:right w:val="single" w:sz="5" w:space="0" w:color="000000"/>
            </w:tcBorders>
            <w:tcMar>
              <w:top w:w="0" w:type="dxa"/>
              <w:left w:w="100" w:type="dxa"/>
              <w:bottom w:w="0" w:type="dxa"/>
              <w:right w:w="100" w:type="dxa"/>
            </w:tcMar>
          </w:tcPr>
          <w:p w14:paraId="3E456EA1" w14:textId="77777777" w:rsidR="00852CDE" w:rsidRDefault="00000000">
            <w:pPr>
              <w:spacing w:before="0" w:after="0"/>
            </w:pPr>
            <w:r>
              <w:t>Franchise disclosure requirements, food safety regulations, labour legislations and complicated tax systems could delay the market entry.</w:t>
            </w:r>
          </w:p>
        </w:tc>
        <w:tc>
          <w:tcPr>
            <w:tcW w:w="851" w:type="dxa"/>
            <w:tcBorders>
              <w:top w:val="nil"/>
              <w:left w:val="nil"/>
              <w:bottom w:val="single" w:sz="5" w:space="0" w:color="000000"/>
              <w:right w:val="single" w:sz="5" w:space="0" w:color="000000"/>
            </w:tcBorders>
            <w:shd w:val="clear" w:color="auto" w:fill="FF0000"/>
            <w:tcMar>
              <w:top w:w="0" w:type="dxa"/>
              <w:left w:w="100" w:type="dxa"/>
              <w:bottom w:w="0" w:type="dxa"/>
              <w:right w:w="100" w:type="dxa"/>
            </w:tcMar>
          </w:tcPr>
          <w:p w14:paraId="08B1F247" w14:textId="77777777" w:rsidR="00852CDE" w:rsidRDefault="00000000">
            <w:pPr>
              <w:spacing w:before="0" w:after="0"/>
              <w:jc w:val="center"/>
            </w:pPr>
            <w:r>
              <w:t>High</w:t>
            </w:r>
          </w:p>
        </w:tc>
        <w:tc>
          <w:tcPr>
            <w:tcW w:w="851" w:type="dxa"/>
            <w:tcBorders>
              <w:top w:val="nil"/>
              <w:left w:val="nil"/>
              <w:bottom w:val="single" w:sz="5" w:space="0" w:color="000000"/>
              <w:right w:val="single" w:sz="5" w:space="0" w:color="000000"/>
            </w:tcBorders>
            <w:shd w:val="clear" w:color="auto" w:fill="FF0000"/>
            <w:tcMar>
              <w:top w:w="0" w:type="dxa"/>
              <w:left w:w="100" w:type="dxa"/>
              <w:bottom w:w="0" w:type="dxa"/>
              <w:right w:w="100" w:type="dxa"/>
            </w:tcMar>
          </w:tcPr>
          <w:p w14:paraId="2DA854D4" w14:textId="77777777" w:rsidR="00852CDE" w:rsidRDefault="00000000">
            <w:pPr>
              <w:spacing w:before="0" w:after="0"/>
              <w:jc w:val="center"/>
            </w:pPr>
            <w:r>
              <w:t>High</w:t>
            </w:r>
          </w:p>
        </w:tc>
        <w:tc>
          <w:tcPr>
            <w:tcW w:w="851" w:type="dxa"/>
            <w:tcBorders>
              <w:top w:val="nil"/>
              <w:left w:val="nil"/>
              <w:bottom w:val="single" w:sz="5" w:space="0" w:color="000000"/>
              <w:right w:val="single" w:sz="5" w:space="0" w:color="000000"/>
            </w:tcBorders>
            <w:shd w:val="clear" w:color="auto" w:fill="FF0000"/>
            <w:tcMar>
              <w:top w:w="0" w:type="dxa"/>
              <w:left w:w="100" w:type="dxa"/>
              <w:bottom w:w="0" w:type="dxa"/>
              <w:right w:w="100" w:type="dxa"/>
            </w:tcMar>
          </w:tcPr>
          <w:p w14:paraId="2DCB03FC" w14:textId="77777777" w:rsidR="00852CDE" w:rsidRDefault="00000000">
            <w:pPr>
              <w:spacing w:before="0" w:after="0"/>
              <w:jc w:val="center"/>
            </w:pPr>
            <w:r>
              <w:t>High</w:t>
            </w:r>
          </w:p>
        </w:tc>
        <w:tc>
          <w:tcPr>
            <w:tcW w:w="3018" w:type="dxa"/>
            <w:tcBorders>
              <w:top w:val="nil"/>
              <w:left w:val="nil"/>
              <w:bottom w:val="single" w:sz="5" w:space="0" w:color="000000"/>
              <w:right w:val="single" w:sz="5" w:space="0" w:color="000000"/>
            </w:tcBorders>
            <w:tcMar>
              <w:top w:w="0" w:type="dxa"/>
              <w:left w:w="100" w:type="dxa"/>
              <w:bottom w:w="0" w:type="dxa"/>
              <w:right w:w="100" w:type="dxa"/>
            </w:tcMar>
          </w:tcPr>
          <w:p w14:paraId="6064B283" w14:textId="77777777" w:rsidR="00852CDE" w:rsidRDefault="00000000">
            <w:pPr>
              <w:spacing w:before="0" w:after="0"/>
            </w:pPr>
            <w:r>
              <w:t>Partnering with localised franchise operators with the implementation of robust compliance procedures.</w:t>
            </w:r>
          </w:p>
        </w:tc>
      </w:tr>
    </w:tbl>
    <w:p w14:paraId="1E0FEE57" w14:textId="77777777" w:rsidR="00852CDE" w:rsidRDefault="00000000">
      <w:pPr>
        <w:jc w:val="center"/>
        <w:rPr>
          <w:b/>
        </w:rPr>
      </w:pPr>
      <w:r>
        <w:rPr>
          <w:b/>
        </w:rPr>
        <w:t xml:space="preserve">Table 1: Risk assessment </w:t>
      </w:r>
    </w:p>
    <w:p w14:paraId="64374476" w14:textId="77777777" w:rsidR="00852CDE" w:rsidRDefault="00000000">
      <w:pPr>
        <w:jc w:val="center"/>
      </w:pPr>
      <w:r>
        <w:t>(Source: Self-developed)</w:t>
      </w:r>
    </w:p>
    <w:p w14:paraId="374A604C" w14:textId="77777777" w:rsidR="00852CDE" w:rsidRDefault="00000000">
      <w:pPr>
        <w:pStyle w:val="Heading1"/>
      </w:pPr>
      <w:bookmarkStart w:id="17" w:name="_44sinio" w:colFirst="0" w:colLast="0"/>
      <w:bookmarkEnd w:id="17"/>
      <w:r>
        <w:t>4. Conclusion</w:t>
      </w:r>
    </w:p>
    <w:p w14:paraId="3B5D1FFF" w14:textId="77777777" w:rsidR="00852CDE" w:rsidRDefault="00000000">
      <w:r>
        <w:t xml:space="preserve">The evaluation of the data and information has concluded the fact that Brazil presents strong and effective long-term growth for the organisation, Pret A Manger, despite the moderate level of regulatory, economic and political risks. The presentation of a hybrid strategy in franchising could be a suitable recommendation in creating a balance between risk management, flexibility, and control, enabling sustainable expansion along with adapting to the conditions of the local market. Furthermore, entering into partnership could be effective in enhancing the process of franchising is highly recommended. </w:t>
      </w:r>
    </w:p>
    <w:p w14:paraId="7EA1520C" w14:textId="77777777" w:rsidR="00852CDE" w:rsidRDefault="00000000">
      <w:r>
        <w:br w:type="page"/>
      </w:r>
    </w:p>
    <w:p w14:paraId="0DD5A374" w14:textId="77777777" w:rsidR="00852CDE" w:rsidRDefault="00000000">
      <w:pPr>
        <w:pStyle w:val="Heading1"/>
        <w:rPr>
          <w:sz w:val="26"/>
          <w:szCs w:val="26"/>
        </w:rPr>
      </w:pPr>
      <w:bookmarkStart w:id="18" w:name="_2jxsxqh" w:colFirst="0" w:colLast="0"/>
      <w:bookmarkEnd w:id="18"/>
      <w:r>
        <w:t xml:space="preserve">Section 2: Reflective account </w:t>
      </w:r>
    </w:p>
    <w:p w14:paraId="57EC4DD0" w14:textId="77777777" w:rsidR="00852CDE" w:rsidRDefault="00000000">
      <w:r>
        <w:t xml:space="preserve">The reflective model introduced by Gibbs’ is the most appropriate framework for the construction of this reflective writing. According to Galli and New (2022); Sow, Rasiah and Er (2024), Gibbs reflective cycle is known as the structured framework, which is responsible for the evaluation of the experiences through the stages called description, feelings, evaluation, analysis, conclusion, and action plan. </w:t>
      </w:r>
    </w:p>
    <w:p w14:paraId="1F721901" w14:textId="77777777" w:rsidR="00852CDE" w:rsidRDefault="00000000">
      <w:pPr>
        <w:rPr>
          <w:b/>
        </w:rPr>
      </w:pPr>
      <w:r>
        <w:rPr>
          <w:b/>
        </w:rPr>
        <w:t>Description</w:t>
      </w:r>
    </w:p>
    <w:p w14:paraId="7735F92D" w14:textId="77777777" w:rsidR="00852CDE" w:rsidRDefault="00000000">
      <w:r>
        <w:t>Primarily, the assignment was responsible in the evaluation of the feasibility of the organisation called Pret A Manger expanding its business in the market of Brazil by the application of concepts and strategic management framework all related to international business. I initiate the careful review of the requirements of the assessment by the identification of the important areas that need to be addressed inclusive of OLI framework, entry mode strategies, analysis of the macro environment, organisational classification followed by strategic suggestions.</w:t>
      </w:r>
    </w:p>
    <w:p w14:paraId="6CA52DEE" w14:textId="77777777" w:rsidR="00852CDE" w:rsidRDefault="00000000">
      <w:r>
        <w:t xml:space="preserve">In this stage, it was also a task to select an organisation with a strong presence in the international context, but no major operations in any of the markets of Brazil. Pret A Manger was selected due to its dependency on franchising, premium brand positioning and international expansion strategy that not only provided an opportunity towards critical analysis but also helped me in gaining insights about emerging economies. After the selection of the organisation, I collected data from international organisations such as trading economics, and World Bank followed by market research reports, government publications, company reports and academic journals. The data and information were organised according to each of the sections before initiating the process of critical analysis through the utilisation of relevant theories. </w:t>
      </w:r>
    </w:p>
    <w:p w14:paraId="17DFE399" w14:textId="77777777" w:rsidR="00852CDE" w:rsidRDefault="00000000">
      <w:pPr>
        <w:rPr>
          <w:b/>
        </w:rPr>
      </w:pPr>
      <w:r>
        <w:rPr>
          <w:b/>
        </w:rPr>
        <w:t>Feelings</w:t>
      </w:r>
    </w:p>
    <w:p w14:paraId="032B19DC" w14:textId="77777777" w:rsidR="00852CDE" w:rsidRDefault="00000000">
      <w:r>
        <w:t xml:space="preserve">At the initial stage, I found this assessment quite challenging as it required the integration of various theories aligned with present business evidence rather than concentrating on the international activities of the organisation. Although I was highly familiar with the models such as Dunning's Eclectic Paradigm, Ghoshal's International Strategy Model and Bartlett, the evaluation of the assessment was more demanding for me with the constant application of the theories with real-world context of the business. </w:t>
      </w:r>
    </w:p>
    <w:p w14:paraId="278BC605" w14:textId="77777777" w:rsidR="00852CDE" w:rsidRDefault="00000000">
      <w:r>
        <w:t>In addition to this, the analysis has remained critical rather than being descriptive. During the early stage of the research, I have observed the large availability of the information with cultural environment, economic, and political conditions which has made it difficult for me to determine which evidence have direct relevant to the market entry, decision of the organisation, Pret A Manger. Power, however, according to my understanding of the assessment, gaining confidence was more of a time to time matter with the selection and synthesising of the data and information that have supported my arguments further.</w:t>
      </w:r>
    </w:p>
    <w:p w14:paraId="38387108" w14:textId="77777777" w:rsidR="00852CDE" w:rsidRDefault="00000000">
      <w:pPr>
        <w:rPr>
          <w:b/>
        </w:rPr>
      </w:pPr>
      <w:r>
        <w:rPr>
          <w:b/>
        </w:rPr>
        <w:t>Evaluation</w:t>
      </w:r>
    </w:p>
    <w:p w14:paraId="685507C3" w14:textId="77777777" w:rsidR="00852CDE" w:rsidRDefault="00000000">
      <w:r>
        <w:t>There were several aspects of the research process that were successful. However, there were some which were not successful. For example, the strength was utilisation of various but accurate, credible sources, inclusive of company, reports, government, publications, industry, reports, and academic literature. It has allowed me to compare various perceptions and develop evidence related arguments rather than depending on a single source of data and information.</w:t>
      </w:r>
    </w:p>
    <w:p w14:paraId="2117A519" w14:textId="77777777" w:rsidR="00852CDE" w:rsidRDefault="00000000">
      <w:r>
        <w:t>The utilisation of the theoretical framework has also brought strength to the complete analysis and has enabled me to classify the international strategy of Pret A Manger. In addition to this, the OLI framework has helped me in the presentation of a systematic approach for the evaluation of Brazil. On a similar note, the analysis has helped in the establishment of cultural, legal, economic, and political factors to understand the linkage between strategic decision-making and the external business environment.</w:t>
      </w:r>
    </w:p>
    <w:p w14:paraId="23258115" w14:textId="77777777" w:rsidR="00852CDE" w:rsidRDefault="00000000">
      <w:r>
        <w:t xml:space="preserve">Despite strengths, the limitations include that the publicly available information of Pret A Manger is mostly focused on the developed markets such as the United States and United Kingdom. Furthermore, the economic indicators of Brazil are continuously changing due to inflation and political development. The consequent verification of the information from multiple sources has ensured accuracy and consistency. </w:t>
      </w:r>
    </w:p>
    <w:p w14:paraId="70D5C3AA" w14:textId="77777777" w:rsidR="00852CDE" w:rsidRDefault="00000000">
      <w:pPr>
        <w:rPr>
          <w:b/>
        </w:rPr>
      </w:pPr>
      <w:r>
        <w:rPr>
          <w:b/>
        </w:rPr>
        <w:t xml:space="preserve">Analysis </w:t>
      </w:r>
    </w:p>
    <w:p w14:paraId="53C04412" w14:textId="77777777" w:rsidR="00852CDE" w:rsidRDefault="00000000">
      <w:r>
        <w:t>The assessment has significantly improved my understanding of the strategies related to international business by the demonstration of how strategic decisions are dependent on the interaction between external environmental conditions and internal organisational capabilities. Before the completion of this report, I outlined international expansion as the identification of the attractive markets; however, after going through the complete course and assessment, I have recognised that successful expansion of business required an equal amount of ownership advantages followed by firm’s ability to control the operations along with understanding the location specific factors. The assessments have also helped me in improving my critical thinking and researching skills and also strengthened my ability in constructing evidence based arguments that are not only logical but also aligned with present market data and academic theory.</w:t>
      </w:r>
    </w:p>
    <w:p w14:paraId="1200555C" w14:textId="77777777" w:rsidR="00852CDE" w:rsidRDefault="00000000">
      <w:pPr>
        <w:rPr>
          <w:b/>
        </w:rPr>
      </w:pPr>
      <w:r>
        <w:t>Time management is also the most important factor in the enhancement of the learning experience. At the initial stage, I excessively spend time on the collection of information before going to the writing process. However, later I realised that organisation of evidence is also mandatory, followed by the process of collecting it. It has not only helped me improve my coherence but also enhanced the efficiency that has allowed me to maintain a clear structure of the assessment and avoid unnecessary and over-descriptive content.</w:t>
      </w:r>
    </w:p>
    <w:p w14:paraId="31D776B3" w14:textId="77777777" w:rsidR="00852CDE" w:rsidRDefault="00000000">
      <w:pPr>
        <w:rPr>
          <w:b/>
        </w:rPr>
      </w:pPr>
      <w:r>
        <w:rPr>
          <w:b/>
        </w:rPr>
        <w:t>Conclusion</w:t>
      </w:r>
    </w:p>
    <w:p w14:paraId="31F1876C" w14:textId="77777777" w:rsidR="00852CDE" w:rsidRDefault="00000000">
      <w:r>
        <w:t>Overall, the complete assessment has significantly enhanced my understanding of the strategies of international business and the complications associated with it in entering the foreign markets for the expansion of the business. In addition to this, the report has also helped in improving my knowledge of international expansion and also helped me in developing valuable skills related to post graduation, inclusive of evidence-based decision-making, problem solving, critical analysis and academic research. Such competencies will be valuable for me in the future academic market followed by professional management. Designation involves the strategy of international business. The market followed by professional management designation involves the strategy of international business.</w:t>
      </w:r>
    </w:p>
    <w:p w14:paraId="19E4FE46" w14:textId="77777777" w:rsidR="00852CDE" w:rsidRDefault="00000000">
      <w:pPr>
        <w:rPr>
          <w:b/>
        </w:rPr>
      </w:pPr>
      <w:r>
        <w:rPr>
          <w:b/>
        </w:rPr>
        <w:t>Action plan</w:t>
      </w:r>
    </w:p>
    <w:p w14:paraId="00FB7436" w14:textId="77777777" w:rsidR="00852CDE" w:rsidRDefault="00000000">
      <w:r>
        <w:t>In the future assignments, it is important for me to improve my process of researching by the development of a structured and accurate research plan before going for the collection of the information. It will help me in not only prioritising high-quality academic sources, but also reduce irrelevant information towards the utilisation within the report.</w:t>
      </w:r>
    </w:p>
    <w:p w14:paraId="49A5F89C" w14:textId="77777777" w:rsidR="00852CDE" w:rsidRDefault="00000000">
      <w:r>
        <w:t>In addition to this, I will continue to improve my academic writing by concentrating on stronger linkage between empirical evidence and theory. I also intend to expand my knowledge regarding international business through wider evaluation of contemporary case studies and academic journals for the development of a deeper understanding of the decision-making process in the global context. Such improvements will enable me to introduce more evidence-based and analytical but professional reports in the assessments related to future post-graduation.</w:t>
      </w:r>
    </w:p>
    <w:p w14:paraId="7F3F4CF7" w14:textId="77777777" w:rsidR="00852CDE" w:rsidRDefault="00000000">
      <w:r>
        <w:br w:type="page"/>
      </w:r>
    </w:p>
    <w:p w14:paraId="3A78924C" w14:textId="77777777" w:rsidR="00852CDE" w:rsidRDefault="00000000">
      <w:pPr>
        <w:pStyle w:val="Heading1"/>
      </w:pPr>
      <w:bookmarkStart w:id="19" w:name="_z337ya" w:colFirst="0" w:colLast="0"/>
      <w:bookmarkEnd w:id="19"/>
      <w:r>
        <w:t xml:space="preserve">Reference List </w:t>
      </w:r>
    </w:p>
    <w:p w14:paraId="3E913D1C" w14:textId="77777777" w:rsidR="00852CDE" w:rsidRDefault="00000000">
      <w:pPr>
        <w:shd w:val="clear" w:color="auto" w:fill="FFFFFF"/>
      </w:pPr>
      <w:r>
        <w:t xml:space="preserve">Annuanlreport.com (2026) ‘Our Recipe for Change 2024 Impact Report,’ in </w:t>
      </w:r>
      <w:r>
        <w:rPr>
          <w:i/>
        </w:rPr>
        <w:t>Our Recipe for Change 2024 Impact Report A message from Pano Who we are Pret’s Impact Strategy : Our Recipe for C</w:t>
      </w:r>
      <w:r>
        <w:t xml:space="preserve">. Available at: </w:t>
      </w:r>
      <w:hyperlink r:id="rId14">
        <w:r>
          <w:rPr>
            <w:u w:val="single"/>
          </w:rPr>
          <w:t>https://assets.ctfassets.net/4zu8gvmtwqss/3z69vaKjDXMltBHJ3Gzgse/08f7e0b9610ceb9ab5cc4e70cb31e7f0/Pret_A_Manger_Impact_Report_2025.pdf</w:t>
        </w:r>
      </w:hyperlink>
      <w:r>
        <w:t xml:space="preserve"> (Accessed: July 30, 2026).</w:t>
      </w:r>
    </w:p>
    <w:p w14:paraId="64E22A4B" w14:textId="77777777" w:rsidR="00852CDE" w:rsidRDefault="00000000">
      <w:r>
        <w:t xml:space="preserve">AQA.org.uk (2020). </w:t>
      </w:r>
      <w:r>
        <w:rPr>
          <w:i/>
        </w:rPr>
        <w:t>Teaching Guide: Bartlett and Ghoshal’s international, Multi-Domestic, Transnational and Global Strategies</w:t>
      </w:r>
      <w:r>
        <w:t xml:space="preserve">. Available at: </w:t>
      </w:r>
      <w:hyperlink r:id="rId15">
        <w:r>
          <w:rPr>
            <w:u w:val="single"/>
          </w:rPr>
          <w:t>https://www.aqa.org.uk/resources/business/as-and-a-level/business-7131-7132/teach/teaching-guide-bartlett-and-ghoshals-international-multi-domestic-transnational-and-global-strategies</w:t>
        </w:r>
      </w:hyperlink>
      <w:r>
        <w:t xml:space="preserve"> (Accessed: July 27, 2026)</w:t>
      </w:r>
    </w:p>
    <w:p w14:paraId="537D7841" w14:textId="77777777" w:rsidR="00852CDE" w:rsidRDefault="00000000">
      <w:pPr>
        <w:shd w:val="clear" w:color="auto" w:fill="FFFFFF"/>
      </w:pPr>
      <w:r>
        <w:t xml:space="preserve">Barrionuevo, L. (2025) </w:t>
      </w:r>
      <w:r>
        <w:rPr>
          <w:i/>
        </w:rPr>
        <w:t>Brazil: the origin that shaped coffee (and why it still matters today)</w:t>
      </w:r>
      <w:r>
        <w:t xml:space="preserve">, </w:t>
      </w:r>
      <w:r>
        <w:rPr>
          <w:i/>
        </w:rPr>
        <w:t>The Tree Coffee</w:t>
      </w:r>
      <w:r>
        <w:t xml:space="preserve">. Available at: </w:t>
      </w:r>
      <w:hyperlink r:id="rId16">
        <w:r>
          <w:rPr>
            <w:u w:val="single"/>
          </w:rPr>
          <w:t>https://www.thetree.coffee/post/brazil-the-origin-that-shaped-coffee-and-why-it-still-matters-today</w:t>
        </w:r>
      </w:hyperlink>
      <w:r>
        <w:t xml:space="preserve"> (Accessed: July , 2026).</w:t>
      </w:r>
    </w:p>
    <w:p w14:paraId="0F7B3CDE" w14:textId="77777777" w:rsidR="00852CDE" w:rsidRDefault="00000000">
      <w:r>
        <w:t xml:space="preserve">BBC (2020). Pret a Manger to shut 30 shops and cut 1,000 jobs. Available at: </w:t>
      </w:r>
      <w:hyperlink r:id="rId17">
        <w:r>
          <w:rPr>
            <w:u w:val="single"/>
          </w:rPr>
          <w:t>https://www.bbc.co.uk/news/business-53304869</w:t>
        </w:r>
      </w:hyperlink>
      <w:r>
        <w:t xml:space="preserve"> (Accessed: July 26, 2026)</w:t>
      </w:r>
    </w:p>
    <w:p w14:paraId="05DACFAB" w14:textId="77777777" w:rsidR="00852CDE" w:rsidRDefault="00000000">
      <w:r>
        <w:t xml:space="preserve">Bitti, E.J.S., Dermonde, M. and Fischer, B.B. (2025). ‘Franchise’s locational concentration in Brazil: A contextual perspective,’ </w:t>
      </w:r>
      <w:r>
        <w:rPr>
          <w:i/>
        </w:rPr>
        <w:t>Revista de Gestão</w:t>
      </w:r>
      <w:r>
        <w:t xml:space="preserve">, 32(4), pp. 300–315. Available at: </w:t>
      </w:r>
      <w:hyperlink r:id="rId18">
        <w:r>
          <w:rPr>
            <w:u w:val="single"/>
          </w:rPr>
          <w:t>https://doi.org/10.1108/rege-12-2024-0174</w:t>
        </w:r>
      </w:hyperlink>
      <w:r>
        <w:t xml:space="preserve">. </w:t>
      </w:r>
    </w:p>
    <w:p w14:paraId="365D7D62" w14:textId="77777777" w:rsidR="00852CDE" w:rsidRDefault="00000000">
      <w:r>
        <w:t xml:space="preserve">CFI (2022). </w:t>
      </w:r>
      <w:r>
        <w:rPr>
          <w:i/>
        </w:rPr>
        <w:t>eclectic paradigm</w:t>
      </w:r>
      <w:r>
        <w:t xml:space="preserve">. Available at: </w:t>
      </w:r>
      <w:hyperlink r:id="rId19">
        <w:r>
          <w:rPr>
            <w:u w:val="single"/>
          </w:rPr>
          <w:t>https://corporatefinanceinstitute.com/resources/management/eclectic-paradigm/</w:t>
        </w:r>
      </w:hyperlink>
      <w:r>
        <w:t xml:space="preserve"> (Accessed: July 27, 2026)</w:t>
      </w:r>
    </w:p>
    <w:p w14:paraId="3B9FDD29" w14:textId="77777777" w:rsidR="00852CDE" w:rsidRDefault="00000000">
      <w:r>
        <w:t xml:space="preserve">De Freitas Saccol, A.L., Serafim, A.L., Hecktheuer, L.H., Medeiros, L.B. and Silva, E.A. Da (2023). ‘Food safety in feeding services: a requirement in Brazil,’ </w:t>
      </w:r>
      <w:r>
        <w:rPr>
          <w:i/>
        </w:rPr>
        <w:t>Critical Reviews in Food Science and Nutrition</w:t>
      </w:r>
      <w:r>
        <w:t xml:space="preserve">, 56(8), pp. 1363–1369. Available at: </w:t>
      </w:r>
      <w:hyperlink r:id="rId20">
        <w:r>
          <w:rPr>
            <w:u w:val="single"/>
          </w:rPr>
          <w:t>https://doi.org/10.1080/10408398.2012.691917</w:t>
        </w:r>
      </w:hyperlink>
      <w:r>
        <w:t xml:space="preserve">. </w:t>
      </w:r>
    </w:p>
    <w:p w14:paraId="7EF44F73" w14:textId="77777777" w:rsidR="00852CDE" w:rsidRDefault="00000000">
      <w:r>
        <w:t xml:space="preserve">Eci.com (2020) </w:t>
      </w:r>
      <w:r>
        <w:rPr>
          <w:i/>
        </w:rPr>
        <w:t>lei geral de proteção de dados (lgpd) (brazil) | eci</w:t>
      </w:r>
      <w:r>
        <w:t xml:space="preserve">, </w:t>
      </w:r>
      <w:r>
        <w:rPr>
          <w:i/>
        </w:rPr>
        <w:t>Eci.com</w:t>
      </w:r>
      <w:r>
        <w:t xml:space="preserve">. Available at: </w:t>
      </w:r>
      <w:hyperlink r:id="rId21">
        <w:r>
          <w:rPr>
            <w:u w:val="single"/>
          </w:rPr>
          <w:t>https://www.eci.com/lei-geral-de-protecao-de-dados-lgpd-brazil</w:t>
        </w:r>
      </w:hyperlink>
      <w:r>
        <w:t xml:space="preserve"> (Accessed: July 30, 2026).</w:t>
      </w:r>
    </w:p>
    <w:p w14:paraId="7D98DBA5" w14:textId="77777777" w:rsidR="00852CDE" w:rsidRDefault="00000000">
      <w:r>
        <w:t xml:space="preserve">Foster, S.T. and Gardner, J.W., (2025). </w:t>
      </w:r>
      <w:r>
        <w:rPr>
          <w:i/>
        </w:rPr>
        <w:t>Managing Quality, with eBook Access Code: Integrating the Supply Chain</w:t>
      </w:r>
      <w:r>
        <w:t xml:space="preserve">. John Wiley &amp; Sons. </w:t>
      </w:r>
    </w:p>
    <w:p w14:paraId="6C2F464B" w14:textId="77777777" w:rsidR="00852CDE" w:rsidRDefault="00000000">
      <w:r>
        <w:t xml:space="preserve">Galli, F. and New, C. (2022) ‘Gibbs’ Cycle review. Emotions as a Part of the Cycle,’ </w:t>
      </w:r>
      <w:r>
        <w:rPr>
          <w:i/>
        </w:rPr>
        <w:t>e-Motion: Revista de Educación, Motricidad e Investigación</w:t>
      </w:r>
      <w:r>
        <w:t xml:space="preserve">, 19(19), pp. 92–101. Available at: </w:t>
      </w:r>
      <w:hyperlink r:id="rId22">
        <w:r>
          <w:rPr>
            <w:u w:val="single"/>
          </w:rPr>
          <w:t>https://doi.org/10.33776/remo.vi19.7224</w:t>
        </w:r>
      </w:hyperlink>
      <w:r>
        <w:t xml:space="preserve">. </w:t>
      </w:r>
    </w:p>
    <w:p w14:paraId="6CA8A71A" w14:textId="77777777" w:rsidR="00852CDE" w:rsidRDefault="00000000">
      <w:r>
        <w:t xml:space="preserve">Iclg.com (2026) </w:t>
      </w:r>
      <w:r>
        <w:rPr>
          <w:i/>
        </w:rPr>
        <w:t>Employment &amp; Labour Laws and Regulations Report 2026 Brazil</w:t>
      </w:r>
      <w:r>
        <w:t xml:space="preserve">, </w:t>
      </w:r>
      <w:r>
        <w:rPr>
          <w:i/>
        </w:rPr>
        <w:t>ICLG</w:t>
      </w:r>
      <w:r>
        <w:t xml:space="preserve">. Available at: </w:t>
      </w:r>
      <w:hyperlink r:id="rId23">
        <w:r>
          <w:rPr>
            <w:u w:val="single"/>
          </w:rPr>
          <w:t>https://iclg.com/practice-areas/employment-and-labour-laws-and-regulations/brazil/</w:t>
        </w:r>
      </w:hyperlink>
      <w:r>
        <w:t xml:space="preserve">  (Accessed: July 29, 2026).</w:t>
      </w:r>
    </w:p>
    <w:p w14:paraId="1D1F7407" w14:textId="77777777" w:rsidR="00852CDE" w:rsidRDefault="00000000">
      <w:r>
        <w:t xml:space="preserve">Jefferson, M. (2022). </w:t>
      </w:r>
      <w:r>
        <w:rPr>
          <w:i/>
        </w:rPr>
        <w:t>Pret evolves brand to reflect shift in strategy</w:t>
      </w:r>
      <w:r>
        <w:t xml:space="preserve">. Available at: </w:t>
      </w:r>
      <w:hyperlink r:id="rId24">
        <w:r>
          <w:rPr>
            <w:u w:val="single"/>
          </w:rPr>
          <w:t>https://www.marketingweek.com/pret-evolves-brand/</w:t>
        </w:r>
      </w:hyperlink>
      <w:r>
        <w:t xml:space="preserve"> (Accessed: July 27, 2026)</w:t>
      </w:r>
    </w:p>
    <w:p w14:paraId="5AB2F374" w14:textId="77777777" w:rsidR="00852CDE" w:rsidRDefault="00000000">
      <w:r>
        <w:t xml:space="preserve">Kasznar Administrador (2024) </w:t>
      </w:r>
      <w:r>
        <w:rPr>
          <w:i/>
        </w:rPr>
        <w:t>Brazil Implements a New Regulatory Framework for Food Products -</w:t>
      </w:r>
      <w:r>
        <w:t xml:space="preserve">, </w:t>
      </w:r>
      <w:r>
        <w:rPr>
          <w:i/>
        </w:rPr>
        <w:t>Kasznarleonardos.com</w:t>
      </w:r>
      <w:r>
        <w:t xml:space="preserve">. Available at: </w:t>
      </w:r>
      <w:hyperlink r:id="rId25">
        <w:r>
          <w:rPr>
            <w:u w:val="single"/>
          </w:rPr>
          <w:t>https://www.kasznarleonardos.com/en/brazil-implements-a-new-regulatory-framework-for-food-products/</w:t>
        </w:r>
      </w:hyperlink>
      <w:r>
        <w:t xml:space="preserve"> (Accessed: July 28, 2026).</w:t>
      </w:r>
    </w:p>
    <w:p w14:paraId="1E328AD9" w14:textId="77777777" w:rsidR="00852CDE" w:rsidRDefault="00000000">
      <w:r>
        <w:t xml:space="preserve">Kasznarleonardos.com (2024) </w:t>
      </w:r>
      <w:r>
        <w:rPr>
          <w:i/>
        </w:rPr>
        <w:t>Brazil implements a new regulatory framework for food products</w:t>
      </w:r>
      <w:r>
        <w:t xml:space="preserve">, </w:t>
      </w:r>
      <w:r>
        <w:rPr>
          <w:i/>
        </w:rPr>
        <w:t>Kasznar Leonardos</w:t>
      </w:r>
      <w:r>
        <w:t xml:space="preserve">. Available at: </w:t>
      </w:r>
      <w:hyperlink r:id="rId26">
        <w:r>
          <w:rPr>
            <w:u w:val="single"/>
          </w:rPr>
          <w:t>https://www.kasznarleonardos.com/en/brazil-implements-a-new-regulatory-framework-for-food-products/</w:t>
        </w:r>
      </w:hyperlink>
      <w:r>
        <w:t xml:space="preserve">  (Accessed: July 29, 2026).</w:t>
      </w:r>
    </w:p>
    <w:p w14:paraId="14057B47" w14:textId="77777777" w:rsidR="00852CDE" w:rsidRDefault="00000000">
      <w:r>
        <w:t xml:space="preserve">Kumar, S. (2026) </w:t>
      </w:r>
      <w:r>
        <w:rPr>
          <w:i/>
        </w:rPr>
        <w:t>Top franchise businesses with high growth potential in Brazil</w:t>
      </w:r>
      <w:r>
        <w:t xml:space="preserve">, </w:t>
      </w:r>
      <w:r>
        <w:rPr>
          <w:i/>
        </w:rPr>
        <w:t>Best Hair Transplant Clinics - DHI International | Global Leader in Hair Transplant and Hair Loss Treatments</w:t>
      </w:r>
      <w:r>
        <w:t xml:space="preserve">. Available at: </w:t>
      </w:r>
      <w:hyperlink r:id="rId27">
        <w:r>
          <w:rPr>
            <w:u w:val="single"/>
          </w:rPr>
          <w:t>https://www.dhiinternational.com/top-franchise-businesses-with-high-growth-potential-in-brazil/</w:t>
        </w:r>
      </w:hyperlink>
      <w:r>
        <w:t xml:space="preserve"> (Accessed: July 29, 2026).</w:t>
      </w:r>
    </w:p>
    <w:p w14:paraId="31572178" w14:textId="77777777" w:rsidR="00852CDE" w:rsidRDefault="00000000">
      <w:r>
        <w:t xml:space="preserve">Lawson, A. (2024). </w:t>
      </w:r>
      <w:r>
        <w:rPr>
          <w:i/>
        </w:rPr>
        <w:t>Pret a Manger’s sales pass £1bn for first time as it expands overseas</w:t>
      </w:r>
      <w:r>
        <w:t xml:space="preserve">. Available at: </w:t>
      </w:r>
      <w:hyperlink r:id="rId28">
        <w:r>
          <w:rPr>
            <w:u w:val="single"/>
          </w:rPr>
          <w:t>https://www.theguardian.com/business/2024/sep/17/pret-a-manger-sales-pass-1bn-expands-overseas</w:t>
        </w:r>
      </w:hyperlink>
      <w:r>
        <w:t xml:space="preserve"> (Accessed: July 27, 2026)</w:t>
      </w:r>
    </w:p>
    <w:p w14:paraId="76ABC7CA" w14:textId="77777777" w:rsidR="00852CDE" w:rsidRDefault="00000000">
      <w:r>
        <w:t xml:space="preserve">Market Research.com (2023). </w:t>
      </w:r>
      <w:r>
        <w:rPr>
          <w:i/>
        </w:rPr>
        <w:t>Brazil Coffee Market: Industry Analysis and Forecast (2024-2030)</w:t>
      </w:r>
      <w:r>
        <w:t xml:space="preserve">, </w:t>
      </w:r>
      <w:r>
        <w:rPr>
          <w:i/>
        </w:rPr>
        <w:t>Stellar Market Research</w:t>
      </w:r>
      <w:r>
        <w:t xml:space="preserve">. Available at: </w:t>
      </w:r>
      <w:hyperlink r:id="rId29">
        <w:r>
          <w:rPr>
            <w:u w:val="single"/>
          </w:rPr>
          <w:t>https://www.stellarmr.com/report/Brazil-Coffee-Market/86</w:t>
        </w:r>
      </w:hyperlink>
      <w:r>
        <w:t xml:space="preserve">  (Accessed: July 29, 2026).</w:t>
      </w:r>
    </w:p>
    <w:p w14:paraId="371C905C" w14:textId="77777777" w:rsidR="00852CDE" w:rsidRDefault="00000000">
      <w:r>
        <w:t xml:space="preserve">Meddings, S. (2024). </w:t>
      </w:r>
      <w:r>
        <w:rPr>
          <w:i/>
        </w:rPr>
        <w:t>Pret a Manger sales top £1 billion on international expansion</w:t>
      </w:r>
      <w:r>
        <w:t xml:space="preserve">. Available at: </w:t>
      </w:r>
      <w:hyperlink r:id="rId30">
        <w:r>
          <w:rPr>
            <w:u w:val="single"/>
          </w:rPr>
          <w:t>https://www.bloomberg.com/news/articles/2024-09-17/pret-a-manger-sales-top-1-billion-on-international-expansion</w:t>
        </w:r>
      </w:hyperlink>
      <w:r>
        <w:t xml:space="preserve"> (Accessed: July 27, 2026)</w:t>
      </w:r>
    </w:p>
    <w:p w14:paraId="5DDAFC8D" w14:textId="77777777" w:rsidR="00852CDE" w:rsidRDefault="00000000">
      <w:r>
        <w:t xml:space="preserve">Millat Group (2024). </w:t>
      </w:r>
      <w:r>
        <w:rPr>
          <w:i/>
        </w:rPr>
        <w:t>Pret A Manger is coming to South Africa – Offering freshly made food &amp; organic coffee</w:t>
      </w:r>
      <w:r>
        <w:t xml:space="preserve">. Available at: </w:t>
      </w:r>
      <w:hyperlink r:id="rId31">
        <w:r>
          <w:rPr>
            <w:u w:val="single"/>
          </w:rPr>
          <w:t>https://fasa.co.za/pret-a-manger-is-coming-to-south-africa-offering-freshly-made-food-organic-coffee/</w:t>
        </w:r>
      </w:hyperlink>
      <w:r>
        <w:t xml:space="preserve"> (Accessed: July 26, 2026)</w:t>
      </w:r>
    </w:p>
    <w:p w14:paraId="351792FA" w14:textId="77777777" w:rsidR="00852CDE" w:rsidRDefault="00000000">
      <w:r>
        <w:t xml:space="preserve">Millat Global (2025). </w:t>
      </w:r>
      <w:r>
        <w:rPr>
          <w:i/>
        </w:rPr>
        <w:t>Pret a Manger</w:t>
      </w:r>
      <w:r>
        <w:t xml:space="preserve">. Available at: </w:t>
      </w:r>
      <w:hyperlink r:id="rId32">
        <w:r>
          <w:rPr>
            <w:u w:val="single"/>
          </w:rPr>
          <w:t>https://millatglobal.com/pret-a-manger/</w:t>
        </w:r>
      </w:hyperlink>
      <w:r>
        <w:t xml:space="preserve"> (Accessed: July 26, 2026)</w:t>
      </w:r>
    </w:p>
    <w:p w14:paraId="646E4DEB" w14:textId="77777777" w:rsidR="00852CDE" w:rsidRDefault="00000000">
      <w:pPr>
        <w:shd w:val="clear" w:color="auto" w:fill="FFFFFF"/>
      </w:pPr>
      <w:r>
        <w:t xml:space="preserve">Moya, S. (2025) </w:t>
      </w:r>
      <w:r>
        <w:rPr>
          <w:i/>
        </w:rPr>
        <w:t>Brazil annual inflation rate eases to 4.66% in may</w:t>
      </w:r>
      <w:r>
        <w:t xml:space="preserve">, </w:t>
      </w:r>
      <w:r>
        <w:rPr>
          <w:i/>
        </w:rPr>
        <w:t>Tradingeconomics.com</w:t>
      </w:r>
      <w:r>
        <w:t xml:space="preserve">. TRADING ECONOMICS. Available at: </w:t>
      </w:r>
      <w:hyperlink r:id="rId33">
        <w:r>
          <w:rPr>
            <w:u w:val="single"/>
          </w:rPr>
          <w:t>https://tradingeconomics.com/brazil/inflation-cpi</w:t>
        </w:r>
      </w:hyperlink>
      <w:r>
        <w:t xml:space="preserve"> (Accessed: July 30, 2026).</w:t>
      </w:r>
    </w:p>
    <w:p w14:paraId="76B02D0C" w14:textId="77777777" w:rsidR="00852CDE" w:rsidRDefault="00000000">
      <w:r>
        <w:t xml:space="preserve">Portela, C.S., Pimentel, T.C., Benassi, M.T. and Viencz, T. (2025). ‘Behavior patterns of coffee consumption in Brazil and the United States of America: A social media analysis,’ </w:t>
      </w:r>
      <w:r>
        <w:rPr>
          <w:i/>
        </w:rPr>
        <w:t>British Food Journal</w:t>
      </w:r>
      <w:r>
        <w:t xml:space="preserve">, 127(12), pp. 4210–4225. Available at: </w:t>
      </w:r>
      <w:hyperlink r:id="rId34">
        <w:r>
          <w:rPr>
            <w:u w:val="single"/>
          </w:rPr>
          <w:t>https://doi.org/10.1108/bfj-11-2024-1120</w:t>
        </w:r>
      </w:hyperlink>
      <w:r>
        <w:t xml:space="preserve">. </w:t>
      </w:r>
    </w:p>
    <w:p w14:paraId="5FBD2F27" w14:textId="77777777" w:rsidR="00852CDE" w:rsidRDefault="00000000">
      <w:r>
        <w:t xml:space="preserve">Pret A Manger (2025). </w:t>
      </w:r>
      <w:r>
        <w:rPr>
          <w:i/>
        </w:rPr>
        <w:t>About pret</w:t>
      </w:r>
      <w:r>
        <w:t xml:space="preserve">. Available at: </w:t>
      </w:r>
      <w:hyperlink r:id="rId35">
        <w:r>
          <w:rPr>
            <w:u w:val="single"/>
          </w:rPr>
          <w:t>https://www.pret.co.uk/en-gb/about-pret</w:t>
        </w:r>
      </w:hyperlink>
      <w:r>
        <w:t xml:space="preserve"> (Accessed: July 27, 2026)</w:t>
      </w:r>
    </w:p>
    <w:p w14:paraId="77C6C681" w14:textId="77777777" w:rsidR="00852CDE" w:rsidRDefault="00000000">
      <w:r>
        <w:t xml:space="preserve">Pret UAE (2026). </w:t>
      </w:r>
      <w:r>
        <w:rPr>
          <w:i/>
        </w:rPr>
        <w:t>About Us</w:t>
      </w:r>
      <w:r>
        <w:t xml:space="preserve">. Available at: </w:t>
      </w:r>
      <w:hyperlink r:id="rId36">
        <w:r>
          <w:rPr>
            <w:u w:val="single"/>
          </w:rPr>
          <w:t>https://www.pret.com/en-AE/about-pret</w:t>
        </w:r>
      </w:hyperlink>
      <w:r>
        <w:t xml:space="preserve"> (Accessed: July 27, 2026)</w:t>
      </w:r>
    </w:p>
    <w:p w14:paraId="1FBA2CD0" w14:textId="77777777" w:rsidR="00852CDE" w:rsidRDefault="00000000">
      <w:r>
        <w:t xml:space="preserve">PRET.co.uk (2024). </w:t>
      </w:r>
      <w:r>
        <w:rPr>
          <w:i/>
        </w:rPr>
        <w:t>Pret sales increase by 10% to £1.2bn in 2024</w:t>
      </w:r>
      <w:r>
        <w:t xml:space="preserve">. Available at: </w:t>
      </w:r>
      <w:hyperlink r:id="rId37">
        <w:r>
          <w:rPr>
            <w:u w:val="single"/>
          </w:rPr>
          <w:t>https://www.pret.co.uk/en-GB/pr-pret-sales-increase-in-2024</w:t>
        </w:r>
      </w:hyperlink>
      <w:r>
        <w:t xml:space="preserve"> (Accessed: July 26, 2026)</w:t>
      </w:r>
    </w:p>
    <w:p w14:paraId="4455FB68" w14:textId="77777777" w:rsidR="00852CDE" w:rsidRDefault="00000000">
      <w:r>
        <w:t xml:space="preserve">Pret.co.uk (2025). </w:t>
      </w:r>
      <w:r>
        <w:rPr>
          <w:i/>
        </w:rPr>
        <w:t>Pret new franchise partners</w:t>
      </w:r>
      <w:r>
        <w:t xml:space="preserve">. [Available at: </w:t>
      </w:r>
      <w:hyperlink r:id="rId38">
        <w:r>
          <w:rPr>
            <w:u w:val="single"/>
          </w:rPr>
          <w:t>https://www.pret.co.uk/en-GB/pr-release-franchise-partners</w:t>
        </w:r>
      </w:hyperlink>
      <w:r>
        <w:t xml:space="preserve"> (Accessed: July 27, 2026)</w:t>
      </w:r>
    </w:p>
    <w:p w14:paraId="319AA870" w14:textId="77777777" w:rsidR="00852CDE" w:rsidRDefault="00000000">
      <w:r>
        <w:t xml:space="preserve">Ralph, H. (2022). </w:t>
      </w:r>
      <w:r>
        <w:rPr>
          <w:i/>
        </w:rPr>
        <w:t>Pret A Manger to expand in the United Arab Emirates</w:t>
      </w:r>
      <w:r>
        <w:t xml:space="preserve">. Available at: </w:t>
      </w:r>
      <w:hyperlink r:id="rId39">
        <w:r>
          <w:rPr>
            <w:u w:val="single"/>
          </w:rPr>
          <w:t>https://www.gcrmag.com/pret-a-manger-to-expand-in-united-arab-emirates/</w:t>
        </w:r>
      </w:hyperlink>
      <w:r>
        <w:t xml:space="preserve"> (Accessed: July 27, 2026)</w:t>
      </w:r>
    </w:p>
    <w:p w14:paraId="153C9A7F" w14:textId="77777777" w:rsidR="00852CDE" w:rsidRDefault="00000000">
      <w:pPr>
        <w:shd w:val="clear" w:color="auto" w:fill="FFFFFF"/>
      </w:pPr>
      <w:r>
        <w:t xml:space="preserve">Rovari, G.H., Clara, A., Chaves, S., Nazaré, S., Lorena, A., Hassan, B.K. and Baltar, V.T. (2025). ‘Lunch patterns of Brazilian adults and their association with socioeconomic and demographic characteristics: the 2017-2018 Brazilian National Dietary Survey,’ </w:t>
      </w:r>
      <w:r>
        <w:rPr>
          <w:i/>
        </w:rPr>
        <w:t>Cadernos de Saúde Pública</w:t>
      </w:r>
      <w:r>
        <w:t xml:space="preserve">, 41(3), pp. 102–104. Available at: </w:t>
      </w:r>
      <w:hyperlink r:id="rId40">
        <w:r>
          <w:rPr>
            <w:u w:val="single"/>
          </w:rPr>
          <w:t>https://doi.org/10.1590/0102-311xen071724</w:t>
        </w:r>
      </w:hyperlink>
      <w:r>
        <w:t xml:space="preserve">. </w:t>
      </w:r>
    </w:p>
    <w:p w14:paraId="50FFAA64" w14:textId="77777777" w:rsidR="00852CDE" w:rsidRDefault="00000000">
      <w:r>
        <w:t xml:space="preserve">Sera, G.H., Volsi, B., Theodoro, C. and Júnior, V.M. (2025). ‘Production and trade of specialty coffee in Brazil,’ </w:t>
      </w:r>
      <w:r>
        <w:rPr>
          <w:i/>
        </w:rPr>
        <w:t>Scientific Reports</w:t>
      </w:r>
      <w:r>
        <w:t xml:space="preserve">, 15(1), pp. 42403–42408. Available at: </w:t>
      </w:r>
      <w:hyperlink r:id="rId41">
        <w:r>
          <w:rPr>
            <w:u w:val="single"/>
          </w:rPr>
          <w:t>https://doi.org/10.1038/s41598-025-26620-x</w:t>
        </w:r>
      </w:hyperlink>
      <w:r>
        <w:t xml:space="preserve">. </w:t>
      </w:r>
    </w:p>
    <w:p w14:paraId="7B389744" w14:textId="77777777" w:rsidR="00852CDE" w:rsidRDefault="00000000">
      <w:r>
        <w:t xml:space="preserve">Siebert, M., (2024). </w:t>
      </w:r>
      <w:r>
        <w:rPr>
          <w:i/>
        </w:rPr>
        <w:t>Franchise your business: The guide to employing the greatest growth strategy ever</w:t>
      </w:r>
      <w:r>
        <w:t xml:space="preserve">. Entrepreneur Press. </w:t>
      </w:r>
    </w:p>
    <w:p w14:paraId="450FFCD8" w14:textId="77777777" w:rsidR="00852CDE" w:rsidRDefault="00000000">
      <w:r>
        <w:t xml:space="preserve">Sow, C.-F., Rasiah, S. and Er, H.M. (2024) ‘A critical exploration of theoretical frameworks for reflective learning: reflections from a faculty development workshop,’ </w:t>
      </w:r>
      <w:r>
        <w:rPr>
          <w:i/>
        </w:rPr>
        <w:t>Medical Science Educator</w:t>
      </w:r>
      <w:r>
        <w:t xml:space="preserve">, 35(1). Available at: </w:t>
      </w:r>
      <w:hyperlink r:id="rId42">
        <w:r>
          <w:rPr>
            <w:u w:val="single"/>
          </w:rPr>
          <w:t>https://doi.org/10.1007/s40670-024-02173-y</w:t>
        </w:r>
      </w:hyperlink>
      <w:r>
        <w:t xml:space="preserve">. </w:t>
      </w:r>
    </w:p>
    <w:p w14:paraId="1163CF1A" w14:textId="77777777" w:rsidR="00852CDE" w:rsidRDefault="00000000">
      <w:r>
        <w:t xml:space="preserve">Teixeira, M. (2025) ‘Brazil poised to lead global robusta coffee farming on expansion potential, report says,’ </w:t>
      </w:r>
      <w:r>
        <w:rPr>
          <w:i/>
        </w:rPr>
        <w:t>Reuters</w:t>
      </w:r>
      <w:r>
        <w:t xml:space="preserve">, 2 October. Available at: </w:t>
      </w:r>
      <w:hyperlink r:id="rId43">
        <w:r>
          <w:rPr>
            <w:u w:val="single"/>
          </w:rPr>
          <w:t>https://www.reuters.com/world/americas/brazil-poised-lead-global-robusta-coffee-farming-expansion-potential-report-says-2025-10-02/</w:t>
        </w:r>
      </w:hyperlink>
      <w:r>
        <w:t xml:space="preserve">  (Accessed: July 29, 2026).</w:t>
      </w:r>
    </w:p>
    <w:p w14:paraId="3D0CC9C0" w14:textId="77777777" w:rsidR="00852CDE" w:rsidRDefault="00000000">
      <w:r>
        <w:t xml:space="preserve">Teles, C.R.A. and Behrens, J.H. (2020) ‘The waves of coffee and the emergence of the new Brazilian consumer,’ </w:t>
      </w:r>
      <w:r>
        <w:rPr>
          <w:i/>
        </w:rPr>
        <w:t>Coffee Consumption and Industry Strategies in Brazil</w:t>
      </w:r>
      <w:r>
        <w:t xml:space="preserve">, 36(15), pp. 257–274. Available at: </w:t>
      </w:r>
      <w:hyperlink r:id="rId44">
        <w:r>
          <w:rPr>
            <w:u w:val="single"/>
          </w:rPr>
          <w:t>https://doi.org/10.1016/b978-0-12-814721-4.00009-3</w:t>
        </w:r>
      </w:hyperlink>
      <w:r>
        <w:t xml:space="preserve">. </w:t>
      </w:r>
    </w:p>
    <w:p w14:paraId="2EA49228" w14:textId="77777777" w:rsidR="00852CDE" w:rsidRDefault="00000000">
      <w:pPr>
        <w:shd w:val="clear" w:color="auto" w:fill="FFFFFF"/>
      </w:pPr>
      <w:r>
        <w:t xml:space="preserve">The Culture Factor Group (2025) </w:t>
      </w:r>
      <w:r>
        <w:rPr>
          <w:i/>
        </w:rPr>
        <w:t>Country comparison tool</w:t>
      </w:r>
      <w:r>
        <w:t xml:space="preserve">, </w:t>
      </w:r>
      <w:r>
        <w:rPr>
          <w:i/>
        </w:rPr>
        <w:t>Theculturefactor.com</w:t>
      </w:r>
      <w:r>
        <w:t xml:space="preserve">. Available at: </w:t>
      </w:r>
      <w:hyperlink r:id="rId45">
        <w:r>
          <w:rPr>
            <w:u w:val="single"/>
          </w:rPr>
          <w:t>https://www.theculturefactor.com/country-comparison-tool?countries=brazil%2Cunited+kingdom</w:t>
        </w:r>
      </w:hyperlink>
      <w:r>
        <w:t xml:space="preserve"> (Accessed: July 30, 2026).</w:t>
      </w:r>
    </w:p>
    <w:p w14:paraId="7A87E657" w14:textId="77777777" w:rsidR="00852CDE" w:rsidRDefault="00000000">
      <w:r>
        <w:t xml:space="preserve">TRADING ECONOMICS (2025) </w:t>
      </w:r>
      <w:r>
        <w:rPr>
          <w:i/>
        </w:rPr>
        <w:t>Brazil gdp</w:t>
      </w:r>
      <w:r>
        <w:t xml:space="preserve">, </w:t>
      </w:r>
      <w:r>
        <w:rPr>
          <w:i/>
        </w:rPr>
        <w:t>Tradingeconomics.com</w:t>
      </w:r>
      <w:r>
        <w:t xml:space="preserve">. Available at: </w:t>
      </w:r>
      <w:hyperlink r:id="rId46">
        <w:r>
          <w:rPr>
            <w:u w:val="single"/>
          </w:rPr>
          <w:t>https://tradingeconomics.com/brazil/gdp</w:t>
        </w:r>
      </w:hyperlink>
      <w:r>
        <w:t xml:space="preserve"> (Accessed: July 29, 2026).</w:t>
      </w:r>
    </w:p>
    <w:p w14:paraId="4A9C8154" w14:textId="77777777" w:rsidR="00852CDE" w:rsidRDefault="00000000">
      <w:r>
        <w:t xml:space="preserve">TradingEconomics.com (2026) </w:t>
      </w:r>
      <w:r>
        <w:rPr>
          <w:i/>
        </w:rPr>
        <w:t>Brazil - Political Stability And Absence Of Violence/Terrorism: Percentile Rank, Upper Bound Of 90% Confidence Interval - 2022 Data 2023 Forecast 1996-2020 Historical</w:t>
      </w:r>
      <w:r>
        <w:t xml:space="preserve">, </w:t>
      </w:r>
      <w:r>
        <w:rPr>
          <w:i/>
        </w:rPr>
        <w:t>tradingeconomics.com</w:t>
      </w:r>
      <w:r>
        <w:t xml:space="preserve">. Available at: </w:t>
      </w:r>
      <w:hyperlink r:id="rId47">
        <w:r>
          <w:rPr>
            <w:u w:val="single"/>
          </w:rPr>
          <w:t>https://tradingeconomics.com/brazil/political-stability-and-absence-of-violence-terrorism-percentile-rank-upper-bound-of-90percent-confidence-interval-wb-data.html</w:t>
        </w:r>
      </w:hyperlink>
      <w:r>
        <w:t xml:space="preserve"> (Accessed: July 30, 2026). </w:t>
      </w:r>
    </w:p>
    <w:p w14:paraId="711A58BE" w14:textId="77777777" w:rsidR="00852CDE" w:rsidRDefault="00000000">
      <w:r>
        <w:t xml:space="preserve">Wageindicator.org (2024) </w:t>
      </w:r>
      <w:r>
        <w:rPr>
          <w:i/>
        </w:rPr>
        <w:t>WageIndicator Foundation</w:t>
      </w:r>
      <w:r>
        <w:t xml:space="preserve">, </w:t>
      </w:r>
      <w:r>
        <w:rPr>
          <w:i/>
        </w:rPr>
        <w:t>Wageindicator.org</w:t>
      </w:r>
      <w:r>
        <w:t xml:space="preserve">. Available at: </w:t>
      </w:r>
      <w:hyperlink r:id="rId48">
        <w:r>
          <w:rPr>
            <w:u w:val="single"/>
          </w:rPr>
          <w:t>https://wageindicator.org/work/minimum-wage/regulations/minimum-wages-regulations-brazil/</w:t>
        </w:r>
      </w:hyperlink>
      <w:r>
        <w:t xml:space="preserve"> (Accessed: July 29, 2026). </w:t>
      </w:r>
    </w:p>
    <w:p w14:paraId="1ACB5A13" w14:textId="77777777" w:rsidR="00852CDE" w:rsidRDefault="00000000">
      <w:r>
        <w:t xml:space="preserve">World Coffee Portal News (2024). </w:t>
      </w:r>
      <w:r>
        <w:rPr>
          <w:i/>
        </w:rPr>
        <w:t>Pret a Manger to scale across Canada following a ten-year deal with A&amp;W</w:t>
      </w:r>
      <w:r>
        <w:t xml:space="preserve">. Available at: </w:t>
      </w:r>
      <w:hyperlink r:id="rId49">
        <w:r>
          <w:rPr>
            <w:u w:val="single"/>
          </w:rPr>
          <w:t>https://www.worldcoffeeportal.com/news/pret-a-manger-to-scale-across-canada-following-ten-year-deal-with-a-w/</w:t>
        </w:r>
      </w:hyperlink>
      <w:r>
        <w:t xml:space="preserve"> (Accessed: July 26, 2026)</w:t>
      </w:r>
    </w:p>
    <w:sectPr w:rsidR="00852CDE">
      <w:footerReference w:type="default" r:id="rId50"/>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9A92B1" w14:textId="77777777" w:rsidR="00C75334" w:rsidRDefault="00C75334">
      <w:pPr>
        <w:spacing w:before="0" w:after="0" w:line="240" w:lineRule="auto"/>
      </w:pPr>
      <w:r>
        <w:separator/>
      </w:r>
    </w:p>
  </w:endnote>
  <w:endnote w:type="continuationSeparator" w:id="0">
    <w:p w14:paraId="5EA465CF" w14:textId="77777777" w:rsidR="00C75334" w:rsidRDefault="00C7533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D82844" w14:textId="77777777" w:rsidR="00852CDE" w:rsidRDefault="00000000">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9F0733">
      <w:rPr>
        <w:noProof/>
        <w:color w:val="000000"/>
      </w:rPr>
      <w:t>1</w:t>
    </w:r>
    <w:r>
      <w:rPr>
        <w:color w:val="000000"/>
      </w:rPr>
      <w:fldChar w:fldCharType="end"/>
    </w:r>
  </w:p>
  <w:p w14:paraId="758DB4B5" w14:textId="77777777" w:rsidR="00852CDE" w:rsidRDefault="00852CDE">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1AECF0" w14:textId="77777777" w:rsidR="00C75334" w:rsidRDefault="00C75334">
      <w:pPr>
        <w:spacing w:before="0" w:after="0" w:line="240" w:lineRule="auto"/>
      </w:pPr>
      <w:r>
        <w:separator/>
      </w:r>
    </w:p>
  </w:footnote>
  <w:footnote w:type="continuationSeparator" w:id="0">
    <w:p w14:paraId="622F42B9" w14:textId="77777777" w:rsidR="00C75334" w:rsidRDefault="00C75334">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2CDE"/>
    <w:rsid w:val="006C15DD"/>
    <w:rsid w:val="00852CDE"/>
    <w:rsid w:val="009F0733"/>
    <w:rsid w:val="00C7533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13988"/>
  <w15:docId w15:val="{38B3C9FA-744D-4381-B284-9CC6891C4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zh-C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doi.org/10.1108/rege-12-2024-0174" TargetMode="External"/><Relationship Id="rId26" Type="http://schemas.openxmlformats.org/officeDocument/2006/relationships/hyperlink" Target="https://www.kasznarleonardos.com/en/brazil-implements-a-new-regulatory-framework-for-food-products/" TargetMode="External"/><Relationship Id="rId39" Type="http://schemas.openxmlformats.org/officeDocument/2006/relationships/hyperlink" Target="https://www.gcrmag.com/pret-a-manger-to-expand-in-united-arab-emirates/" TargetMode="External"/><Relationship Id="rId21" Type="http://schemas.openxmlformats.org/officeDocument/2006/relationships/hyperlink" Target="https://www.eci.com/lei-geral-de-protecao-de-dados-lgpd-brazil" TargetMode="External"/><Relationship Id="rId34" Type="http://schemas.openxmlformats.org/officeDocument/2006/relationships/hyperlink" Target="https://doi.org/10.1108/bfj-11-2024-1120" TargetMode="External"/><Relationship Id="rId42" Type="http://schemas.openxmlformats.org/officeDocument/2006/relationships/hyperlink" Target="https://doi.org/10.1007/s40670-024-02173-y" TargetMode="External"/><Relationship Id="rId47" Type="http://schemas.openxmlformats.org/officeDocument/2006/relationships/hyperlink" Target="https://tradingeconomics.com/brazil/political-stability-and-absence-of-violence-terrorism-percentile-rank-upper-bound-of-90percent-confidence-interval-wb-data.html" TargetMode="External"/><Relationship Id="rId50" Type="http://schemas.openxmlformats.org/officeDocument/2006/relationships/footer" Target="footer1.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www.thetree.coffee/post/brazil-the-origin-that-shaped-coffee-and-why-it-still-matters-today" TargetMode="External"/><Relationship Id="rId29" Type="http://schemas.openxmlformats.org/officeDocument/2006/relationships/hyperlink" Target="https://www.stellarmr.com/report/Brazil-Coffee-Market/86" TargetMode="External"/><Relationship Id="rId11" Type="http://schemas.openxmlformats.org/officeDocument/2006/relationships/image" Target="media/image6.png"/><Relationship Id="rId24" Type="http://schemas.openxmlformats.org/officeDocument/2006/relationships/hyperlink" Target="https://www.marketingweek.com/pret-evolves-brand/" TargetMode="External"/><Relationship Id="rId32" Type="http://schemas.openxmlformats.org/officeDocument/2006/relationships/hyperlink" Target="https://millatglobal.com/pret-a-manger/" TargetMode="External"/><Relationship Id="rId37" Type="http://schemas.openxmlformats.org/officeDocument/2006/relationships/hyperlink" Target="https://www.pret.co.uk/en-GB/pr-pret-sales-increase-in-2024" TargetMode="External"/><Relationship Id="rId40" Type="http://schemas.openxmlformats.org/officeDocument/2006/relationships/hyperlink" Target="https://doi.org/10.1590/0102-311xen071724" TargetMode="External"/><Relationship Id="rId45" Type="http://schemas.openxmlformats.org/officeDocument/2006/relationships/hyperlink" Target="https://www.theculturefactor.com/country-comparison-tool?countries=brazil%2Cunited+kingdom" TargetMode="External"/><Relationship Id="rId5" Type="http://schemas.openxmlformats.org/officeDocument/2006/relationships/endnotes" Target="endnotes.xml"/><Relationship Id="rId15" Type="http://schemas.openxmlformats.org/officeDocument/2006/relationships/hyperlink" Target="https://www.aqa.org.uk/resources/business/as-and-a-level/business-7131-7132/teach/teaching-guide-bartlett-and-ghoshals-international-multi-domestic-transnational-and-global-strategies" TargetMode="External"/><Relationship Id="rId23" Type="http://schemas.openxmlformats.org/officeDocument/2006/relationships/hyperlink" Target="https://iclg.com/practice-areas/employment-and-labour-laws-and-regulations/brazil/" TargetMode="External"/><Relationship Id="rId28" Type="http://schemas.openxmlformats.org/officeDocument/2006/relationships/hyperlink" Target="https://www.theguardian.com/business/2024/sep/17/pret-a-manger-sales-pass-1bn-expands-overseas" TargetMode="External"/><Relationship Id="rId36" Type="http://schemas.openxmlformats.org/officeDocument/2006/relationships/hyperlink" Target="https://www.pret.com/en-AE/about-pret" TargetMode="External"/><Relationship Id="rId49" Type="http://schemas.openxmlformats.org/officeDocument/2006/relationships/hyperlink" Target="https://www.worldcoffeeportal.com/news/pret-a-manger-to-scale-across-canada-following-ten-year-deal-with-a-w/" TargetMode="External"/><Relationship Id="rId10" Type="http://schemas.openxmlformats.org/officeDocument/2006/relationships/image" Target="media/image5.png"/><Relationship Id="rId19" Type="http://schemas.openxmlformats.org/officeDocument/2006/relationships/hyperlink" Target="https://corporatefinanceinstitute.com/resources/management/eclectic-paradigm/" TargetMode="External"/><Relationship Id="rId31" Type="http://schemas.openxmlformats.org/officeDocument/2006/relationships/hyperlink" Target="https://fasa.co.za/pret-a-manger-is-coming-to-south-africa-offering-freshly-made-food-organic-coffee/" TargetMode="External"/><Relationship Id="rId44" Type="http://schemas.openxmlformats.org/officeDocument/2006/relationships/hyperlink" Target="https://doi.org/10.1016/b978-0-12-814721-4.00009-3" TargetMode="External"/><Relationship Id="rId52"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assets.ctfassets.net/4zu8gvmtwqss/3z69vaKjDXMltBHJ3Gzgse/08f7e0b9610ceb9ab5cc4e70cb31e7f0/Pret_A_Manger_Impact_Report_2025.pdf" TargetMode="External"/><Relationship Id="rId22" Type="http://schemas.openxmlformats.org/officeDocument/2006/relationships/hyperlink" Target="https://doi.org/10.33776/remo.vi19.7224" TargetMode="External"/><Relationship Id="rId27" Type="http://schemas.openxmlformats.org/officeDocument/2006/relationships/hyperlink" Target="https://www.dhiinternational.com/top-franchise-businesses-with-high-growth-potential-in-brazil/" TargetMode="External"/><Relationship Id="rId30" Type="http://schemas.openxmlformats.org/officeDocument/2006/relationships/hyperlink" Target="https://www.bloomberg.com/news/articles/2024-09-17/pret-a-manger-sales-top-1-billion-on-international-expansion" TargetMode="External"/><Relationship Id="rId35" Type="http://schemas.openxmlformats.org/officeDocument/2006/relationships/hyperlink" Target="https://www.pret.co.uk/en-gb/about-pret" TargetMode="External"/><Relationship Id="rId43" Type="http://schemas.openxmlformats.org/officeDocument/2006/relationships/hyperlink" Target="https://www.reuters.com/world/americas/brazil-poised-lead-global-robusta-coffee-farming-expansion-potential-report-says-2025-10-02/" TargetMode="External"/><Relationship Id="rId48" Type="http://schemas.openxmlformats.org/officeDocument/2006/relationships/hyperlink" Target="https://wageindicator.org/work/minimum-wage/regulations/minimum-wages-regulations-brazil/" TargetMode="External"/><Relationship Id="rId8" Type="http://schemas.openxmlformats.org/officeDocument/2006/relationships/image" Target="media/image3.png"/><Relationship Id="rId51" Type="http://schemas.openxmlformats.org/officeDocument/2006/relationships/fontTable" Target="fontTable.xml"/><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hyperlink" Target="https://www.bbc.co.uk/news/business-53304869" TargetMode="External"/><Relationship Id="rId25" Type="http://schemas.openxmlformats.org/officeDocument/2006/relationships/hyperlink" Target="https://www.kasznarleonardos.com/en/brazil-implements-a-new-regulatory-framework-for-food-products/" TargetMode="External"/><Relationship Id="rId33" Type="http://schemas.openxmlformats.org/officeDocument/2006/relationships/hyperlink" Target="https://tradingeconomics.com/brazil/inflation-cpi" TargetMode="External"/><Relationship Id="rId38" Type="http://schemas.openxmlformats.org/officeDocument/2006/relationships/hyperlink" Target="https://www.pret.co.uk/en-GB/pr-release-franchise-partners" TargetMode="External"/><Relationship Id="rId46" Type="http://schemas.openxmlformats.org/officeDocument/2006/relationships/hyperlink" Target="https://tradingeconomics.com/brazil/gdp" TargetMode="External"/><Relationship Id="rId20" Type="http://schemas.openxmlformats.org/officeDocument/2006/relationships/hyperlink" Target="https://doi.org/10.1080/10408398.2012.691917" TargetMode="External"/><Relationship Id="rId41" Type="http://schemas.openxmlformats.org/officeDocument/2006/relationships/hyperlink" Target="https://doi.org/10.1038/s41598-025-26620-x" TargetMode="External"/><Relationship Id="rId1"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7366</Words>
  <Characters>41989</Characters>
  <Application>Microsoft Office Word</Application>
  <DocSecurity>0</DocSecurity>
  <Lines>349</Lines>
  <Paragraphs>98</Paragraphs>
  <ScaleCrop>false</ScaleCrop>
  <Company>University of Wales Trinity Saint David</Company>
  <LinksUpToDate>false</LinksUpToDate>
  <CharactersWithSpaces>49257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Sonal Arjan Khistariya (2522475)</cp:lastModifiedBy>
  <cp:revision>3</cp:revision>
  <dcterms:created xsi:type="dcterms:W3CDTF">2026-08-11T09:01:00Z</dcterms:created>
  <dcterms:modified xsi:type="dcterms:W3CDTF">2026-08-11T09:01:00Z</dcterms:modified>
</cp:coreProperties>
</file>