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475D84"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23DB5883"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r w:rsidRPr="000F210B">
        <w:rPr>
          <w:rFonts w:cs="Times New Roman"/>
          <w:noProof/>
          <w:color w:val="000000" w:themeColor="text1"/>
          <w:sz w:val="24"/>
          <w:szCs w:val="24"/>
        </w:rPr>
        <w:drawing>
          <wp:anchor distT="0" distB="0" distL="114300" distR="114300" simplePos="0" relativeHeight="251659264" behindDoc="0" locked="0" layoutInCell="1" allowOverlap="1" wp14:anchorId="02FAC2EE" wp14:editId="6914D038">
            <wp:simplePos x="0" y="0"/>
            <wp:positionH relativeFrom="column">
              <wp:posOffset>0</wp:posOffset>
            </wp:positionH>
            <wp:positionV relativeFrom="paragraph">
              <wp:posOffset>242570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DF5EFA"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044B57F1"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59797817"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2400E565"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516D21C4"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62B54061"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5E73C3D2" w14:textId="77777777" w:rsidR="00CC1F76" w:rsidRPr="000F210B" w:rsidRDefault="00CC1F76" w:rsidP="000F210B">
      <w:pPr>
        <w:widowControl w:val="0"/>
        <w:tabs>
          <w:tab w:val="left" w:pos="940"/>
          <w:tab w:val="left" w:pos="941"/>
        </w:tabs>
        <w:spacing w:after="0" w:line="360" w:lineRule="auto"/>
        <w:jc w:val="center"/>
        <w:rPr>
          <w:rFonts w:cs="Times New Roman"/>
          <w:b/>
          <w:bCs/>
          <w:color w:val="000000" w:themeColor="text1"/>
          <w:sz w:val="24"/>
          <w:szCs w:val="24"/>
        </w:rPr>
      </w:pPr>
    </w:p>
    <w:p w14:paraId="5342B2CC" w14:textId="77777777" w:rsidR="00AF52B8" w:rsidRDefault="00AF52B8" w:rsidP="00AF52B8">
      <w:pPr>
        <w:widowControl w:val="0"/>
        <w:tabs>
          <w:tab w:val="left" w:pos="941"/>
          <w:tab w:val="center" w:pos="4968"/>
          <w:tab w:val="left" w:pos="6810"/>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Programme Name: MBA INTERNATIONAL BUSINESS</w:t>
      </w:r>
    </w:p>
    <w:p w14:paraId="40D22456" w14:textId="77777777" w:rsidR="00AF52B8" w:rsidRDefault="00AF52B8" w:rsidP="00AF52B8">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Module Name: MARKETING MANAGEMENT </w:t>
      </w:r>
    </w:p>
    <w:p w14:paraId="58C8C41E" w14:textId="77777777" w:rsidR="00AF52B8" w:rsidRDefault="00AF52B8" w:rsidP="00AF52B8">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Module Code: LCMB7024</w:t>
      </w:r>
    </w:p>
    <w:p w14:paraId="29189AAD" w14:textId="77777777" w:rsidR="00AF52B8" w:rsidRDefault="00AF52B8" w:rsidP="00AF52B8">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Title: ASSIGNMENT COMPONENT 1: INDIVIDUAL REPORT</w:t>
      </w:r>
    </w:p>
    <w:p w14:paraId="2FF2A847" w14:textId="77777777" w:rsidR="00AF52B8" w:rsidRDefault="00AF52B8" w:rsidP="00AF52B8">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Lecturer's Name: TAONGA KAONGA SOBERE SNITHERS</w:t>
      </w:r>
    </w:p>
    <w:p w14:paraId="0B2E85EF" w14:textId="77777777" w:rsidR="00AF52B8" w:rsidRDefault="00AF52B8" w:rsidP="00AF52B8">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Student’s Name: URMILA CHANABHAI KADEGIYA</w:t>
      </w:r>
    </w:p>
    <w:p w14:paraId="12D4E902" w14:textId="77777777" w:rsidR="00AF52B8" w:rsidRDefault="00AF52B8" w:rsidP="00AF52B8">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Student ID: 2613423</w:t>
      </w:r>
    </w:p>
    <w:p w14:paraId="0F4790B7" w14:textId="77777777" w:rsidR="00CC1F76" w:rsidRPr="000F210B" w:rsidRDefault="00CC1F76" w:rsidP="000F210B">
      <w:pPr>
        <w:spacing w:after="200" w:line="360" w:lineRule="auto"/>
        <w:jc w:val="center"/>
        <w:rPr>
          <w:rFonts w:cs="Times New Roman"/>
          <w:b/>
          <w:bCs/>
          <w:color w:val="000000" w:themeColor="text1"/>
          <w:sz w:val="24"/>
          <w:szCs w:val="24"/>
        </w:rPr>
      </w:pPr>
      <w:bookmarkStart w:id="0" w:name="_GoBack"/>
      <w:bookmarkEnd w:id="0"/>
      <w:r w:rsidRPr="000F210B">
        <w:rPr>
          <w:rFonts w:cs="Times New Roman"/>
          <w:b/>
          <w:bCs/>
          <w:color w:val="000000" w:themeColor="text1"/>
          <w:sz w:val="24"/>
          <w:szCs w:val="24"/>
        </w:rPr>
        <w:br w:type="page"/>
      </w:r>
    </w:p>
    <w:p w14:paraId="7CD99ED8" w14:textId="45ACBFD1" w:rsidR="00CC1F76" w:rsidRPr="000F210B" w:rsidRDefault="00CC1F76" w:rsidP="000F210B">
      <w:pPr>
        <w:spacing w:line="360" w:lineRule="auto"/>
        <w:jc w:val="both"/>
        <w:rPr>
          <w:rFonts w:cs="Times New Roman"/>
          <w:b/>
          <w:bCs/>
          <w:color w:val="000000" w:themeColor="text1"/>
          <w:sz w:val="24"/>
          <w:szCs w:val="24"/>
        </w:rPr>
      </w:pPr>
      <w:r w:rsidRPr="000F210B">
        <w:rPr>
          <w:rFonts w:cs="Times New Roman"/>
          <w:b/>
          <w:bCs/>
          <w:color w:val="000000" w:themeColor="text1"/>
          <w:sz w:val="24"/>
          <w:szCs w:val="24"/>
        </w:rPr>
        <w:lastRenderedPageBreak/>
        <w:t xml:space="preserve">Table of Contents </w:t>
      </w:r>
    </w:p>
    <w:p w14:paraId="2992E176" w14:textId="3B1A7D4B" w:rsidR="000F210B" w:rsidRPr="000F210B" w:rsidRDefault="000F210B" w:rsidP="000F210B">
      <w:pPr>
        <w:pStyle w:val="TOC1"/>
        <w:tabs>
          <w:tab w:val="right" w:leader="dot" w:pos="9782"/>
        </w:tabs>
        <w:spacing w:line="360" w:lineRule="auto"/>
        <w:jc w:val="both"/>
        <w:rPr>
          <w:rFonts w:cs="Times New Roman"/>
          <w:noProof/>
          <w:color w:val="000000" w:themeColor="text1"/>
          <w:sz w:val="24"/>
          <w:szCs w:val="24"/>
        </w:rPr>
      </w:pPr>
      <w:r w:rsidRPr="000F210B">
        <w:rPr>
          <w:rFonts w:cs="Times New Roman"/>
          <w:b/>
          <w:bCs/>
          <w:color w:val="000000" w:themeColor="text1"/>
          <w:sz w:val="24"/>
          <w:szCs w:val="24"/>
        </w:rPr>
        <w:fldChar w:fldCharType="begin"/>
      </w:r>
      <w:r w:rsidRPr="000F210B">
        <w:rPr>
          <w:rFonts w:cs="Times New Roman"/>
          <w:b/>
          <w:bCs/>
          <w:color w:val="000000" w:themeColor="text1"/>
          <w:sz w:val="24"/>
          <w:szCs w:val="24"/>
        </w:rPr>
        <w:instrText xml:space="preserve"> TOC \o "1-2" \h \z \u </w:instrText>
      </w:r>
      <w:r w:rsidRPr="000F210B">
        <w:rPr>
          <w:rFonts w:cs="Times New Roman"/>
          <w:b/>
          <w:bCs/>
          <w:color w:val="000000" w:themeColor="text1"/>
          <w:sz w:val="24"/>
          <w:szCs w:val="24"/>
        </w:rPr>
        <w:fldChar w:fldCharType="separate"/>
      </w:r>
      <w:hyperlink w:anchor="_Toc242205503" w:history="1">
        <w:r w:rsidRPr="000F210B">
          <w:rPr>
            <w:rStyle w:val="Hyperlink"/>
            <w:rFonts w:cs="Times New Roman"/>
            <w:noProof/>
            <w:color w:val="000000" w:themeColor="text1"/>
            <w:sz w:val="24"/>
            <w:szCs w:val="24"/>
          </w:rPr>
          <w:t>Introduction</w:t>
        </w:r>
        <w:r w:rsidRPr="000F210B">
          <w:rPr>
            <w:rFonts w:cs="Times New Roman"/>
            <w:noProof/>
            <w:webHidden/>
            <w:color w:val="000000" w:themeColor="text1"/>
            <w:sz w:val="24"/>
            <w:szCs w:val="24"/>
          </w:rPr>
          <w:tab/>
        </w:r>
        <w:r w:rsidRPr="000F210B">
          <w:rPr>
            <w:rFonts w:cs="Times New Roman"/>
            <w:noProof/>
            <w:webHidden/>
            <w:color w:val="000000" w:themeColor="text1"/>
            <w:sz w:val="24"/>
            <w:szCs w:val="24"/>
          </w:rPr>
          <w:fldChar w:fldCharType="begin"/>
        </w:r>
        <w:r w:rsidRPr="000F210B">
          <w:rPr>
            <w:rFonts w:cs="Times New Roman"/>
            <w:noProof/>
            <w:webHidden/>
            <w:color w:val="000000" w:themeColor="text1"/>
            <w:sz w:val="24"/>
            <w:szCs w:val="24"/>
          </w:rPr>
          <w:instrText xml:space="preserve"> PAGEREF _Toc242205503 \h </w:instrText>
        </w:r>
        <w:r w:rsidRPr="000F210B">
          <w:rPr>
            <w:rFonts w:cs="Times New Roman"/>
            <w:noProof/>
            <w:webHidden/>
            <w:color w:val="000000" w:themeColor="text1"/>
            <w:sz w:val="24"/>
            <w:szCs w:val="24"/>
          </w:rPr>
        </w:r>
        <w:r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3</w:t>
        </w:r>
        <w:r w:rsidRPr="000F210B">
          <w:rPr>
            <w:rFonts w:cs="Times New Roman"/>
            <w:noProof/>
            <w:webHidden/>
            <w:color w:val="000000" w:themeColor="text1"/>
            <w:sz w:val="24"/>
            <w:szCs w:val="24"/>
          </w:rPr>
          <w:fldChar w:fldCharType="end"/>
        </w:r>
      </w:hyperlink>
    </w:p>
    <w:p w14:paraId="02E030CE" w14:textId="3B8F88DC" w:rsidR="000F210B" w:rsidRPr="000F210B" w:rsidRDefault="00920240" w:rsidP="000F210B">
      <w:pPr>
        <w:pStyle w:val="TOC1"/>
        <w:tabs>
          <w:tab w:val="right" w:leader="dot" w:pos="9782"/>
        </w:tabs>
        <w:spacing w:line="360" w:lineRule="auto"/>
        <w:jc w:val="both"/>
        <w:rPr>
          <w:rFonts w:cs="Times New Roman"/>
          <w:noProof/>
          <w:color w:val="000000" w:themeColor="text1"/>
          <w:sz w:val="24"/>
          <w:szCs w:val="24"/>
        </w:rPr>
      </w:pPr>
      <w:hyperlink w:anchor="_Toc242205504" w:history="1">
        <w:r w:rsidR="000F210B" w:rsidRPr="000F210B">
          <w:rPr>
            <w:rStyle w:val="Hyperlink"/>
            <w:rFonts w:cs="Times New Roman"/>
            <w:noProof/>
            <w:color w:val="000000" w:themeColor="text1"/>
            <w:sz w:val="24"/>
            <w:szCs w:val="24"/>
          </w:rPr>
          <w:t>Task 1: Marketing Environment Analysis</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_Toc242205504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3</w:t>
        </w:r>
        <w:r w:rsidR="000F210B" w:rsidRPr="000F210B">
          <w:rPr>
            <w:rFonts w:cs="Times New Roman"/>
            <w:noProof/>
            <w:webHidden/>
            <w:color w:val="000000" w:themeColor="text1"/>
            <w:sz w:val="24"/>
            <w:szCs w:val="24"/>
          </w:rPr>
          <w:fldChar w:fldCharType="end"/>
        </w:r>
      </w:hyperlink>
    </w:p>
    <w:p w14:paraId="6DBD1202" w14:textId="7A2B5F4E"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05" w:history="1">
        <w:r w:rsidR="000F210B" w:rsidRPr="000F210B">
          <w:rPr>
            <w:rStyle w:val="Hyperlink"/>
            <w:rFonts w:cs="Times New Roman"/>
            <w:noProof/>
            <w:color w:val="000000" w:themeColor="text1"/>
            <w:sz w:val="24"/>
            <w:szCs w:val="24"/>
          </w:rPr>
          <w:t>1.1 Rio Tinto’s Strategic Position</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_Toc242205505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3</w:t>
        </w:r>
        <w:r w:rsidR="000F210B" w:rsidRPr="000F210B">
          <w:rPr>
            <w:rFonts w:cs="Times New Roman"/>
            <w:noProof/>
            <w:webHidden/>
            <w:color w:val="000000" w:themeColor="text1"/>
            <w:sz w:val="24"/>
            <w:szCs w:val="24"/>
          </w:rPr>
          <w:fldChar w:fldCharType="end"/>
        </w:r>
      </w:hyperlink>
    </w:p>
    <w:p w14:paraId="0968BDA6" w14:textId="6FBD630D"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06" w:history="1">
        <w:r w:rsidR="000F210B" w:rsidRPr="000F210B">
          <w:rPr>
            <w:rStyle w:val="Hyperlink"/>
            <w:rFonts w:cs="Times New Roman"/>
            <w:noProof/>
            <w:color w:val="000000" w:themeColor="text1"/>
            <w:sz w:val="24"/>
            <w:szCs w:val="24"/>
          </w:rPr>
          <w:t>1.2 External Actor 1: Natural and Environmental Environment</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_Toc242205506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3</w:t>
        </w:r>
        <w:r w:rsidR="000F210B" w:rsidRPr="000F210B">
          <w:rPr>
            <w:rFonts w:cs="Times New Roman"/>
            <w:noProof/>
            <w:webHidden/>
            <w:color w:val="000000" w:themeColor="text1"/>
            <w:sz w:val="24"/>
            <w:szCs w:val="24"/>
          </w:rPr>
          <w:fldChar w:fldCharType="end"/>
        </w:r>
      </w:hyperlink>
    </w:p>
    <w:p w14:paraId="12402CC0" w14:textId="119C0320"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07" w:history="1">
        <w:r w:rsidR="000F210B" w:rsidRPr="000F210B">
          <w:rPr>
            <w:rStyle w:val="Hyperlink"/>
            <w:rFonts w:cs="Times New Roman"/>
            <w:noProof/>
            <w:color w:val="000000" w:themeColor="text1"/>
            <w:sz w:val="24"/>
            <w:szCs w:val="24"/>
          </w:rPr>
          <w:t>1.3 External Actor 2: Political and Regulatory Environment</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_Toc242205507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5</w:t>
        </w:r>
        <w:r w:rsidR="000F210B" w:rsidRPr="000F210B">
          <w:rPr>
            <w:rFonts w:cs="Times New Roman"/>
            <w:noProof/>
            <w:webHidden/>
            <w:color w:val="000000" w:themeColor="text1"/>
            <w:sz w:val="24"/>
            <w:szCs w:val="24"/>
          </w:rPr>
          <w:fldChar w:fldCharType="end"/>
        </w:r>
      </w:hyperlink>
    </w:p>
    <w:p w14:paraId="43017201" w14:textId="483D5224"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08" w:history="1">
        <w:r w:rsidR="000F210B" w:rsidRPr="000F210B">
          <w:rPr>
            <w:rStyle w:val="Hyperlink"/>
            <w:rFonts w:cs="Times New Roman"/>
            <w:noProof/>
            <w:color w:val="000000" w:themeColor="text1"/>
            <w:sz w:val="24"/>
            <w:szCs w:val="24"/>
          </w:rPr>
          <w:t>1.4 External Actor 3: Customers and Market Stakeholders</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_Toc242205508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297F694E" w14:textId="54ADAEC5"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09" w:history="1">
        <w:r w:rsidR="000F210B" w:rsidRPr="000F210B">
          <w:rPr>
            <w:rStyle w:val="Hyperlink"/>
            <w:rFonts w:cs="Times New Roman"/>
            <w:noProof/>
            <w:color w:val="000000" w:themeColor="text1"/>
            <w:sz w:val="24"/>
            <w:szCs w:val="24"/>
          </w:rPr>
          <w:t>1.5 Integrated Environmental Assessment</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_Toc242205509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17F7A01E" w14:textId="4E70E5CB" w:rsidR="000F210B" w:rsidRPr="000F210B" w:rsidRDefault="00920240" w:rsidP="000F210B">
      <w:pPr>
        <w:pStyle w:val="TOC1"/>
        <w:tabs>
          <w:tab w:val="right" w:leader="dot" w:pos="9782"/>
        </w:tabs>
        <w:spacing w:line="360" w:lineRule="auto"/>
        <w:jc w:val="both"/>
        <w:rPr>
          <w:rFonts w:cs="Times New Roman"/>
          <w:noProof/>
          <w:color w:val="000000" w:themeColor="text1"/>
          <w:sz w:val="24"/>
          <w:szCs w:val="24"/>
        </w:rPr>
      </w:pPr>
      <w:hyperlink w:anchor="_Toc242205510" w:history="1">
        <w:r w:rsidR="000F210B" w:rsidRPr="000F210B">
          <w:rPr>
            <w:rStyle w:val="Hyperlink"/>
            <w:rFonts w:cs="Times New Roman"/>
            <w:noProof/>
            <w:color w:val="000000" w:themeColor="text1"/>
            <w:sz w:val="24"/>
            <w:szCs w:val="24"/>
          </w:rPr>
          <w:t>Task 2: Strategic Growth and Competitive Positioning</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_Toc242205510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11C65D04" w14:textId="31F35CF9"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11" w:history="1">
        <w:r w:rsidR="000F210B" w:rsidRPr="000F210B">
          <w:rPr>
            <w:rStyle w:val="Hyperlink"/>
            <w:rFonts w:cs="Times New Roman"/>
            <w:noProof/>
            <w:color w:val="000000" w:themeColor="text1"/>
            <w:sz w:val="24"/>
            <w:szCs w:val="24"/>
          </w:rPr>
          <w:t>2.1 Ansoff Matrix</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_Toc242205511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01EB2C30" w14:textId="75BAB136"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12" w:history="1">
        <w:r w:rsidR="000F210B" w:rsidRPr="000F210B">
          <w:rPr>
            <w:rStyle w:val="Hyperlink"/>
            <w:rFonts w:cs="Times New Roman"/>
            <w:noProof/>
            <w:color w:val="000000" w:themeColor="text1"/>
            <w:sz w:val="24"/>
            <w:szCs w:val="24"/>
          </w:rPr>
          <w:t>2.2 Recommended Growth Strategy: Verified Low-Carbon Product Development</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_Toc242205512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360AD6B9" w14:textId="624E8E67"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13" w:history="1">
        <w:r w:rsidR="000F210B" w:rsidRPr="000F210B">
          <w:rPr>
            <w:rStyle w:val="Hyperlink"/>
            <w:rFonts w:cs="Times New Roman"/>
            <w:noProof/>
            <w:color w:val="000000" w:themeColor="text1"/>
            <w:sz w:val="24"/>
            <w:szCs w:val="24"/>
          </w:rPr>
          <w:t>2.3 Market Development and Competitive Positioning</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_Toc242205513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58DC5445" w14:textId="49B381C2" w:rsidR="000F210B" w:rsidRPr="000F210B" w:rsidRDefault="00920240" w:rsidP="000F210B">
      <w:pPr>
        <w:pStyle w:val="TOC1"/>
        <w:tabs>
          <w:tab w:val="right" w:leader="dot" w:pos="9782"/>
        </w:tabs>
        <w:spacing w:line="360" w:lineRule="auto"/>
        <w:jc w:val="both"/>
        <w:rPr>
          <w:rFonts w:cs="Times New Roman"/>
          <w:noProof/>
          <w:color w:val="000000" w:themeColor="text1"/>
          <w:sz w:val="24"/>
          <w:szCs w:val="24"/>
        </w:rPr>
      </w:pPr>
      <w:hyperlink w:anchor="_Toc242205514" w:history="1">
        <w:r w:rsidR="000F210B" w:rsidRPr="000F210B">
          <w:rPr>
            <w:rStyle w:val="Hyperlink"/>
            <w:rFonts w:cs="Times New Roman"/>
            <w:noProof/>
            <w:color w:val="000000" w:themeColor="text1"/>
            <w:sz w:val="24"/>
            <w:szCs w:val="24"/>
          </w:rPr>
          <w:t>Task 3: Managerial and Professional Reflection</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_Toc242205514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1799BC7A" w14:textId="55667BA6"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15" w:history="1">
        <w:r w:rsidR="000F210B" w:rsidRPr="000F210B">
          <w:rPr>
            <w:rStyle w:val="Hyperlink"/>
            <w:rFonts w:cs="Times New Roman"/>
            <w:noProof/>
            <w:color w:val="000000" w:themeColor="text1"/>
            <w:sz w:val="24"/>
            <w:szCs w:val="24"/>
          </w:rPr>
          <w:t>3.1 Rationale for Selecting Rio Tinto</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_Toc242205515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7FE04CE3" w14:textId="0E40AFC1"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16" w:history="1">
        <w:r w:rsidR="000F210B" w:rsidRPr="000F210B">
          <w:rPr>
            <w:rStyle w:val="Hyperlink"/>
            <w:rFonts w:cs="Times New Roman"/>
            <w:noProof/>
            <w:color w:val="000000" w:themeColor="text1"/>
            <w:sz w:val="24"/>
            <w:szCs w:val="24"/>
          </w:rPr>
          <w:t>3.2 Rationale for Selecting the External Actors</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_Toc242205516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5AF2A5FC" w14:textId="2851AE1E"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17" w:history="1">
        <w:r w:rsidR="000F210B" w:rsidRPr="000F210B">
          <w:rPr>
            <w:rStyle w:val="Hyperlink"/>
            <w:rFonts w:cs="Times New Roman"/>
            <w:noProof/>
            <w:color w:val="000000" w:themeColor="text1"/>
            <w:sz w:val="24"/>
            <w:szCs w:val="24"/>
          </w:rPr>
          <w:t>3.3 Reflection on the Strategic Recommendation</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_Toc242205517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29D6A89D" w14:textId="48CD94F9" w:rsidR="000F210B" w:rsidRPr="000F210B" w:rsidRDefault="00920240" w:rsidP="000F210B">
      <w:pPr>
        <w:pStyle w:val="TOC2"/>
        <w:tabs>
          <w:tab w:val="right" w:leader="dot" w:pos="9782"/>
        </w:tabs>
        <w:spacing w:line="360" w:lineRule="auto"/>
        <w:jc w:val="both"/>
        <w:rPr>
          <w:rFonts w:cs="Times New Roman"/>
          <w:noProof/>
          <w:color w:val="000000" w:themeColor="text1"/>
          <w:sz w:val="24"/>
          <w:szCs w:val="24"/>
        </w:rPr>
      </w:pPr>
      <w:hyperlink w:anchor="_Toc242205518" w:history="1">
        <w:r w:rsidR="000F210B" w:rsidRPr="000F210B">
          <w:rPr>
            <w:rStyle w:val="Hyperlink"/>
            <w:rFonts w:cs="Times New Roman"/>
            <w:noProof/>
            <w:color w:val="000000" w:themeColor="text1"/>
            <w:sz w:val="24"/>
            <w:szCs w:val="24"/>
          </w:rPr>
          <w:t>3.4 Limitations and Additional Information Required</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_Toc242205518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2B0F5060" w14:textId="4AE72385" w:rsidR="000F210B" w:rsidRPr="000F210B" w:rsidRDefault="00920240" w:rsidP="000F210B">
      <w:pPr>
        <w:pStyle w:val="TOC1"/>
        <w:tabs>
          <w:tab w:val="right" w:leader="dot" w:pos="9782"/>
        </w:tabs>
        <w:spacing w:line="360" w:lineRule="auto"/>
        <w:jc w:val="both"/>
        <w:rPr>
          <w:rFonts w:cs="Times New Roman"/>
          <w:noProof/>
          <w:color w:val="000000" w:themeColor="text1"/>
          <w:sz w:val="24"/>
          <w:szCs w:val="24"/>
        </w:rPr>
      </w:pPr>
      <w:hyperlink w:anchor="_Toc242205519" w:history="1">
        <w:r w:rsidR="000F210B" w:rsidRPr="000F210B">
          <w:rPr>
            <w:rStyle w:val="Hyperlink"/>
            <w:rFonts w:cs="Times New Roman"/>
            <w:noProof/>
            <w:color w:val="000000" w:themeColor="text1"/>
            <w:sz w:val="24"/>
            <w:szCs w:val="24"/>
          </w:rPr>
          <w:t>Conclusion</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_Toc242205519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058B3557" w14:textId="681C0F40" w:rsidR="000F210B" w:rsidRPr="000F210B" w:rsidRDefault="00920240" w:rsidP="000F210B">
      <w:pPr>
        <w:pStyle w:val="TOC1"/>
        <w:tabs>
          <w:tab w:val="right" w:leader="dot" w:pos="9782"/>
        </w:tabs>
        <w:spacing w:line="360" w:lineRule="auto"/>
        <w:jc w:val="both"/>
        <w:rPr>
          <w:rFonts w:cs="Times New Roman"/>
          <w:noProof/>
          <w:color w:val="000000" w:themeColor="text1"/>
          <w:sz w:val="24"/>
          <w:szCs w:val="24"/>
        </w:rPr>
      </w:pPr>
      <w:hyperlink w:anchor="_Toc242205520" w:history="1">
        <w:r w:rsidR="000F210B" w:rsidRPr="000F210B">
          <w:rPr>
            <w:rStyle w:val="Hyperlink"/>
            <w:rFonts w:cs="Times New Roman"/>
            <w:noProof/>
            <w:color w:val="000000" w:themeColor="text1"/>
            <w:sz w:val="24"/>
            <w:szCs w:val="24"/>
          </w:rPr>
          <w:t>References</w:t>
        </w:r>
        <w:r w:rsidR="000F210B" w:rsidRPr="000F210B">
          <w:rPr>
            <w:rFonts w:cs="Times New Roman"/>
            <w:noProof/>
            <w:webHidden/>
            <w:color w:val="000000" w:themeColor="text1"/>
            <w:sz w:val="24"/>
            <w:szCs w:val="24"/>
          </w:rPr>
          <w:tab/>
        </w:r>
        <w:r w:rsidR="000F210B" w:rsidRPr="000F210B">
          <w:rPr>
            <w:rFonts w:cs="Times New Roman"/>
            <w:noProof/>
            <w:webHidden/>
            <w:color w:val="000000" w:themeColor="text1"/>
            <w:sz w:val="24"/>
            <w:szCs w:val="24"/>
          </w:rPr>
          <w:fldChar w:fldCharType="begin"/>
        </w:r>
        <w:r w:rsidR="000F210B" w:rsidRPr="000F210B">
          <w:rPr>
            <w:rFonts w:cs="Times New Roman"/>
            <w:noProof/>
            <w:webHidden/>
            <w:color w:val="000000" w:themeColor="text1"/>
            <w:sz w:val="24"/>
            <w:szCs w:val="24"/>
          </w:rPr>
          <w:instrText xml:space="preserve"> PAGEREF _Toc242205520 \h </w:instrText>
        </w:r>
        <w:r w:rsidR="000F210B" w:rsidRPr="000F210B">
          <w:rPr>
            <w:rFonts w:cs="Times New Roman"/>
            <w:noProof/>
            <w:webHidden/>
            <w:color w:val="000000" w:themeColor="text1"/>
            <w:sz w:val="24"/>
            <w:szCs w:val="24"/>
          </w:rPr>
        </w:r>
        <w:r w:rsidR="000F210B" w:rsidRPr="000F210B">
          <w:rPr>
            <w:rFonts w:cs="Times New Roman"/>
            <w:noProof/>
            <w:webHidden/>
            <w:color w:val="000000" w:themeColor="text1"/>
            <w:sz w:val="24"/>
            <w:szCs w:val="24"/>
          </w:rPr>
          <w:fldChar w:fldCharType="separate"/>
        </w:r>
        <w:r w:rsidR="00F34B93">
          <w:rPr>
            <w:rFonts w:cs="Times New Roman"/>
            <w:noProof/>
            <w:webHidden/>
            <w:color w:val="000000" w:themeColor="text1"/>
            <w:sz w:val="24"/>
            <w:szCs w:val="24"/>
          </w:rPr>
          <w:t>6</w:t>
        </w:r>
        <w:r w:rsidR="000F210B" w:rsidRPr="000F210B">
          <w:rPr>
            <w:rFonts w:cs="Times New Roman"/>
            <w:noProof/>
            <w:webHidden/>
            <w:color w:val="000000" w:themeColor="text1"/>
            <w:sz w:val="24"/>
            <w:szCs w:val="24"/>
          </w:rPr>
          <w:fldChar w:fldCharType="end"/>
        </w:r>
      </w:hyperlink>
    </w:p>
    <w:p w14:paraId="35F585CD" w14:textId="488A0280" w:rsidR="000F210B" w:rsidRPr="000F210B" w:rsidRDefault="000F210B" w:rsidP="000F210B">
      <w:pPr>
        <w:spacing w:line="360" w:lineRule="auto"/>
        <w:jc w:val="both"/>
        <w:rPr>
          <w:rFonts w:cs="Times New Roman"/>
          <w:b/>
          <w:bCs/>
          <w:color w:val="000000" w:themeColor="text1"/>
          <w:sz w:val="24"/>
          <w:szCs w:val="24"/>
        </w:rPr>
      </w:pPr>
      <w:r w:rsidRPr="000F210B">
        <w:rPr>
          <w:rFonts w:cs="Times New Roman"/>
          <w:b/>
          <w:bCs/>
          <w:color w:val="000000" w:themeColor="text1"/>
          <w:sz w:val="24"/>
          <w:szCs w:val="24"/>
        </w:rPr>
        <w:fldChar w:fldCharType="end"/>
      </w:r>
    </w:p>
    <w:p w14:paraId="45C8D24F" w14:textId="77777777" w:rsidR="00CC1F76" w:rsidRPr="000F210B" w:rsidRDefault="00CC1F76" w:rsidP="000F210B">
      <w:pPr>
        <w:spacing w:after="200" w:line="360" w:lineRule="auto"/>
        <w:jc w:val="both"/>
        <w:rPr>
          <w:rFonts w:eastAsiaTheme="majorEastAsia" w:cs="Times New Roman"/>
          <w:b/>
          <w:bCs/>
          <w:color w:val="000000" w:themeColor="text1"/>
          <w:sz w:val="24"/>
          <w:szCs w:val="24"/>
        </w:rPr>
      </w:pPr>
      <w:r w:rsidRPr="000F210B">
        <w:rPr>
          <w:rFonts w:cs="Times New Roman"/>
          <w:color w:val="000000" w:themeColor="text1"/>
          <w:sz w:val="24"/>
          <w:szCs w:val="24"/>
        </w:rPr>
        <w:br w:type="page"/>
      </w:r>
    </w:p>
    <w:p w14:paraId="7EF31BB3" w14:textId="43AFAE91" w:rsidR="003F7F2F" w:rsidRPr="000F210B" w:rsidRDefault="00920240" w:rsidP="000F210B">
      <w:pPr>
        <w:pStyle w:val="Heading1"/>
        <w:spacing w:line="360" w:lineRule="auto"/>
        <w:jc w:val="both"/>
        <w:rPr>
          <w:rFonts w:ascii="Times New Roman" w:hAnsi="Times New Roman" w:cs="Times New Roman"/>
          <w:color w:val="000000" w:themeColor="text1"/>
          <w:sz w:val="24"/>
          <w:szCs w:val="24"/>
        </w:rPr>
      </w:pPr>
      <w:bookmarkStart w:id="1" w:name="_Toc242205503"/>
      <w:r w:rsidRPr="000F210B">
        <w:rPr>
          <w:rFonts w:ascii="Times New Roman" w:hAnsi="Times New Roman" w:cs="Times New Roman"/>
          <w:color w:val="000000" w:themeColor="text1"/>
          <w:sz w:val="24"/>
          <w:szCs w:val="24"/>
        </w:rPr>
        <w:lastRenderedPageBreak/>
        <w:t>Introduction</w:t>
      </w:r>
      <w:bookmarkEnd w:id="1"/>
    </w:p>
    <w:p w14:paraId="4F7AA287" w14:textId="2CE06864" w:rsidR="003F7F2F" w:rsidRPr="000F210B" w:rsidRDefault="00CC7EE3"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This report conducts a critical analysis of Rio Tinto as one of the prominent global mining and metals companies and analyzes the three marketing-environment players which will affect the lower carbon development of the firm: the natural environment, political/regulatory environment, and customers/market players. The paper will also use the Ansoff matrix to suggest a growth strategy and examine how Rio Tinto could gain a competitive advantage through lower carbon products. Conclusion and recommendations of the strategic choices will be provided in the last section of the report.</w:t>
      </w:r>
    </w:p>
    <w:p w14:paraId="2EBA02AA" w14:textId="77777777" w:rsidR="003F7F2F" w:rsidRPr="000F210B" w:rsidRDefault="00920240" w:rsidP="000F210B">
      <w:pPr>
        <w:pStyle w:val="Heading1"/>
        <w:spacing w:line="360" w:lineRule="auto"/>
        <w:jc w:val="both"/>
        <w:rPr>
          <w:rFonts w:ascii="Times New Roman" w:hAnsi="Times New Roman" w:cs="Times New Roman"/>
          <w:color w:val="000000" w:themeColor="text1"/>
          <w:sz w:val="24"/>
          <w:szCs w:val="24"/>
        </w:rPr>
      </w:pPr>
      <w:bookmarkStart w:id="2" w:name="_Toc242205504"/>
      <w:r w:rsidRPr="000F210B">
        <w:rPr>
          <w:rFonts w:ascii="Times New Roman" w:hAnsi="Times New Roman" w:cs="Times New Roman"/>
          <w:color w:val="000000" w:themeColor="text1"/>
          <w:sz w:val="24"/>
          <w:szCs w:val="24"/>
        </w:rPr>
        <w:t>Task 1: Marketing Environment Analysis</w:t>
      </w:r>
      <w:bookmarkEnd w:id="2"/>
    </w:p>
    <w:p w14:paraId="310503A2"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3" w:name="_Toc242205505"/>
      <w:r w:rsidRPr="000F210B">
        <w:rPr>
          <w:rFonts w:ascii="Times New Roman" w:hAnsi="Times New Roman" w:cs="Times New Roman"/>
          <w:color w:val="000000" w:themeColor="text1"/>
          <w:szCs w:val="24"/>
        </w:rPr>
        <w:t>1.1 Rio Tinto’s Strategic Position</w:t>
      </w:r>
      <w:bookmarkEnd w:id="3"/>
    </w:p>
    <w:p w14:paraId="685B5C9E" w14:textId="2A38AF43" w:rsidR="003F7F2F" w:rsidRPr="000F210B" w:rsidRDefault="00920240"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provides a </w:t>
      </w:r>
      <w:r w:rsidRPr="000F210B">
        <w:rPr>
          <w:rFonts w:cs="Times New Roman"/>
          <w:color w:val="000000" w:themeColor="text1"/>
          <w:sz w:val="24"/>
          <w:szCs w:val="24"/>
        </w:rPr>
        <w:t xml:space="preserve">strong case for examining the marketing implications of decarbonisation because its portfolio combines iron ore, aluminium, copper and lithium. In 2025 Rio Tinto completed the US$6.7 billion acquisition of Arcadium Lithium, strengthening its position in a </w:t>
      </w:r>
      <w:r w:rsidRPr="000F210B">
        <w:rPr>
          <w:rFonts w:cs="Times New Roman"/>
          <w:color w:val="000000" w:themeColor="text1"/>
          <w:sz w:val="24"/>
          <w:szCs w:val="24"/>
        </w:rPr>
        <w:t>critical battery material (Rio Tinto, 2025a).</w:t>
      </w:r>
      <w:r w:rsidR="00CC7EE3" w:rsidRPr="000F210B">
        <w:rPr>
          <w:rFonts w:cs="Times New Roman"/>
          <w:color w:val="000000" w:themeColor="text1"/>
          <w:sz w:val="24"/>
          <w:szCs w:val="24"/>
        </w:rPr>
        <w:t xml:space="preserve"> It also delivered first shipments from Simandou in Guinea and completed the underground development at Oyu Tolgoi in Mongolia, establishing the foundation for future growth in iron ore and copper (Rio Tinto, 2026a). Financial performance gives capacity for such a shift. In 2025, Rio Tinto recorded US$57.6 billion in consolidated sales revenue, an underlying EBITDA of US$25.4 billion and a net cash generated from operations of US$16.8 billion. Underlying EBITDA was up 9% compared to the previous year, while copper-equivalent production was up 8%, driven by Oyu Tolgoi and improved operational performance (Rio Tinto, 2026a). At the same time, gross Scope 1 and 2 emissions totalled 31.5 Mt CO2e in 2025, approximately 14% lower than the 2018 baseline (Rio Tinto, 2026b). It aims to achieve a 50% reduction in Scope 1 and 2 emissions by 2030 compared to the 2018 baseline and achieve operational net zero by 2050</w:t>
      </w:r>
      <w:r w:rsidRPr="000F210B">
        <w:rPr>
          <w:rFonts w:cs="Times New Roman"/>
          <w:color w:val="000000" w:themeColor="text1"/>
          <w:sz w:val="24"/>
          <w:szCs w:val="24"/>
        </w:rPr>
        <w:t>. Rio Tinto estimates that US$5</w:t>
      </w:r>
      <w:r w:rsidR="000F210B">
        <w:rPr>
          <w:rFonts w:cs="Times New Roman"/>
          <w:color w:val="000000" w:themeColor="text1"/>
          <w:sz w:val="24"/>
          <w:szCs w:val="24"/>
        </w:rPr>
        <w:t xml:space="preserve"> - </w:t>
      </w:r>
      <w:r w:rsidRPr="000F210B">
        <w:rPr>
          <w:rFonts w:cs="Times New Roman"/>
          <w:color w:val="000000" w:themeColor="text1"/>
          <w:sz w:val="24"/>
          <w:szCs w:val="24"/>
        </w:rPr>
        <w:t>6 billion will be invested i</w:t>
      </w:r>
      <w:r w:rsidRPr="000F210B">
        <w:rPr>
          <w:rFonts w:cs="Times New Roman"/>
          <w:color w:val="000000" w:themeColor="text1"/>
          <w:sz w:val="24"/>
          <w:szCs w:val="24"/>
        </w:rPr>
        <w:t xml:space="preserve">n decarbonisation projects, predominantly during the second half of the decade (Rio Tinto, 2026b). </w:t>
      </w:r>
    </w:p>
    <w:p w14:paraId="006A8211"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4" w:name="_Toc242205506"/>
      <w:r w:rsidRPr="000F210B">
        <w:rPr>
          <w:rFonts w:ascii="Times New Roman" w:hAnsi="Times New Roman" w:cs="Times New Roman"/>
          <w:color w:val="000000" w:themeColor="text1"/>
          <w:szCs w:val="24"/>
        </w:rPr>
        <w:t>1.2 External Actor 1: Natural and Environmental Environment</w:t>
      </w:r>
      <w:bookmarkEnd w:id="4"/>
    </w:p>
    <w:p w14:paraId="110C65B9" w14:textId="340EF15A" w:rsidR="003F7F2F" w:rsidRPr="000F210B" w:rsidRDefault="00920240"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The natural and environmental environment is the dominant external actor because Rio Tinto’s pro</w:t>
      </w:r>
      <w:r w:rsidRPr="000F210B">
        <w:rPr>
          <w:rFonts w:cs="Times New Roman"/>
          <w:color w:val="000000" w:themeColor="text1"/>
          <w:sz w:val="24"/>
          <w:szCs w:val="24"/>
        </w:rPr>
        <w:t xml:space="preserve">ducts are extracted from, and its operations directly alter, natural systems. Kotler et al. (2024) argue that environmental forces influence marketing because organisations depend upon scarce resources while facing growing ecological expectations. </w:t>
      </w:r>
    </w:p>
    <w:p w14:paraId="1788FA14" w14:textId="3F7923CE" w:rsidR="003F7F2F" w:rsidRPr="000F210B" w:rsidRDefault="00CC7EE3"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lastRenderedPageBreak/>
        <w:t xml:space="preserve">First, climate change poses physical operational risks. Heat, heavy rains, cyclones, droughts, and water shortages could disrupt mining, transportation, and processing. While the geographical diversification of Rio Tinto is an advantage in terms of resilience against climate risks, the risk exposure still persists, considering the company’s Pilbara operations affected by tropical cyclones, and potentially water-strained locations for lithium and copper projects. Second, the environmental transition presents the paradoxical growth opportunity. The technologies that help achieve the clean-energy goals are resource-intensive when it comes to metals required. According to the IEA (2025a), the Stated Policies Scenario implies that overall copper consumption would increase from 26.7 Mt in 2024 to 31.3 Mt in 2030. Clean technologies account for 7.7 Mt increase from the same baseline to 10.9 Mt. There is also a predicted 30% supply deficit of copper by 2035 in the context of decreasing ore grades, expensive and lengthy investments, and other IEA projections for 2025. In more recent analysis of IEA (2026), the projected deficit for 2035 decreased to about 25%. Thus, Rio Tinto would be able to position itself as a provider of copper required for electrification (Rio Tinto, 2026c). </w:t>
      </w:r>
    </w:p>
    <w:p w14:paraId="0DAA488F" w14:textId="5F9D7DA6" w:rsidR="003F7F2F" w:rsidRPr="000F210B" w:rsidRDefault="00CC7EE3"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Thirdly, environmental performance impacts aluminium. Being energy-intensive, smelting emissions have previously been associated with carbon anodes. Rio Tinto’s ELYSIS technology, which it developed with Alcoa, saw the first full-scale demonstration of a 450 kA inert-anode cell at the Alma smelter in Quebec in 2025. The technology creates aluminium without emitting carbon in the smelting process (Rio Tinto, 2025b). Fourthly, environmental considerations go beyond carbon. Biodiversity, water stewardship and community impacts impact the social license to operate. The company’s Simandou development illustrates the challenge of this. The development includes more than 600 kilometres of new multi-modal rail and port infrastructure, and the mine </w:t>
      </w:r>
      <w:r w:rsidR="000F210B" w:rsidRPr="000F210B">
        <w:rPr>
          <w:rFonts w:cs="Times New Roman"/>
          <w:color w:val="000000" w:themeColor="text1"/>
          <w:sz w:val="24"/>
          <w:szCs w:val="24"/>
        </w:rPr>
        <w:t>is in</w:t>
      </w:r>
      <w:r w:rsidRPr="000F210B">
        <w:rPr>
          <w:rFonts w:cs="Times New Roman"/>
          <w:color w:val="000000" w:themeColor="text1"/>
          <w:sz w:val="24"/>
          <w:szCs w:val="24"/>
        </w:rPr>
        <w:t xml:space="preserve"> a water-stressed area (Rio Tinto, 2025c). Thus, the environmental actor creates both an opportunity and a constraint. Rio Tinto can take advantage of the growing demand for transition minerals. </w:t>
      </w:r>
    </w:p>
    <w:p w14:paraId="58AE49CC" w14:textId="510B6DB7" w:rsidR="003F7F2F" w:rsidRPr="000F210B" w:rsidRDefault="00920240" w:rsidP="000F210B">
      <w:pPr>
        <w:spacing w:line="360" w:lineRule="auto"/>
        <w:jc w:val="both"/>
        <w:rPr>
          <w:rFonts w:cs="Times New Roman"/>
          <w:color w:val="000000" w:themeColor="text1"/>
          <w:sz w:val="24"/>
          <w:szCs w:val="24"/>
        </w:rPr>
      </w:pPr>
      <w:r w:rsidRPr="000F210B">
        <w:rPr>
          <w:rFonts w:cs="Times New Roman"/>
          <w:b/>
          <w:color w:val="000000" w:themeColor="text1"/>
          <w:sz w:val="24"/>
          <w:szCs w:val="24"/>
        </w:rPr>
        <w:t xml:space="preserve">Table </w:t>
      </w:r>
      <w:r w:rsidR="000F210B">
        <w:rPr>
          <w:rFonts w:cs="Times New Roman"/>
          <w:b/>
          <w:color w:val="000000" w:themeColor="text1"/>
          <w:sz w:val="24"/>
          <w:szCs w:val="24"/>
        </w:rPr>
        <w:t>1</w:t>
      </w:r>
      <w:r w:rsidRPr="000F210B">
        <w:rPr>
          <w:rFonts w:cs="Times New Roman"/>
          <w:b/>
          <w:color w:val="000000" w:themeColor="text1"/>
          <w:sz w:val="24"/>
          <w:szCs w:val="24"/>
        </w:rPr>
        <w:t>: Environmental opportunities and constraints for Rio</w:t>
      </w:r>
      <w:r w:rsidRPr="000F210B">
        <w:rPr>
          <w:rFonts w:cs="Times New Roman"/>
          <w:b/>
          <w:color w:val="000000" w:themeColor="text1"/>
          <w:sz w:val="24"/>
          <w:szCs w:val="24"/>
        </w:rPr>
        <w:t xml:space="preserve"> Tinto</w:t>
      </w:r>
    </w:p>
    <w:tbl>
      <w:tblPr>
        <w:tblStyle w:val="TableGrid"/>
        <w:tblW w:w="0" w:type="auto"/>
        <w:jc w:val="center"/>
        <w:tblLook w:val="04A0" w:firstRow="1" w:lastRow="0" w:firstColumn="1" w:lastColumn="0" w:noHBand="0" w:noVBand="1"/>
      </w:tblPr>
      <w:tblGrid>
        <w:gridCol w:w="2448"/>
        <w:gridCol w:w="2448"/>
        <w:gridCol w:w="2448"/>
        <w:gridCol w:w="2448"/>
      </w:tblGrid>
      <w:tr w:rsidR="000F210B" w:rsidRPr="000F210B" w14:paraId="73B74972" w14:textId="77777777">
        <w:trPr>
          <w:jc w:val="center"/>
        </w:trPr>
        <w:tc>
          <w:tcPr>
            <w:tcW w:w="2448" w:type="dxa"/>
            <w:vAlign w:val="center"/>
          </w:tcPr>
          <w:p w14:paraId="31520BA0"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b/>
                <w:color w:val="000000" w:themeColor="text1"/>
                <w:sz w:val="24"/>
                <w:szCs w:val="24"/>
              </w:rPr>
              <w:t>Environmental factor</w:t>
            </w:r>
          </w:p>
        </w:tc>
        <w:tc>
          <w:tcPr>
            <w:tcW w:w="2448" w:type="dxa"/>
            <w:vAlign w:val="center"/>
          </w:tcPr>
          <w:p w14:paraId="3394BDE9"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b/>
                <w:color w:val="000000" w:themeColor="text1"/>
                <w:sz w:val="24"/>
                <w:szCs w:val="24"/>
              </w:rPr>
              <w:t>Opportunity</w:t>
            </w:r>
          </w:p>
        </w:tc>
        <w:tc>
          <w:tcPr>
            <w:tcW w:w="2448" w:type="dxa"/>
            <w:vAlign w:val="center"/>
          </w:tcPr>
          <w:p w14:paraId="6C4663BE"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b/>
                <w:color w:val="000000" w:themeColor="text1"/>
                <w:sz w:val="24"/>
                <w:szCs w:val="24"/>
              </w:rPr>
              <w:t>Challenge</w:t>
            </w:r>
          </w:p>
        </w:tc>
        <w:tc>
          <w:tcPr>
            <w:tcW w:w="2448" w:type="dxa"/>
            <w:vAlign w:val="center"/>
          </w:tcPr>
          <w:p w14:paraId="636D5087"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b/>
                <w:color w:val="000000" w:themeColor="text1"/>
                <w:sz w:val="24"/>
                <w:szCs w:val="24"/>
              </w:rPr>
              <w:t>Strategic response</w:t>
            </w:r>
          </w:p>
        </w:tc>
      </w:tr>
      <w:tr w:rsidR="000F210B" w:rsidRPr="000F210B" w14:paraId="738A9CA5" w14:textId="77777777">
        <w:trPr>
          <w:jc w:val="center"/>
        </w:trPr>
        <w:tc>
          <w:tcPr>
            <w:tcW w:w="2448" w:type="dxa"/>
            <w:vAlign w:val="center"/>
          </w:tcPr>
          <w:p w14:paraId="598984A9"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Climate and extreme weather</w:t>
            </w:r>
          </w:p>
        </w:tc>
        <w:tc>
          <w:tcPr>
            <w:tcW w:w="2448" w:type="dxa"/>
            <w:vAlign w:val="center"/>
          </w:tcPr>
          <w:p w14:paraId="0BB336F7"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Demand for resilient supply</w:t>
            </w:r>
          </w:p>
        </w:tc>
        <w:tc>
          <w:tcPr>
            <w:tcW w:w="2448" w:type="dxa"/>
            <w:vAlign w:val="center"/>
          </w:tcPr>
          <w:p w14:paraId="755066F6"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Cyclones, heat, water stress</w:t>
            </w:r>
          </w:p>
        </w:tc>
        <w:tc>
          <w:tcPr>
            <w:tcW w:w="2448" w:type="dxa"/>
            <w:vAlign w:val="center"/>
          </w:tcPr>
          <w:p w14:paraId="288AE547"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Operational resilience and diversified supply</w:t>
            </w:r>
          </w:p>
        </w:tc>
      </w:tr>
      <w:tr w:rsidR="000F210B" w:rsidRPr="000F210B" w14:paraId="213BDF70" w14:textId="77777777">
        <w:trPr>
          <w:jc w:val="center"/>
        </w:trPr>
        <w:tc>
          <w:tcPr>
            <w:tcW w:w="2448" w:type="dxa"/>
            <w:vAlign w:val="center"/>
          </w:tcPr>
          <w:p w14:paraId="27A86D90"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Critical-mineral demand</w:t>
            </w:r>
          </w:p>
        </w:tc>
        <w:tc>
          <w:tcPr>
            <w:tcW w:w="2448" w:type="dxa"/>
            <w:vAlign w:val="center"/>
          </w:tcPr>
          <w:p w14:paraId="037FFE50"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Growth in copper/lithium deman</w:t>
            </w:r>
            <w:r w:rsidRPr="000F210B">
              <w:rPr>
                <w:rFonts w:cs="Times New Roman"/>
                <w:color w:val="000000" w:themeColor="text1"/>
                <w:sz w:val="24"/>
                <w:szCs w:val="24"/>
              </w:rPr>
              <w:t>d</w:t>
            </w:r>
          </w:p>
        </w:tc>
        <w:tc>
          <w:tcPr>
            <w:tcW w:w="2448" w:type="dxa"/>
            <w:vAlign w:val="center"/>
          </w:tcPr>
          <w:p w14:paraId="604C0419"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Supply constraints and project lead times</w:t>
            </w:r>
          </w:p>
        </w:tc>
        <w:tc>
          <w:tcPr>
            <w:tcW w:w="2448" w:type="dxa"/>
            <w:vAlign w:val="center"/>
          </w:tcPr>
          <w:p w14:paraId="5F462665"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Accelerate selected growth projects</w:t>
            </w:r>
          </w:p>
        </w:tc>
      </w:tr>
      <w:tr w:rsidR="000F210B" w:rsidRPr="000F210B" w14:paraId="22553FCF" w14:textId="77777777">
        <w:trPr>
          <w:jc w:val="center"/>
        </w:trPr>
        <w:tc>
          <w:tcPr>
            <w:tcW w:w="2448" w:type="dxa"/>
            <w:vAlign w:val="center"/>
          </w:tcPr>
          <w:p w14:paraId="10F79100"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Low-carbon aluminium</w:t>
            </w:r>
          </w:p>
        </w:tc>
        <w:tc>
          <w:tcPr>
            <w:tcW w:w="2448" w:type="dxa"/>
            <w:vAlign w:val="center"/>
          </w:tcPr>
          <w:p w14:paraId="04826127"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Differentiated product opportunity</w:t>
            </w:r>
          </w:p>
        </w:tc>
        <w:tc>
          <w:tcPr>
            <w:tcW w:w="2448" w:type="dxa"/>
            <w:vAlign w:val="center"/>
          </w:tcPr>
          <w:p w14:paraId="18D5D8D5"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Technology scale-up risk</w:t>
            </w:r>
          </w:p>
        </w:tc>
        <w:tc>
          <w:tcPr>
            <w:tcW w:w="2448" w:type="dxa"/>
            <w:vAlign w:val="center"/>
          </w:tcPr>
          <w:p w14:paraId="5EEC17AD"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Commercialise ELYSIS progressively</w:t>
            </w:r>
          </w:p>
        </w:tc>
      </w:tr>
      <w:tr w:rsidR="000F210B" w:rsidRPr="000F210B" w14:paraId="711E7554" w14:textId="77777777">
        <w:trPr>
          <w:jc w:val="center"/>
        </w:trPr>
        <w:tc>
          <w:tcPr>
            <w:tcW w:w="2448" w:type="dxa"/>
            <w:vAlign w:val="center"/>
          </w:tcPr>
          <w:p w14:paraId="3B7DBA9F"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lastRenderedPageBreak/>
              <w:t>Water and biodiversity</w:t>
            </w:r>
          </w:p>
        </w:tc>
        <w:tc>
          <w:tcPr>
            <w:tcW w:w="2448" w:type="dxa"/>
            <w:vAlign w:val="center"/>
          </w:tcPr>
          <w:p w14:paraId="616D381B"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Stronger stakeholder trust</w:t>
            </w:r>
          </w:p>
        </w:tc>
        <w:tc>
          <w:tcPr>
            <w:tcW w:w="2448" w:type="dxa"/>
            <w:vAlign w:val="center"/>
          </w:tcPr>
          <w:p w14:paraId="360E558D"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 xml:space="preserve">Local </w:t>
            </w:r>
            <w:r w:rsidRPr="000F210B">
              <w:rPr>
                <w:rFonts w:cs="Times New Roman"/>
                <w:color w:val="000000" w:themeColor="text1"/>
                <w:sz w:val="24"/>
                <w:szCs w:val="24"/>
              </w:rPr>
              <w:t>ecological impacts</w:t>
            </w:r>
          </w:p>
        </w:tc>
        <w:tc>
          <w:tcPr>
            <w:tcW w:w="2448" w:type="dxa"/>
            <w:vAlign w:val="center"/>
          </w:tcPr>
          <w:p w14:paraId="5EF4D1B8" w14:textId="77777777" w:rsidR="003F7F2F" w:rsidRPr="000F210B" w:rsidRDefault="00920240" w:rsidP="000F210B">
            <w:pPr>
              <w:spacing w:after="0" w:line="360" w:lineRule="auto"/>
              <w:jc w:val="both"/>
              <w:rPr>
                <w:rFonts w:cs="Times New Roman"/>
                <w:color w:val="000000" w:themeColor="text1"/>
                <w:sz w:val="24"/>
                <w:szCs w:val="24"/>
              </w:rPr>
            </w:pPr>
            <w:r w:rsidRPr="000F210B">
              <w:rPr>
                <w:rFonts w:cs="Times New Roman"/>
                <w:color w:val="000000" w:themeColor="text1"/>
                <w:sz w:val="24"/>
                <w:szCs w:val="24"/>
              </w:rPr>
              <w:t>Asset-level stewardship and disclosure</w:t>
            </w:r>
          </w:p>
        </w:tc>
      </w:tr>
    </w:tbl>
    <w:p w14:paraId="56EECC01"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5" w:name="_Toc242205507"/>
      <w:r w:rsidRPr="000F210B">
        <w:rPr>
          <w:rFonts w:ascii="Times New Roman" w:hAnsi="Times New Roman" w:cs="Times New Roman"/>
          <w:color w:val="000000" w:themeColor="text1"/>
          <w:szCs w:val="24"/>
        </w:rPr>
        <w:t>1.3 External Actor 2: Political and Regulatory Environment</w:t>
      </w:r>
      <w:bookmarkEnd w:id="5"/>
    </w:p>
    <w:p w14:paraId="57990D4B" w14:textId="652010E3" w:rsidR="003F7F2F" w:rsidRPr="000F210B" w:rsidRDefault="00920240"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Political and regulatory institutions form the second major external actor. </w:t>
      </w:r>
      <w:r w:rsidR="00CC7EE3" w:rsidRPr="000F210B">
        <w:rPr>
          <w:rFonts w:cs="Times New Roman"/>
          <w:color w:val="000000" w:themeColor="text1"/>
          <w:sz w:val="24"/>
          <w:szCs w:val="24"/>
        </w:rPr>
        <w:t xml:space="preserve">Governments are also creating demand for critical minerals while enforcing conditions that enhance the role of carbon, transparency, and responsible production. The Carbon Border Adjustment Mechanism (CBAM) of the European Union is pertinent to this discussion. </w:t>
      </w:r>
      <w:r w:rsidRPr="000F210B">
        <w:rPr>
          <w:rFonts w:cs="Times New Roman"/>
          <w:color w:val="000000" w:themeColor="text1"/>
          <w:sz w:val="24"/>
          <w:szCs w:val="24"/>
        </w:rPr>
        <w:t xml:space="preserve">Its definitive regime applies from 1 January 2026 to </w:t>
      </w:r>
      <w:r w:rsidRPr="000F210B">
        <w:rPr>
          <w:rFonts w:cs="Times New Roman"/>
          <w:color w:val="000000" w:themeColor="text1"/>
          <w:sz w:val="24"/>
          <w:szCs w:val="24"/>
        </w:rPr>
        <w:t>selected imports including iron and steel and aluminium. Importers above the applicable threshold must account for embedded emissions and purchase CBAM certificates (European Commission, 2026).</w:t>
      </w:r>
      <w:r w:rsidR="00CC7EE3" w:rsidRPr="000F210B">
        <w:rPr>
          <w:rFonts w:cs="Times New Roman"/>
          <w:color w:val="000000" w:themeColor="text1"/>
          <w:sz w:val="24"/>
          <w:szCs w:val="24"/>
        </w:rPr>
        <w:t xml:space="preserve"> Because of its aluminium and iron ore products, Rio Tinto is vulnerable to the downstream customers demanding accurate emissions data. Second political factor is the policy on critical minerals. The governments seek to ensure reliable supply of minerals for energy, defense and high-tech industries. As per IEA (2025b), an investment of US$ 500 billion would be necessary between 2025 and 2040 in the Stated Policies Scenario. </w:t>
      </w:r>
      <w:r w:rsidR="000F210B">
        <w:rPr>
          <w:rFonts w:cs="Times New Roman"/>
          <w:color w:val="000000" w:themeColor="text1"/>
          <w:sz w:val="24"/>
          <w:szCs w:val="24"/>
        </w:rPr>
        <w:t xml:space="preserve">Next, </w:t>
      </w:r>
      <w:r w:rsidR="00CC7EE3" w:rsidRPr="000F210B">
        <w:rPr>
          <w:rFonts w:cs="Times New Roman"/>
          <w:color w:val="000000" w:themeColor="text1"/>
          <w:sz w:val="24"/>
          <w:szCs w:val="24"/>
        </w:rPr>
        <w:t>government support would facilitate investments in decarbonisation. Projects of Rio Tinto in Canada for low-carbon aluminium benefit from cooperation with the Canadian and Quebec governments, whereas the renewable energy projects in Australia have been undertaken with government involvement. Nevertheless, government dependence carries risks for the business.</w:t>
      </w:r>
      <w:r w:rsidR="000F210B">
        <w:rPr>
          <w:rFonts w:cs="Times New Roman"/>
          <w:color w:val="000000" w:themeColor="text1"/>
          <w:sz w:val="24"/>
          <w:szCs w:val="24"/>
        </w:rPr>
        <w:t xml:space="preserve"> </w:t>
      </w:r>
      <w:r w:rsidRPr="000F210B">
        <w:rPr>
          <w:rFonts w:cs="Times New Roman"/>
          <w:color w:val="000000" w:themeColor="text1"/>
          <w:sz w:val="24"/>
          <w:szCs w:val="24"/>
        </w:rPr>
        <w:t>The political environment consequent</w:t>
      </w:r>
      <w:r w:rsidRPr="000F210B">
        <w:rPr>
          <w:rFonts w:cs="Times New Roman"/>
          <w:color w:val="000000" w:themeColor="text1"/>
          <w:sz w:val="24"/>
          <w:szCs w:val="24"/>
        </w:rPr>
        <w:t>ly has a dual effect. It expands demand for strategically important minerals while increasing compliance, disclosure and capital requirements. For marketing management, this means regulatory intelligence should feed directly into product positioning, inves</w:t>
      </w:r>
      <w:r w:rsidRPr="000F210B">
        <w:rPr>
          <w:rFonts w:cs="Times New Roman"/>
          <w:color w:val="000000" w:themeColor="text1"/>
          <w:sz w:val="24"/>
          <w:szCs w:val="24"/>
        </w:rPr>
        <w:t>tment decisions and customer communications.</w:t>
      </w:r>
    </w:p>
    <w:p w14:paraId="259FCF0A"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6" w:name="_Toc242205508"/>
      <w:r w:rsidRPr="000F210B">
        <w:rPr>
          <w:rFonts w:ascii="Times New Roman" w:hAnsi="Times New Roman" w:cs="Times New Roman"/>
          <w:color w:val="000000" w:themeColor="text1"/>
          <w:szCs w:val="24"/>
        </w:rPr>
        <w:lastRenderedPageBreak/>
        <w:t>1.4 External Actor 3: Customers and Market Stakeholders</w:t>
      </w:r>
      <w:bookmarkEnd w:id="6"/>
    </w:p>
    <w:p w14:paraId="1D180870"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7" w:name="_Toc242205509"/>
      <w:r w:rsidRPr="000F210B">
        <w:rPr>
          <w:rFonts w:ascii="Times New Roman" w:hAnsi="Times New Roman" w:cs="Times New Roman"/>
          <w:color w:val="000000" w:themeColor="text1"/>
          <w:szCs w:val="24"/>
        </w:rPr>
        <w:t>1.5 Integrated Environmental Assessment</w:t>
      </w:r>
      <w:bookmarkEnd w:id="7"/>
    </w:p>
    <w:p w14:paraId="6416E3FF" w14:textId="77777777" w:rsidR="003F7F2F" w:rsidRPr="000F210B" w:rsidRDefault="00920240" w:rsidP="000F210B">
      <w:pPr>
        <w:pStyle w:val="Heading1"/>
        <w:spacing w:line="360" w:lineRule="auto"/>
        <w:jc w:val="both"/>
        <w:rPr>
          <w:rFonts w:ascii="Times New Roman" w:hAnsi="Times New Roman" w:cs="Times New Roman"/>
          <w:color w:val="000000" w:themeColor="text1"/>
          <w:sz w:val="24"/>
          <w:szCs w:val="24"/>
        </w:rPr>
      </w:pPr>
      <w:bookmarkStart w:id="8" w:name="_Toc242205510"/>
      <w:r w:rsidRPr="000F210B">
        <w:rPr>
          <w:rFonts w:ascii="Times New Roman" w:hAnsi="Times New Roman" w:cs="Times New Roman"/>
          <w:color w:val="000000" w:themeColor="text1"/>
          <w:sz w:val="24"/>
          <w:szCs w:val="24"/>
        </w:rPr>
        <w:t>Task 2: Strategic Growth and Competitive Positioning</w:t>
      </w:r>
      <w:bookmarkEnd w:id="8"/>
    </w:p>
    <w:p w14:paraId="5D3590EA"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9" w:name="_Toc242205511"/>
      <w:r w:rsidRPr="000F210B">
        <w:rPr>
          <w:rFonts w:ascii="Times New Roman" w:hAnsi="Times New Roman" w:cs="Times New Roman"/>
          <w:color w:val="000000" w:themeColor="text1"/>
          <w:szCs w:val="24"/>
        </w:rPr>
        <w:t>2.1 Ansoff Matrix</w:t>
      </w:r>
      <w:bookmarkEnd w:id="9"/>
    </w:p>
    <w:p w14:paraId="0CE4B97F"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10" w:name="_Toc242205512"/>
      <w:r w:rsidRPr="000F210B">
        <w:rPr>
          <w:rFonts w:ascii="Times New Roman" w:hAnsi="Times New Roman" w:cs="Times New Roman"/>
          <w:color w:val="000000" w:themeColor="text1"/>
          <w:szCs w:val="24"/>
        </w:rPr>
        <w:t>2.2 Recommended Growth Strategy: Verified Lo</w:t>
      </w:r>
      <w:r w:rsidRPr="000F210B">
        <w:rPr>
          <w:rFonts w:ascii="Times New Roman" w:hAnsi="Times New Roman" w:cs="Times New Roman"/>
          <w:color w:val="000000" w:themeColor="text1"/>
          <w:szCs w:val="24"/>
        </w:rPr>
        <w:t>w-Carbon Product Development</w:t>
      </w:r>
      <w:bookmarkEnd w:id="10"/>
    </w:p>
    <w:p w14:paraId="101590F2"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11" w:name="_Toc242205513"/>
      <w:r w:rsidRPr="000F210B">
        <w:rPr>
          <w:rFonts w:ascii="Times New Roman" w:hAnsi="Times New Roman" w:cs="Times New Roman"/>
          <w:color w:val="000000" w:themeColor="text1"/>
          <w:szCs w:val="24"/>
        </w:rPr>
        <w:t>2.3 Market Development and Competitive Positioning</w:t>
      </w:r>
      <w:bookmarkEnd w:id="11"/>
    </w:p>
    <w:p w14:paraId="205B462F" w14:textId="77777777" w:rsidR="003F7F2F" w:rsidRPr="000F210B" w:rsidRDefault="00920240" w:rsidP="000F210B">
      <w:pPr>
        <w:pStyle w:val="Heading1"/>
        <w:spacing w:line="360" w:lineRule="auto"/>
        <w:jc w:val="both"/>
        <w:rPr>
          <w:rFonts w:ascii="Times New Roman" w:hAnsi="Times New Roman" w:cs="Times New Roman"/>
          <w:color w:val="000000" w:themeColor="text1"/>
          <w:sz w:val="24"/>
          <w:szCs w:val="24"/>
        </w:rPr>
      </w:pPr>
      <w:bookmarkStart w:id="12" w:name="_Toc242205514"/>
      <w:r w:rsidRPr="000F210B">
        <w:rPr>
          <w:rFonts w:ascii="Times New Roman" w:hAnsi="Times New Roman" w:cs="Times New Roman"/>
          <w:color w:val="000000" w:themeColor="text1"/>
          <w:sz w:val="24"/>
          <w:szCs w:val="24"/>
        </w:rPr>
        <w:t>Task 3: Managerial and Professional Reflection</w:t>
      </w:r>
      <w:bookmarkEnd w:id="12"/>
    </w:p>
    <w:p w14:paraId="68A04C78"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13" w:name="_Toc242205515"/>
      <w:r w:rsidRPr="000F210B">
        <w:rPr>
          <w:rFonts w:ascii="Times New Roman" w:hAnsi="Times New Roman" w:cs="Times New Roman"/>
          <w:color w:val="000000" w:themeColor="text1"/>
          <w:szCs w:val="24"/>
        </w:rPr>
        <w:t>3.1 Rationale for Selecting Rio Tinto</w:t>
      </w:r>
      <w:bookmarkEnd w:id="13"/>
    </w:p>
    <w:p w14:paraId="5550B8BB"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14" w:name="_Toc242205516"/>
      <w:r w:rsidRPr="000F210B">
        <w:rPr>
          <w:rFonts w:ascii="Times New Roman" w:hAnsi="Times New Roman" w:cs="Times New Roman"/>
          <w:color w:val="000000" w:themeColor="text1"/>
          <w:szCs w:val="24"/>
        </w:rPr>
        <w:t>3.2 Rationale for Selecting the External Actors</w:t>
      </w:r>
      <w:bookmarkEnd w:id="14"/>
    </w:p>
    <w:p w14:paraId="5972B3D0"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15" w:name="_Toc242205517"/>
      <w:r w:rsidRPr="000F210B">
        <w:rPr>
          <w:rFonts w:ascii="Times New Roman" w:hAnsi="Times New Roman" w:cs="Times New Roman"/>
          <w:color w:val="000000" w:themeColor="text1"/>
          <w:szCs w:val="24"/>
        </w:rPr>
        <w:t xml:space="preserve">3.3 Reflection on the Strategic </w:t>
      </w:r>
      <w:r w:rsidRPr="000F210B">
        <w:rPr>
          <w:rFonts w:ascii="Times New Roman" w:hAnsi="Times New Roman" w:cs="Times New Roman"/>
          <w:color w:val="000000" w:themeColor="text1"/>
          <w:szCs w:val="24"/>
        </w:rPr>
        <w:t>Recommendation</w:t>
      </w:r>
      <w:bookmarkEnd w:id="15"/>
    </w:p>
    <w:p w14:paraId="4359100C" w14:textId="77777777" w:rsidR="003F7F2F" w:rsidRPr="000F210B" w:rsidRDefault="00920240" w:rsidP="000F210B">
      <w:pPr>
        <w:pStyle w:val="Heading2"/>
        <w:spacing w:line="360" w:lineRule="auto"/>
        <w:jc w:val="both"/>
        <w:rPr>
          <w:rFonts w:ascii="Times New Roman" w:hAnsi="Times New Roman" w:cs="Times New Roman"/>
          <w:color w:val="000000" w:themeColor="text1"/>
          <w:szCs w:val="24"/>
        </w:rPr>
      </w:pPr>
      <w:bookmarkStart w:id="16" w:name="_Toc242205518"/>
      <w:r w:rsidRPr="000F210B">
        <w:rPr>
          <w:rFonts w:ascii="Times New Roman" w:hAnsi="Times New Roman" w:cs="Times New Roman"/>
          <w:color w:val="000000" w:themeColor="text1"/>
          <w:szCs w:val="24"/>
        </w:rPr>
        <w:t>3.4 Limitations and Additional Information Required</w:t>
      </w:r>
      <w:bookmarkEnd w:id="16"/>
    </w:p>
    <w:p w14:paraId="6C8848B7" w14:textId="77777777" w:rsidR="003F7F2F" w:rsidRPr="000F210B" w:rsidRDefault="00920240" w:rsidP="000F210B">
      <w:pPr>
        <w:pStyle w:val="Heading1"/>
        <w:spacing w:line="360" w:lineRule="auto"/>
        <w:jc w:val="both"/>
        <w:rPr>
          <w:rFonts w:ascii="Times New Roman" w:hAnsi="Times New Roman" w:cs="Times New Roman"/>
          <w:color w:val="000000" w:themeColor="text1"/>
          <w:sz w:val="24"/>
          <w:szCs w:val="24"/>
        </w:rPr>
      </w:pPr>
      <w:bookmarkStart w:id="17" w:name="_Toc242205519"/>
      <w:r w:rsidRPr="000F210B">
        <w:rPr>
          <w:rFonts w:ascii="Times New Roman" w:hAnsi="Times New Roman" w:cs="Times New Roman"/>
          <w:color w:val="000000" w:themeColor="text1"/>
          <w:sz w:val="24"/>
          <w:szCs w:val="24"/>
        </w:rPr>
        <w:t>Conclusion</w:t>
      </w:r>
      <w:bookmarkEnd w:id="17"/>
    </w:p>
    <w:p w14:paraId="016EF8B6" w14:textId="5DFC3C7B" w:rsidR="003F7F2F" w:rsidRPr="000F210B" w:rsidRDefault="00920240" w:rsidP="000F210B">
      <w:pPr>
        <w:pStyle w:val="Heading1"/>
        <w:spacing w:line="360" w:lineRule="auto"/>
        <w:jc w:val="both"/>
        <w:rPr>
          <w:rFonts w:ascii="Times New Roman" w:hAnsi="Times New Roman" w:cs="Times New Roman"/>
          <w:color w:val="000000" w:themeColor="text1"/>
          <w:sz w:val="24"/>
          <w:szCs w:val="24"/>
        </w:rPr>
      </w:pPr>
      <w:bookmarkStart w:id="18" w:name="_Toc242205520"/>
      <w:r w:rsidRPr="000F210B">
        <w:rPr>
          <w:rFonts w:ascii="Times New Roman" w:hAnsi="Times New Roman" w:cs="Times New Roman"/>
          <w:color w:val="000000" w:themeColor="text1"/>
          <w:sz w:val="24"/>
          <w:szCs w:val="24"/>
        </w:rPr>
        <w:t>References</w:t>
      </w:r>
      <w:bookmarkEnd w:id="18"/>
    </w:p>
    <w:p w14:paraId="517BEFB6"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Ansoff, H.I., 1957. ‘Strategies for diversification’, Harvard Business Review, 35(5), pp. 113–124. </w:t>
      </w:r>
      <w:r w:rsidRPr="000F210B">
        <w:rPr>
          <w:rFonts w:cs="Times New Roman"/>
          <w:color w:val="000000" w:themeColor="text1"/>
          <w:sz w:val="24"/>
          <w:szCs w:val="24"/>
          <w:u w:val="single"/>
        </w:rPr>
        <w:t>https://hbr.org/1957/09/strategies-for-diversification</w:t>
      </w:r>
    </w:p>
    <w:p w14:paraId="17A2EE93"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IEA, 2025a. Global Critical Minerals Outlook 2025: Copper. Paris: International Energy Agency. </w:t>
      </w:r>
      <w:r w:rsidRPr="000F210B">
        <w:rPr>
          <w:rFonts w:cs="Times New Roman"/>
          <w:color w:val="000000" w:themeColor="text1"/>
          <w:sz w:val="24"/>
          <w:szCs w:val="24"/>
          <w:u w:val="single"/>
        </w:rPr>
        <w:t>https://www.iea.org/reports/copper-2</w:t>
      </w:r>
    </w:p>
    <w:p w14:paraId="085021D2"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IEA, 2026. Global Critical Minerals Outlook 2026. Paris: International Energy Agency. </w:t>
      </w:r>
      <w:r w:rsidRPr="000F210B">
        <w:rPr>
          <w:rFonts w:cs="Times New Roman"/>
          <w:color w:val="000000" w:themeColor="text1"/>
          <w:sz w:val="24"/>
          <w:szCs w:val="24"/>
          <w:u w:val="single"/>
        </w:rPr>
        <w:t>https://www.iea.org/reports/global-critical-minerals-outlook-2026</w:t>
      </w:r>
    </w:p>
    <w:p w14:paraId="56B39AD0"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Kotler, P., Armstrong, G., Harris, L.C. and He, H., 2024. Principles of Marketing. 19th edn. Harlow: Pearson. </w:t>
      </w:r>
      <w:hyperlink r:id="rId10" w:history="1">
        <w:r w:rsidRPr="000F210B">
          <w:rPr>
            <w:rStyle w:val="Hyperlink"/>
            <w:rFonts w:cs="Times New Roman"/>
            <w:color w:val="000000" w:themeColor="text1"/>
            <w:sz w:val="24"/>
            <w:szCs w:val="24"/>
          </w:rPr>
          <w:t>https://www.pearson.com/en-gb/subject-catalog/p/principles-of-marketing/P200000009944</w:t>
        </w:r>
      </w:hyperlink>
    </w:p>
    <w:p w14:paraId="4A41B6DC"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2025a. ‘History: Acquiring Arcadium Lithium’. Melbourne: Rio Tinto. </w:t>
      </w:r>
      <w:hyperlink r:id="rId11" w:history="1">
        <w:r w:rsidRPr="000F210B">
          <w:rPr>
            <w:rStyle w:val="Hyperlink"/>
            <w:rFonts w:cs="Times New Roman"/>
            <w:color w:val="000000" w:themeColor="text1"/>
            <w:sz w:val="24"/>
            <w:szCs w:val="24"/>
          </w:rPr>
          <w:t>https://www.riotinto.com/about/history</w:t>
        </w:r>
      </w:hyperlink>
    </w:p>
    <w:p w14:paraId="56110111"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lastRenderedPageBreak/>
        <w:t xml:space="preserve">Rio Tinto, 2025b. ‘ELYSIS achieves breakthrough with commercial-size cell’. Rio Tinto, 13 November. </w:t>
      </w:r>
      <w:r w:rsidRPr="000F210B">
        <w:rPr>
          <w:rFonts w:cs="Times New Roman"/>
          <w:color w:val="000000" w:themeColor="text1"/>
          <w:sz w:val="24"/>
          <w:szCs w:val="24"/>
          <w:u w:val="single"/>
        </w:rPr>
        <w:t>https://www.riotinto.com/en/news/releases/2025/elysis-achieves-breakthrough-with-commercial-size-cell</w:t>
      </w:r>
    </w:p>
    <w:p w14:paraId="6562DFA3"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2025c. ‘Simandou partners celebrate start of operations’. Rio Tinto, 11 November. </w:t>
      </w:r>
      <w:r w:rsidRPr="000F210B">
        <w:rPr>
          <w:rFonts w:cs="Times New Roman"/>
          <w:color w:val="000000" w:themeColor="text1"/>
          <w:sz w:val="24"/>
          <w:szCs w:val="24"/>
          <w:u w:val="single"/>
        </w:rPr>
        <w:t>https://www.riotinto.com/news/releases/2025/simandou-partners-celebrate-start-of-operations</w:t>
      </w:r>
    </w:p>
    <w:p w14:paraId="1D2A50BA"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2025d. ‘Rio Tinto and Hydro partner on carbon capture technologies for aluminium smelters’. Rio Tinto, 30 January. </w:t>
      </w:r>
      <w:r w:rsidRPr="000F210B">
        <w:rPr>
          <w:rFonts w:cs="Times New Roman"/>
          <w:color w:val="000000" w:themeColor="text1"/>
          <w:sz w:val="24"/>
          <w:szCs w:val="24"/>
          <w:u w:val="single"/>
        </w:rPr>
        <w:t>https://www.riotinto.com/en/news/releases/2025/rio-tinto-and-hydro-partner-on-carbon-capture-technologies-for-aluminium-smelters</w:t>
      </w:r>
    </w:p>
    <w:p w14:paraId="7B67A13F"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2026a. ‘Annual Results 2025’. Rio Tinto, 19 February. </w:t>
      </w:r>
      <w:r w:rsidRPr="000F210B">
        <w:rPr>
          <w:rFonts w:cs="Times New Roman"/>
          <w:color w:val="000000" w:themeColor="text1"/>
          <w:sz w:val="24"/>
          <w:szCs w:val="24"/>
          <w:u w:val="single"/>
        </w:rPr>
        <w:t>https://www.riotinto.com/news/releases/2026/rio-tinto-solid-results-underpinned-by-8-cueq-production-and-sharper-cost-discipline</w:t>
      </w:r>
    </w:p>
    <w:p w14:paraId="51A1D822"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2026b. ‘Climate change’. Rio Tinto. </w:t>
      </w:r>
      <w:r w:rsidRPr="000F210B">
        <w:rPr>
          <w:rFonts w:cs="Times New Roman"/>
          <w:color w:val="000000" w:themeColor="text1"/>
          <w:sz w:val="24"/>
          <w:szCs w:val="24"/>
          <w:u w:val="single"/>
        </w:rPr>
        <w:t>https://www.riotinto.com/sustainability/climate-change</w:t>
      </w:r>
    </w:p>
    <w:p w14:paraId="48ED7FEB"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2026c. ‘Second quarter 2026 production results’. Rio Tinto, 15 July. </w:t>
      </w:r>
      <w:r w:rsidRPr="000F210B">
        <w:rPr>
          <w:rFonts w:cs="Times New Roman"/>
          <w:color w:val="000000" w:themeColor="text1"/>
          <w:sz w:val="24"/>
          <w:szCs w:val="24"/>
          <w:u w:val="single"/>
        </w:rPr>
        <w:t>https://www.riotinto.com/en/news/releases/2026/rio-tinto-releases-second-quarter-2026-production-results</w:t>
      </w:r>
    </w:p>
    <w:p w14:paraId="5A5145F8" w14:textId="77777777" w:rsidR="00CC1F76" w:rsidRPr="000F210B" w:rsidRDefault="00CC1F76" w:rsidP="000F210B">
      <w:pPr>
        <w:spacing w:line="360" w:lineRule="auto"/>
        <w:jc w:val="both"/>
        <w:rPr>
          <w:rFonts w:cs="Times New Roman"/>
          <w:color w:val="000000" w:themeColor="text1"/>
          <w:sz w:val="24"/>
          <w:szCs w:val="24"/>
        </w:rPr>
      </w:pPr>
      <w:r w:rsidRPr="000F210B">
        <w:rPr>
          <w:rFonts w:cs="Times New Roman"/>
          <w:color w:val="000000" w:themeColor="text1"/>
          <w:sz w:val="24"/>
          <w:szCs w:val="24"/>
        </w:rPr>
        <w:t xml:space="preserve">Rio Tinto, 2026d. ‘Sustainability reporting’. Rio Tinto. </w:t>
      </w:r>
      <w:r w:rsidRPr="000F210B">
        <w:rPr>
          <w:rFonts w:cs="Times New Roman"/>
          <w:color w:val="000000" w:themeColor="text1"/>
          <w:sz w:val="24"/>
          <w:szCs w:val="24"/>
          <w:u w:val="single"/>
        </w:rPr>
        <w:t>https://www.riotinto.com/en/invest/reports/sustainability-report</w:t>
      </w:r>
    </w:p>
    <w:p w14:paraId="7AF60EA3" w14:textId="1DFC0F84" w:rsidR="00CC1F76" w:rsidRPr="000F210B" w:rsidRDefault="00CC1F76" w:rsidP="000F210B">
      <w:pPr>
        <w:spacing w:line="360" w:lineRule="auto"/>
        <w:jc w:val="both"/>
        <w:rPr>
          <w:rFonts w:cs="Times New Roman"/>
          <w:color w:val="000000" w:themeColor="text1"/>
          <w:sz w:val="24"/>
          <w:szCs w:val="24"/>
        </w:rPr>
      </w:pPr>
    </w:p>
    <w:sectPr w:rsidR="00CC1F76" w:rsidRPr="000F210B" w:rsidSect="00034616">
      <w:headerReference w:type="even" r:id="rId12"/>
      <w:headerReference w:type="default" r:id="rId13"/>
      <w:footerReference w:type="default" r:id="rId14"/>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922930" w14:textId="77777777" w:rsidR="00920240" w:rsidRDefault="00920240">
      <w:pPr>
        <w:spacing w:after="0" w:line="240" w:lineRule="auto"/>
      </w:pPr>
      <w:r>
        <w:separator/>
      </w:r>
    </w:p>
  </w:endnote>
  <w:endnote w:type="continuationSeparator" w:id="0">
    <w:p w14:paraId="0E1A3BB6" w14:textId="77777777" w:rsidR="00920240" w:rsidRDefault="00920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AE9C8" w14:textId="4715A6D4" w:rsidR="003F7F2F" w:rsidRDefault="003F7F2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27DB99" w14:textId="77777777" w:rsidR="00920240" w:rsidRDefault="00920240">
      <w:pPr>
        <w:spacing w:after="0" w:line="240" w:lineRule="auto"/>
      </w:pPr>
      <w:r>
        <w:separator/>
      </w:r>
    </w:p>
  </w:footnote>
  <w:footnote w:type="continuationSeparator" w:id="0">
    <w:p w14:paraId="343C3CF6" w14:textId="77777777" w:rsidR="00920240" w:rsidRDefault="009202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39527846"/>
      <w:docPartObj>
        <w:docPartGallery w:val="Page Numbers (Top of Page)"/>
        <w:docPartUnique/>
      </w:docPartObj>
    </w:sdtPr>
    <w:sdtEndPr>
      <w:rPr>
        <w:rStyle w:val="PageNumber"/>
      </w:rPr>
    </w:sdtEndPr>
    <w:sdtContent>
      <w:p w14:paraId="39DCF56A" w14:textId="1137BA60" w:rsidR="00CC1F76" w:rsidRDefault="00CC1F76" w:rsidP="00B12CEC">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C33BE2" w14:textId="77777777" w:rsidR="00CC1F76" w:rsidRDefault="00CC1F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93648075"/>
      <w:docPartObj>
        <w:docPartGallery w:val="Page Numbers (Top of Page)"/>
        <w:docPartUnique/>
      </w:docPartObj>
    </w:sdtPr>
    <w:sdtEndPr>
      <w:rPr>
        <w:rStyle w:val="PageNumber"/>
      </w:rPr>
    </w:sdtEndPr>
    <w:sdtContent>
      <w:p w14:paraId="736253A6" w14:textId="74DBB059" w:rsidR="00CC1F76" w:rsidRDefault="00CC1F76" w:rsidP="00B12CEC">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FB0FCA">
          <w:rPr>
            <w:rStyle w:val="PageNumber"/>
            <w:noProof/>
          </w:rPr>
          <w:t>2</w:t>
        </w:r>
        <w:r>
          <w:rPr>
            <w:rStyle w:val="PageNumber"/>
          </w:rPr>
          <w:fldChar w:fldCharType="end"/>
        </w:r>
      </w:p>
    </w:sdtContent>
  </w:sdt>
  <w:p w14:paraId="72DF162B" w14:textId="77777777" w:rsidR="00CC1F76" w:rsidRDefault="00CC1F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36C4410"/>
    <w:multiLevelType w:val="hybridMultilevel"/>
    <w:tmpl w:val="C3DEB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F210B"/>
    <w:rsid w:val="00142CB1"/>
    <w:rsid w:val="0015074B"/>
    <w:rsid w:val="00290A14"/>
    <w:rsid w:val="0029639D"/>
    <w:rsid w:val="00326F90"/>
    <w:rsid w:val="003F7F2F"/>
    <w:rsid w:val="004C3285"/>
    <w:rsid w:val="00920240"/>
    <w:rsid w:val="00AA1D8D"/>
    <w:rsid w:val="00AF52B8"/>
    <w:rsid w:val="00B47730"/>
    <w:rsid w:val="00CB0664"/>
    <w:rsid w:val="00CC1F76"/>
    <w:rsid w:val="00CC7EE3"/>
    <w:rsid w:val="00F34B93"/>
    <w:rsid w:val="00FB0FC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511BC6"/>
  <w14:defaultImageDpi w14:val="300"/>
  <w15:docId w15:val="{B7475A81-74D8-8F43-AEEC-DF9D8E434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00"/>
    </w:pPr>
    <w:rPr>
      <w:rFonts w:ascii="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CC1F76"/>
    <w:pPr>
      <w:spacing w:before="100" w:beforeAutospacing="1" w:afterAutospacing="1" w:line="240" w:lineRule="auto"/>
    </w:pPr>
    <w:rPr>
      <w:rFonts w:eastAsia="Times New Roman" w:cs="Times New Roman"/>
      <w:sz w:val="24"/>
      <w:szCs w:val="24"/>
      <w:lang w:val="en-IN" w:eastAsia="en-GB"/>
    </w:rPr>
  </w:style>
  <w:style w:type="character" w:styleId="Hyperlink">
    <w:name w:val="Hyperlink"/>
    <w:basedOn w:val="DefaultParagraphFont"/>
    <w:uiPriority w:val="99"/>
    <w:unhideWhenUsed/>
    <w:rsid w:val="00CC1F76"/>
    <w:rPr>
      <w:color w:val="0000FF" w:themeColor="hyperlink"/>
      <w:u w:val="single"/>
    </w:rPr>
  </w:style>
  <w:style w:type="character" w:customStyle="1" w:styleId="UnresolvedMention">
    <w:name w:val="Unresolved Mention"/>
    <w:basedOn w:val="DefaultParagraphFont"/>
    <w:uiPriority w:val="99"/>
    <w:semiHidden/>
    <w:unhideWhenUsed/>
    <w:rsid w:val="00CC1F76"/>
    <w:rPr>
      <w:color w:val="605E5C"/>
      <w:shd w:val="clear" w:color="auto" w:fill="E1DFDD"/>
    </w:rPr>
  </w:style>
  <w:style w:type="character" w:styleId="PageNumber">
    <w:name w:val="page number"/>
    <w:basedOn w:val="DefaultParagraphFont"/>
    <w:uiPriority w:val="99"/>
    <w:semiHidden/>
    <w:unhideWhenUsed/>
    <w:rsid w:val="00CC1F76"/>
  </w:style>
  <w:style w:type="paragraph" w:styleId="TOC1">
    <w:name w:val="toc 1"/>
    <w:basedOn w:val="Normal"/>
    <w:next w:val="Normal"/>
    <w:autoRedefine/>
    <w:uiPriority w:val="39"/>
    <w:unhideWhenUsed/>
    <w:rsid w:val="000F210B"/>
  </w:style>
  <w:style w:type="paragraph" w:styleId="TOC2">
    <w:name w:val="toc 2"/>
    <w:basedOn w:val="Normal"/>
    <w:next w:val="Normal"/>
    <w:autoRedefine/>
    <w:uiPriority w:val="39"/>
    <w:unhideWhenUsed/>
    <w:rsid w:val="000F210B"/>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05863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otinto.com/about/histor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earson.com/en-gb/subject-catalog/p/principles-of-marketing/P20000000994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A90D7F-E093-448F-9FB4-EA3FE9E8F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1800</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generated by python-docx</dc:description>
  <cp:lastModifiedBy>HP</cp:lastModifiedBy>
  <cp:revision>5</cp:revision>
  <dcterms:created xsi:type="dcterms:W3CDTF">2026-10-06T13:29:00Z</dcterms:created>
  <dcterms:modified xsi:type="dcterms:W3CDTF">2026-10-21T18:07:00Z</dcterms:modified>
  <cp:category/>
</cp:coreProperties>
</file>